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0B65" w14:textId="77777777" w:rsidR="00C57D8E" w:rsidRDefault="00551F9A">
      <w:pPr>
        <w:jc w:val="center"/>
        <w:rPr>
          <w:b/>
        </w:rPr>
      </w:pPr>
      <w:r>
        <w:rPr>
          <w:b/>
        </w:rPr>
        <w:t xml:space="preserve">Actividades </w:t>
      </w:r>
    </w:p>
    <w:p w14:paraId="44F0D564" w14:textId="77777777" w:rsidR="00C57D8E" w:rsidRDefault="00FA2140">
      <w:hyperlink r:id="rId5">
        <w:r w:rsidR="00551F9A">
          <w:rPr>
            <w:color w:val="0563C1"/>
            <w:u w:val="single"/>
          </w:rPr>
          <w:t>https://www.idu.gov.co/page/transparencia/informacion-de-interes/sigi/g-documental</w:t>
        </w:r>
      </w:hyperlink>
    </w:p>
    <w:p w14:paraId="663743E7" w14:textId="77777777" w:rsidR="00C57D8E" w:rsidRDefault="00551F9A">
      <w:r>
        <w:rPr>
          <w:noProof/>
        </w:rPr>
        <w:drawing>
          <wp:inline distT="0" distB="0" distL="0" distR="0" wp14:anchorId="55830E40" wp14:editId="668CD05F">
            <wp:extent cx="8193974" cy="4108863"/>
            <wp:effectExtent l="0" t="0" r="0" b="635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19668" cy="4121747"/>
                    </a:xfrm>
                    <a:prstGeom prst="rect">
                      <a:avLst/>
                    </a:prstGeom>
                    <a:ln/>
                  </pic:spPr>
                </pic:pic>
              </a:graphicData>
            </a:graphic>
          </wp:inline>
        </w:drawing>
      </w:r>
    </w:p>
    <w:p w14:paraId="7134E84E" w14:textId="77101741" w:rsidR="00C57D8E" w:rsidRDefault="00222576">
      <w:r>
        <w:rPr>
          <w:noProof/>
        </w:rPr>
        <mc:AlternateContent>
          <mc:Choice Requires="wps">
            <w:drawing>
              <wp:anchor distT="0" distB="0" distL="114300" distR="114300" simplePos="0" relativeHeight="251667456" behindDoc="0" locked="0" layoutInCell="1" allowOverlap="1" wp14:anchorId="22442079" wp14:editId="5A96348A">
                <wp:simplePos x="0" y="0"/>
                <wp:positionH relativeFrom="column">
                  <wp:posOffset>182435</wp:posOffset>
                </wp:positionH>
                <wp:positionV relativeFrom="paragraph">
                  <wp:posOffset>4347070</wp:posOffset>
                </wp:positionV>
                <wp:extent cx="7885215" cy="273132"/>
                <wp:effectExtent l="0" t="0" r="20955" b="12700"/>
                <wp:wrapNone/>
                <wp:docPr id="1" name="Rectángulo 1"/>
                <wp:cNvGraphicFramePr/>
                <a:graphic xmlns:a="http://schemas.openxmlformats.org/drawingml/2006/main">
                  <a:graphicData uri="http://schemas.microsoft.com/office/word/2010/wordprocessingShape">
                    <wps:wsp>
                      <wps:cNvSpPr/>
                      <wps:spPr>
                        <a:xfrm>
                          <a:off x="0" y="0"/>
                          <a:ext cx="7885215" cy="273132"/>
                        </a:xfrm>
                        <a:prstGeom prst="rect">
                          <a:avLst/>
                        </a:prstGeom>
                        <a:solidFill>
                          <a:schemeClr val="bg1">
                            <a:lumMod val="95000"/>
                          </a:schemeClr>
                        </a:solidFill>
                        <a:ln>
                          <a:solidFill>
                            <a:srgbClr val="92D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C672041" w14:textId="77777777" w:rsidR="00015901" w:rsidRPr="00222576" w:rsidRDefault="00015901" w:rsidP="00015901">
                            <w:pPr>
                              <w:rPr>
                                <w:sz w:val="20"/>
                                <w:szCs w:val="16"/>
                              </w:rPr>
                            </w:pPr>
                            <w:r w:rsidRPr="00222576">
                              <w:rPr>
                                <w:rFonts w:ascii="Helvetica Neue" w:eastAsia="Helvetica Neue" w:hAnsi="Helvetica Neue" w:cs="Helvetica Neue"/>
                                <w:color w:val="333333"/>
                                <w:sz w:val="20"/>
                                <w:szCs w:val="16"/>
                              </w:rPr>
                              <w:t>Inventarios Documentales para Eliminación -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2079" id="Rectángulo 1" o:spid="_x0000_s1026" style="position:absolute;margin-left:14.35pt;margin-top:342.3pt;width:620.9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ginAIAALYFAAAOAAAAZHJzL2Uyb0RvYy54bWysVE1v2zAMvQ/YfxB0X/3RZm2DOkXQosOA&#10;bi3WDj0rshQbkEVNUmJnv36U5Dhd2+0w7CJTIvlIPpO8uBw6RbbCuhZ0RYujnBKhOdStXlf0++PN&#10;hzNKnGe6Zgq0qOhOOHq5eP/uojdzUUIDqhaWIIh2895UtPHezLPM8UZ0zB2BERqVEmzHPF7tOqst&#10;6xG9U1mZ5x+zHmxtLHDhHL5eJyVdRHwpBfd3Ujrhiaoo5ubjaeO5Cme2uGDztWWmafmYBvuHLDrW&#10;agw6QV0zz8jGtq+gupZbcCD9EYcuAylbLmINWE2Rv6jmoWFGxFqQHGcmmtz/g+Vftw/m3iINvXFz&#10;h2KoYpC2C1/MjwyRrN1Elhg84fh4enY2K4sZJRx15elxcVwGNrODt7HOfxLQkSBU1OLPiByx7a3z&#10;yXRvEoI5UG190yoVL6EBxJWyZMvw163WRXRVm+4L1OntfJbn8QdiyNgvwTwm8BuS0q/B7Xo1QZ+X&#10;1/lswjnkgKjBNTvwEiW/UyIAKv1NSNLWyEQZU5tSSNkxzoX2x0nVsFqk55DzFGxfY0w6AgZkiRRM&#10;2KnsP2AnDkf74Cpix0/O+d8SS86TR4wM2k/OXavBvgWgfDH+aJns9yQlagJLflgNiB/EFdS7e0ss&#10;pNFzht+02A63zPl7ZnHWcCpxf/g7PKSCvqIwSpQ0YH++9R7scQRQS0mPs1tR92PDrKBEfdY4HOfF&#10;yUkY9ng5mZ2WeLHPNavnGr3prgB7rMBNZXgUg71Xe1Fa6J5wzSxDVFQxzTF2Rbm3+8uVTzsFFxUX&#10;y2U0wwE3zN/qB8MDeCA4tPvj8MSsGWfC4zR9hf2cs/mL0Ui2wVPDcuNBtnFuDryO1ONyiD00LrKw&#10;fZ7fo9Vh3S5+AQAA//8DAFBLAwQUAAYACAAAACEA3E1qMN0AAAALAQAADwAAAGRycy9kb3ducmV2&#10;LnhtbEyPwU7DMAxA70j7h8iTuLGUaKRVaTpNQwgEJzY+IG1MG9E4VZNu5e/JTnC0/PT8XO0WN7Az&#10;TsF6UnC/yYAhtd5Y6hR8np7vCmAhajJ68IQKfjDArl7dVLo0/kIfeD7GjiUJhVIr6GMcS85D26PT&#10;YeNHpLT78pPTMY1Tx82kL0nuBi6yTHKnLaULvR7x0GP7fZxdsmzN6JdX+yL4/Haysn2X/KlR6na9&#10;7B+BRVziHwzX/JQOdWpq/EwmsEGBKPJEKpDFVgK7AiLPHoA1CnKRS+B1xf//UP8CAAD//wMAUEsB&#10;Ai0AFAAGAAgAAAAhALaDOJL+AAAA4QEAABMAAAAAAAAAAAAAAAAAAAAAAFtDb250ZW50X1R5cGVz&#10;XS54bWxQSwECLQAUAAYACAAAACEAOP0h/9YAAACUAQAACwAAAAAAAAAAAAAAAAAvAQAAX3JlbHMv&#10;LnJlbHNQSwECLQAUAAYACAAAACEArk+oIpwCAAC2BQAADgAAAAAAAAAAAAAAAAAuAgAAZHJzL2Uy&#10;b0RvYy54bWxQSwECLQAUAAYACAAAACEA3E1qMN0AAAALAQAADwAAAAAAAAAAAAAAAAD2BAAAZHJz&#10;L2Rvd25yZXYueG1sUEsFBgAAAAAEAAQA8wAAAAAGAAAAAA==&#10;" fillcolor="#f2f2f2 [3052]" strokecolor="#92d050" strokeweight="1pt">
                <v:textbox>
                  <w:txbxContent>
                    <w:p w14:paraId="0C672041" w14:textId="77777777" w:rsidR="00015901" w:rsidRPr="00222576" w:rsidRDefault="00015901" w:rsidP="00015901">
                      <w:pPr>
                        <w:rPr>
                          <w:sz w:val="20"/>
                          <w:szCs w:val="16"/>
                        </w:rPr>
                      </w:pPr>
                      <w:r w:rsidRPr="00222576">
                        <w:rPr>
                          <w:rFonts w:ascii="Helvetica Neue" w:eastAsia="Helvetica Neue" w:hAnsi="Helvetica Neue" w:cs="Helvetica Neue"/>
                          <w:color w:val="333333"/>
                          <w:sz w:val="20"/>
                          <w:szCs w:val="16"/>
                        </w:rPr>
                        <w:t>Inventarios Documentales para Eliminación - Publicación</w:t>
                      </w:r>
                    </w:p>
                  </w:txbxContent>
                </v:textbox>
              </v:rect>
            </w:pict>
          </mc:Fallback>
        </mc:AlternateContent>
      </w:r>
      <w:r w:rsidR="00551F9A">
        <w:rPr>
          <w:noProof/>
        </w:rPr>
        <w:drawing>
          <wp:inline distT="0" distB="0" distL="0" distR="0" wp14:anchorId="1DDDA00C" wp14:editId="6E91E853">
            <wp:extent cx="8193405" cy="4239491"/>
            <wp:effectExtent l="0" t="0" r="0" b="889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234221" cy="4260610"/>
                    </a:xfrm>
                    <a:prstGeom prst="rect">
                      <a:avLst/>
                    </a:prstGeom>
                    <a:ln/>
                  </pic:spPr>
                </pic:pic>
              </a:graphicData>
            </a:graphic>
          </wp:inline>
        </w:drawing>
      </w:r>
    </w:p>
    <w:p w14:paraId="15C0EE0D" w14:textId="26E632DA" w:rsidR="00C57D8E" w:rsidRDefault="00D422D5" w:rsidP="00D422D5">
      <w:pPr>
        <w:tabs>
          <w:tab w:val="left" w:pos="8798"/>
        </w:tabs>
      </w:pPr>
      <w:r>
        <w:tab/>
      </w:r>
      <w:commentRangeStart w:id="0"/>
      <w:commentRangeEnd w:id="0"/>
      <w:r>
        <w:rPr>
          <w:rStyle w:val="Refdecomentario"/>
        </w:rPr>
        <w:commentReference w:id="0"/>
      </w:r>
    </w:p>
    <w:p w14:paraId="6207A302" w14:textId="2A541756" w:rsidR="00222576" w:rsidRPr="00222576" w:rsidRDefault="00222576" w:rsidP="00015901">
      <w:pPr>
        <w:jc w:val="both"/>
        <w:rPr>
          <w:rFonts w:ascii="Helvetica Neue" w:eastAsia="Helvetica Neue" w:hAnsi="Helvetica Neue" w:cs="Helvetica Neue"/>
          <w:color w:val="333333"/>
          <w:sz w:val="18"/>
          <w:szCs w:val="16"/>
        </w:rPr>
      </w:pPr>
    </w:p>
    <w:p w14:paraId="257929FD" w14:textId="77777777" w:rsidR="00C57D8E" w:rsidRPr="00222576" w:rsidRDefault="00551F9A" w:rsidP="00015901">
      <w:pPr>
        <w:jc w:val="both"/>
        <w:rPr>
          <w:rFonts w:ascii="Helvetica Neue" w:eastAsia="Helvetica Neue" w:hAnsi="Helvetica Neue" w:cs="Helvetica Neue"/>
          <w:color w:val="333333"/>
          <w:sz w:val="20"/>
          <w:szCs w:val="16"/>
        </w:rPr>
      </w:pPr>
      <w:commentRangeStart w:id="1"/>
      <w:r w:rsidRPr="00222576">
        <w:rPr>
          <w:rFonts w:ascii="Helvetica Neue" w:eastAsia="Helvetica Neue" w:hAnsi="Helvetica Neue" w:cs="Helvetica Neue"/>
          <w:color w:val="333333"/>
          <w:sz w:val="20"/>
          <w:szCs w:val="16"/>
        </w:rPr>
        <w:t>Con</w:t>
      </w:r>
      <w:commentRangeEnd w:id="1"/>
      <w:r w:rsidR="00DE0AD6" w:rsidRPr="00222576">
        <w:rPr>
          <w:rStyle w:val="Refdecomentario"/>
          <w:sz w:val="20"/>
        </w:rPr>
        <w:commentReference w:id="1"/>
      </w:r>
      <w:r w:rsidRPr="00222576">
        <w:rPr>
          <w:rFonts w:ascii="Helvetica Neue" w:eastAsia="Helvetica Neue" w:hAnsi="Helvetica Neue" w:cs="Helvetica Neue"/>
          <w:color w:val="333333"/>
          <w:sz w:val="20"/>
          <w:szCs w:val="16"/>
        </w:rPr>
        <w:t xml:space="preserve"> </w:t>
      </w:r>
      <w:r w:rsidR="00015901" w:rsidRPr="00222576">
        <w:rPr>
          <w:rFonts w:ascii="Helvetica Neue" w:eastAsia="Helvetica Neue" w:hAnsi="Helvetica Neue" w:cs="Helvetica Neue"/>
          <w:color w:val="333333"/>
          <w:sz w:val="20"/>
          <w:szCs w:val="16"/>
        </w:rPr>
        <w:t>el fin de dar cumplimiento al Acuerdo 004 de 2009 del Archivo General de la Nación, especialmente lo señalado en el Artículo 22. “Eliminación de Documentos” la entidad realiza la publicación de los inventarios documentales de eliminación correspondientes al</w:t>
      </w:r>
      <w:r w:rsidRPr="00222576">
        <w:rPr>
          <w:rFonts w:ascii="Helvetica Neue" w:eastAsia="Helvetica Neue" w:hAnsi="Helvetica Neue" w:cs="Helvetica Neue"/>
          <w:color w:val="333333"/>
          <w:sz w:val="20"/>
          <w:szCs w:val="16"/>
        </w:rPr>
        <w:t xml:space="preserve"> fondo </w:t>
      </w:r>
      <w:r w:rsidR="00015901" w:rsidRPr="00222576">
        <w:rPr>
          <w:rFonts w:ascii="Helvetica Neue" w:eastAsia="Helvetica Neue" w:hAnsi="Helvetica Neue" w:cs="Helvetica Neue"/>
          <w:color w:val="333333"/>
          <w:sz w:val="20"/>
          <w:szCs w:val="16"/>
        </w:rPr>
        <w:t xml:space="preserve">documental </w:t>
      </w:r>
      <w:r w:rsidRPr="00222576">
        <w:rPr>
          <w:rFonts w:ascii="Helvetica Neue" w:eastAsia="Helvetica Neue" w:hAnsi="Helvetica Neue" w:cs="Helvetica Neue"/>
          <w:color w:val="333333"/>
          <w:sz w:val="20"/>
          <w:szCs w:val="16"/>
        </w:rPr>
        <w:t>acumulado comprendido entre el 18 de septiembre d</w:t>
      </w:r>
      <w:r w:rsidR="00015901" w:rsidRPr="00222576">
        <w:rPr>
          <w:rFonts w:ascii="Helvetica Neue" w:eastAsia="Helvetica Neue" w:hAnsi="Helvetica Neue" w:cs="Helvetica Neue"/>
          <w:color w:val="333333"/>
          <w:sz w:val="20"/>
          <w:szCs w:val="16"/>
        </w:rPr>
        <w:t xml:space="preserve">e 1957 </w:t>
      </w:r>
      <w:r w:rsidR="00D422D5" w:rsidRPr="00222576">
        <w:rPr>
          <w:rFonts w:ascii="Helvetica Neue" w:eastAsia="Helvetica Neue" w:hAnsi="Helvetica Neue" w:cs="Helvetica Neue"/>
          <w:color w:val="333333"/>
          <w:sz w:val="20"/>
          <w:szCs w:val="16"/>
        </w:rPr>
        <w:t>y el</w:t>
      </w:r>
      <w:r w:rsidR="00015901" w:rsidRPr="00222576">
        <w:rPr>
          <w:rFonts w:ascii="Helvetica Neue" w:eastAsia="Helvetica Neue" w:hAnsi="Helvetica Neue" w:cs="Helvetica Neue"/>
          <w:color w:val="333333"/>
          <w:sz w:val="20"/>
          <w:szCs w:val="16"/>
        </w:rPr>
        <w:t xml:space="preserve"> 02 de febrero de 2009, </w:t>
      </w:r>
      <w:r w:rsidRPr="00222576">
        <w:rPr>
          <w:rFonts w:ascii="Helvetica Neue" w:eastAsia="Helvetica Neue" w:hAnsi="Helvetica Neue" w:cs="Helvetica Neue"/>
          <w:color w:val="333333"/>
          <w:sz w:val="20"/>
          <w:szCs w:val="16"/>
        </w:rPr>
        <w:t xml:space="preserve">aprobada según Acta </w:t>
      </w:r>
      <w:r w:rsidR="00015901" w:rsidRPr="00222576">
        <w:rPr>
          <w:rFonts w:ascii="Helvetica Neue" w:eastAsia="Helvetica Neue" w:hAnsi="Helvetica Neue" w:cs="Helvetica Neue"/>
          <w:color w:val="333333"/>
          <w:sz w:val="20"/>
          <w:szCs w:val="16"/>
        </w:rPr>
        <w:t>No. 5 del 29 de junio de 2022</w:t>
      </w:r>
      <w:r w:rsidRPr="00222576">
        <w:rPr>
          <w:rFonts w:ascii="Helvetica Neue" w:eastAsia="Helvetica Neue" w:hAnsi="Helvetica Neue" w:cs="Helvetica Neue"/>
          <w:color w:val="333333"/>
          <w:sz w:val="20"/>
          <w:szCs w:val="16"/>
        </w:rPr>
        <w:t xml:space="preserve"> </w:t>
      </w:r>
      <w:r w:rsidR="00D422D5" w:rsidRPr="00222576">
        <w:rPr>
          <w:rFonts w:ascii="Helvetica Neue" w:eastAsia="Helvetica Neue" w:hAnsi="Helvetica Neue" w:cs="Helvetica Neue"/>
          <w:color w:val="333333"/>
          <w:sz w:val="20"/>
          <w:szCs w:val="16"/>
        </w:rPr>
        <w:t>por el</w:t>
      </w:r>
      <w:r w:rsidRPr="00222576">
        <w:rPr>
          <w:rFonts w:ascii="Helvetica Neue" w:eastAsia="Helvetica Neue" w:hAnsi="Helvetica Neue" w:cs="Helvetica Neue"/>
          <w:color w:val="333333"/>
          <w:sz w:val="20"/>
          <w:szCs w:val="16"/>
        </w:rPr>
        <w:t xml:space="preserve"> Comité Insti</w:t>
      </w:r>
      <w:r w:rsidR="00015901" w:rsidRPr="00222576">
        <w:rPr>
          <w:rFonts w:ascii="Helvetica Neue" w:eastAsia="Helvetica Neue" w:hAnsi="Helvetica Neue" w:cs="Helvetica Neue"/>
          <w:color w:val="333333"/>
          <w:sz w:val="20"/>
          <w:szCs w:val="16"/>
        </w:rPr>
        <w:t>tucional de Gestión y Desempeño.</w:t>
      </w:r>
    </w:p>
    <w:p w14:paraId="344C8A67" w14:textId="77777777" w:rsidR="00015901" w:rsidRPr="00222576" w:rsidRDefault="00015901" w:rsidP="00015901">
      <w:pPr>
        <w:jc w:val="both"/>
        <w:rPr>
          <w:rFonts w:ascii="Helvetica Neue" w:eastAsia="Helvetica Neue" w:hAnsi="Helvetica Neue" w:cs="Helvetica Neue"/>
          <w:color w:val="333333"/>
          <w:sz w:val="20"/>
          <w:szCs w:val="16"/>
        </w:rPr>
      </w:pPr>
      <w:r w:rsidRPr="00222576">
        <w:rPr>
          <w:rFonts w:ascii="Helvetica Neue" w:eastAsia="Helvetica Neue" w:hAnsi="Helvetica Neue" w:cs="Helvetica Neue"/>
          <w:color w:val="333333"/>
          <w:sz w:val="20"/>
          <w:szCs w:val="16"/>
        </w:rPr>
        <w:t xml:space="preserve">Lo anterior, con </w:t>
      </w:r>
      <w:r w:rsidR="00D422D5" w:rsidRPr="00222576">
        <w:rPr>
          <w:rFonts w:ascii="Helvetica Neue" w:eastAsia="Helvetica Neue" w:hAnsi="Helvetica Neue" w:cs="Helvetica Neue"/>
          <w:color w:val="333333"/>
          <w:sz w:val="20"/>
          <w:szCs w:val="16"/>
        </w:rPr>
        <w:t>la finalidad</w:t>
      </w:r>
      <w:r w:rsidRPr="00222576">
        <w:rPr>
          <w:rFonts w:ascii="Helvetica Neue" w:eastAsia="Helvetica Neue" w:hAnsi="Helvetica Neue" w:cs="Helvetica Neue"/>
          <w:color w:val="333333"/>
          <w:sz w:val="20"/>
          <w:szCs w:val="16"/>
        </w:rPr>
        <w:t xml:space="preserve"> de que los ciudadanos puedan enviar sus observaciones al Instituto dentro de los 60 días hábiles siguientes </w:t>
      </w:r>
      <w:r w:rsidR="00873D94" w:rsidRPr="00222576">
        <w:rPr>
          <w:rFonts w:ascii="Helvetica Neue" w:eastAsia="Helvetica Neue" w:hAnsi="Helvetica Neue" w:cs="Helvetica Neue"/>
          <w:color w:val="333333"/>
          <w:sz w:val="20"/>
          <w:szCs w:val="16"/>
        </w:rPr>
        <w:t>a su publicación.</w:t>
      </w:r>
    </w:p>
    <w:p w14:paraId="776673CC" w14:textId="77777777" w:rsidR="00D422D5" w:rsidRDefault="00D422D5" w:rsidP="00015901">
      <w:pPr>
        <w:jc w:val="both"/>
        <w:rPr>
          <w:rFonts w:ascii="Helvetica Neue" w:eastAsia="Helvetica Neue" w:hAnsi="Helvetica Neue" w:cs="Helvetica Neue"/>
        </w:rPr>
      </w:pPr>
    </w:p>
    <w:p w14:paraId="307545E8" w14:textId="77777777" w:rsidR="00C57D8E" w:rsidRDefault="00C57D8E"/>
    <w:p w14:paraId="1E07A53B" w14:textId="77777777" w:rsidR="00C57D8E" w:rsidRDefault="00551F9A">
      <w:r>
        <w:t xml:space="preserve"> </w:t>
      </w:r>
    </w:p>
    <w:p w14:paraId="265A9B02" w14:textId="2BA22C84" w:rsidR="00C57D8E" w:rsidRDefault="0001352E">
      <w:commentRangeStart w:id="2"/>
      <w:commentRangeEnd w:id="2"/>
      <w:r>
        <w:rPr>
          <w:rStyle w:val="Refdecomentario"/>
        </w:rPr>
        <w:lastRenderedPageBreak/>
        <w:commentReference w:id="2"/>
      </w:r>
      <w:r w:rsidR="001B4C0C">
        <w:rPr>
          <w:noProof/>
        </w:rPr>
        <w:drawing>
          <wp:inline distT="0" distB="0" distL="0" distR="0" wp14:anchorId="07927CD4" wp14:editId="48F36EA8">
            <wp:extent cx="1597794" cy="6680934"/>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4940" cy="6878068"/>
                    </a:xfrm>
                    <a:prstGeom prst="rect">
                      <a:avLst/>
                    </a:prstGeom>
                  </pic:spPr>
                </pic:pic>
              </a:graphicData>
            </a:graphic>
          </wp:inline>
        </w:drawing>
      </w:r>
    </w:p>
    <w:p w14:paraId="7D8882F5" w14:textId="43B98CF9" w:rsidR="0001352E" w:rsidRDefault="0001352E">
      <w:r>
        <w:rPr>
          <w:noProof/>
        </w:rPr>
        <w:drawing>
          <wp:inline distT="0" distB="0" distL="0" distR="0" wp14:anchorId="4061F85C" wp14:editId="20A2C910">
            <wp:extent cx="1548430" cy="64081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3324" cy="6635290"/>
                    </a:xfrm>
                    <a:prstGeom prst="rect">
                      <a:avLst/>
                    </a:prstGeom>
                  </pic:spPr>
                </pic:pic>
              </a:graphicData>
            </a:graphic>
          </wp:inline>
        </w:drawing>
      </w:r>
    </w:p>
    <w:p w14:paraId="7D91144D" w14:textId="63EACA68" w:rsidR="0001352E" w:rsidRDefault="00551F9A">
      <w:pPr>
        <w:tabs>
          <w:tab w:val="left" w:pos="4097"/>
        </w:tabs>
        <w:rPr>
          <w:sz w:val="32"/>
          <w:szCs w:val="32"/>
        </w:rPr>
      </w:pPr>
      <w:r>
        <w:rPr>
          <w:sz w:val="32"/>
          <w:szCs w:val="32"/>
        </w:rPr>
        <w:t>…</w:t>
      </w:r>
    </w:p>
    <w:p w14:paraId="057E334F" w14:textId="39BE33D8" w:rsidR="00C57D8E" w:rsidRDefault="00B227D6">
      <w:pPr>
        <w:tabs>
          <w:tab w:val="left" w:pos="4097"/>
        </w:tabs>
        <w:rPr>
          <w:rFonts w:ascii="Helvetica Neue" w:eastAsia="Helvetica Neue" w:hAnsi="Helvetica Neue" w:cs="Helvetica Neue"/>
          <w:color w:val="333333"/>
          <w:sz w:val="20"/>
          <w:szCs w:val="16"/>
        </w:rPr>
      </w:pPr>
      <w:r>
        <w:rPr>
          <w:rFonts w:ascii="Helvetica Neue" w:eastAsia="Helvetica Neue" w:hAnsi="Helvetica Neue" w:cs="Helvetica Neue"/>
          <w:color w:val="333333"/>
          <w:sz w:val="20"/>
          <w:szCs w:val="16"/>
        </w:rPr>
        <w:t xml:space="preserve">PDF </w:t>
      </w:r>
      <w:bookmarkStart w:id="3" w:name="_heading=h.gjdgxs" w:colFirst="0" w:colLast="0"/>
      <w:bookmarkEnd w:id="3"/>
      <w:r w:rsidR="00224B38" w:rsidRPr="00222576">
        <w:rPr>
          <w:rFonts w:ascii="Helvetica Neue" w:eastAsia="Helvetica Neue" w:hAnsi="Helvetica Neue" w:cs="Helvetica Neue"/>
          <w:color w:val="333333"/>
          <w:sz w:val="20"/>
          <w:szCs w:val="16"/>
        </w:rPr>
        <w:t>Acta No. 5 del 29 de junio de 2022 Comité Institucional</w:t>
      </w:r>
      <w:r w:rsidR="00224B38">
        <w:rPr>
          <w:rFonts w:ascii="Helvetica Neue" w:eastAsia="Helvetica Neue" w:hAnsi="Helvetica Neue" w:cs="Helvetica Neue"/>
          <w:color w:val="333333"/>
          <w:sz w:val="20"/>
          <w:szCs w:val="16"/>
        </w:rPr>
        <w:t xml:space="preserve"> de </w:t>
      </w:r>
      <w:r w:rsidR="00224B38" w:rsidRPr="00222576">
        <w:rPr>
          <w:rFonts w:ascii="Helvetica Neue" w:eastAsia="Helvetica Neue" w:hAnsi="Helvetica Neue" w:cs="Helvetica Neue"/>
          <w:color w:val="333333"/>
          <w:sz w:val="20"/>
          <w:szCs w:val="16"/>
        </w:rPr>
        <w:t>Gestión y Desempeño</w:t>
      </w:r>
    </w:p>
    <w:p w14:paraId="50D7B5DE" w14:textId="5B3D98E1" w:rsidR="00FA2140" w:rsidRPr="00222576" w:rsidRDefault="00FA2140">
      <w:pPr>
        <w:tabs>
          <w:tab w:val="left" w:pos="4097"/>
        </w:tabs>
        <w:rPr>
          <w:rFonts w:ascii="Helvetica Neue" w:eastAsia="Helvetica Neue" w:hAnsi="Helvetica Neue" w:cs="Helvetica Neue"/>
          <w:color w:val="333333"/>
          <w:sz w:val="20"/>
          <w:szCs w:val="16"/>
        </w:rPr>
      </w:pPr>
      <w:r>
        <w:rPr>
          <w:rFonts w:ascii="Helvetica Neue" w:eastAsia="Helvetica Neue" w:hAnsi="Helvetica Neue" w:cs="Helvetica Neue"/>
          <w:color w:val="333333"/>
          <w:sz w:val="20"/>
          <w:szCs w:val="16"/>
        </w:rPr>
        <w:t>PDF Cuadro de siglas y dependencias</w:t>
      </w:r>
    </w:p>
    <w:sectPr w:rsidR="00FA2140" w:rsidRPr="00222576" w:rsidSect="0001352E">
      <w:pgSz w:w="15842" w:h="24483" w:code="186"/>
      <w:pgMar w:top="1134" w:right="1134" w:bottom="1134" w:left="1134"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son Ivan Diaz Amortegui" w:date="2022-07-28T14:33:00Z" w:initials="NIDA">
    <w:p w14:paraId="5E642188" w14:textId="4B658C03" w:rsidR="00D422D5" w:rsidRDefault="00D422D5">
      <w:pPr>
        <w:pStyle w:val="Textocomentario"/>
      </w:pPr>
      <w:r>
        <w:rPr>
          <w:rStyle w:val="Refdecomentario"/>
        </w:rPr>
        <w:annotationRef/>
      </w:r>
      <w:r>
        <w:t>Segundo Nivel</w:t>
      </w:r>
    </w:p>
  </w:comment>
  <w:comment w:id="1" w:author="Nelson Ivan Diaz Amortegui" w:date="2022-07-28T14:41:00Z" w:initials="NIDA">
    <w:p w14:paraId="1AB1F8BB" w14:textId="58E1258F" w:rsidR="00DE0AD6" w:rsidRDefault="00DE0AD6">
      <w:pPr>
        <w:pStyle w:val="Textocomentario"/>
      </w:pPr>
      <w:r>
        <w:rPr>
          <w:rStyle w:val="Refdecomentario"/>
        </w:rPr>
        <w:annotationRef/>
      </w:r>
      <w:r>
        <w:t>Se desplegará el siguiente texto</w:t>
      </w:r>
    </w:p>
  </w:comment>
  <w:comment w:id="2" w:author="Nelson Ivan Diaz Amortegui" w:date="2022-08-02T08:57:00Z" w:initials="NIDA">
    <w:p w14:paraId="503699C8" w14:textId="4756B1AB" w:rsidR="0001352E" w:rsidRDefault="0001352E">
      <w:pPr>
        <w:pStyle w:val="Textocomentario"/>
      </w:pPr>
      <w:r>
        <w:rPr>
          <w:rStyle w:val="Refdecomentario"/>
        </w:rPr>
        <w:annotationRef/>
      </w:r>
      <w:r>
        <w:t>Tercer Nivel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42188" w15:done="0"/>
  <w15:commentEx w15:paraId="1AB1F8BB" w15:done="0"/>
  <w15:commentEx w15:paraId="50369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42188" w16cid:durableId="2697698E"/>
  <w16cid:commentId w16cid:paraId="1AB1F8BB" w16cid:durableId="2697698F"/>
  <w16cid:commentId w16cid:paraId="503699C8" w16cid:durableId="269769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van Diaz Amortegui">
    <w15:presenceInfo w15:providerId="None" w15:userId="Nelson Ivan Diaz Amorteg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8E"/>
    <w:rsid w:val="0001352E"/>
    <w:rsid w:val="00015901"/>
    <w:rsid w:val="001B4C0C"/>
    <w:rsid w:val="00222576"/>
    <w:rsid w:val="00224B38"/>
    <w:rsid w:val="00551F9A"/>
    <w:rsid w:val="006B619E"/>
    <w:rsid w:val="00785569"/>
    <w:rsid w:val="00873D94"/>
    <w:rsid w:val="0093775C"/>
    <w:rsid w:val="009453A1"/>
    <w:rsid w:val="00B227D6"/>
    <w:rsid w:val="00C57D8E"/>
    <w:rsid w:val="00D422D5"/>
    <w:rsid w:val="00DE0AD6"/>
    <w:rsid w:val="00F44EA6"/>
    <w:rsid w:val="00FA21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2A3F"/>
  <w15:docId w15:val="{58F35182-C0A0-4EC2-9A96-305A1F1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05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14739A"/>
    <w:rPr>
      <w:color w:val="0563C1" w:themeColor="hyperlink"/>
      <w:u w:val="single"/>
    </w:rPr>
  </w:style>
  <w:style w:type="paragraph" w:styleId="Prrafodelista">
    <w:name w:val="List Paragraph"/>
    <w:basedOn w:val="Normal"/>
    <w:uiPriority w:val="34"/>
    <w:qFormat/>
    <w:rsid w:val="00D05DDA"/>
    <w:pPr>
      <w:ind w:left="720"/>
      <w:contextualSpacing/>
    </w:pPr>
  </w:style>
  <w:style w:type="character" w:styleId="Hipervnculovisitado">
    <w:name w:val="FollowedHyperlink"/>
    <w:basedOn w:val="Fuentedeprrafopredeter"/>
    <w:uiPriority w:val="99"/>
    <w:semiHidden/>
    <w:unhideWhenUsed/>
    <w:rsid w:val="00D05DDA"/>
    <w:rPr>
      <w:color w:val="954F72" w:themeColor="followedHyperlink"/>
      <w:u w:val="single"/>
    </w:rPr>
  </w:style>
  <w:style w:type="character" w:customStyle="1" w:styleId="Ttulo2Car">
    <w:name w:val="Título 2 Car"/>
    <w:basedOn w:val="Fuentedeprrafopredeter"/>
    <w:link w:val="Ttulo2"/>
    <w:uiPriority w:val="9"/>
    <w:rsid w:val="00D05DDA"/>
    <w:rPr>
      <w:rFonts w:ascii="Times New Roman" w:eastAsia="Times New Roman" w:hAnsi="Times New Roman" w:cs="Times New Roman"/>
      <w:b/>
      <w:bCs/>
      <w:sz w:val="36"/>
      <w:szCs w:val="36"/>
      <w:lang w:eastAsia="es-CO"/>
    </w:rPr>
  </w:style>
  <w:style w:type="character" w:styleId="Refdecomentario">
    <w:name w:val="annotation reference"/>
    <w:basedOn w:val="Fuentedeprrafopredeter"/>
    <w:uiPriority w:val="99"/>
    <w:semiHidden/>
    <w:unhideWhenUsed/>
    <w:rsid w:val="00F3382D"/>
    <w:rPr>
      <w:sz w:val="16"/>
      <w:szCs w:val="16"/>
    </w:rPr>
  </w:style>
  <w:style w:type="paragraph" w:styleId="Textocomentario">
    <w:name w:val="annotation text"/>
    <w:basedOn w:val="Normal"/>
    <w:link w:val="TextocomentarioCar"/>
    <w:uiPriority w:val="99"/>
    <w:semiHidden/>
    <w:unhideWhenUsed/>
    <w:rsid w:val="00F338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2D"/>
    <w:rPr>
      <w:sz w:val="20"/>
      <w:szCs w:val="20"/>
    </w:rPr>
  </w:style>
  <w:style w:type="paragraph" w:styleId="Asuntodelcomentario">
    <w:name w:val="annotation subject"/>
    <w:basedOn w:val="Textocomentario"/>
    <w:next w:val="Textocomentario"/>
    <w:link w:val="AsuntodelcomentarioCar"/>
    <w:uiPriority w:val="99"/>
    <w:semiHidden/>
    <w:unhideWhenUsed/>
    <w:rsid w:val="00F3382D"/>
    <w:rPr>
      <w:b/>
      <w:bCs/>
    </w:rPr>
  </w:style>
  <w:style w:type="character" w:customStyle="1" w:styleId="AsuntodelcomentarioCar">
    <w:name w:val="Asunto del comentario Car"/>
    <w:basedOn w:val="TextocomentarioCar"/>
    <w:link w:val="Asuntodelcomentario"/>
    <w:uiPriority w:val="99"/>
    <w:semiHidden/>
    <w:rsid w:val="00F3382D"/>
    <w:rPr>
      <w:b/>
      <w:bCs/>
      <w:sz w:val="20"/>
      <w:szCs w:val="20"/>
    </w:rPr>
  </w:style>
  <w:style w:type="paragraph" w:styleId="Textodeglobo">
    <w:name w:val="Balloon Text"/>
    <w:basedOn w:val="Normal"/>
    <w:link w:val="TextodegloboCar"/>
    <w:uiPriority w:val="99"/>
    <w:semiHidden/>
    <w:unhideWhenUsed/>
    <w:rsid w:val="00F338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2D"/>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idu.gov.co/page/transparencia/informacion-de-interes/sigi/g-documental"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z9i94zTMCewKCQdVR9947aiwQ==">AMUW2mUN1HwTuFhnncMdGUn2ZL528TQttAfmi2h6+3h4t2nyp6rHjvt1+FnnI1jW2mJbgA/EnXAfPJm0xl/F6CRDvADZmBdvAbY8bGmIfnTPQ4k/oFdB/Yv7rdDzABYRvDgHE3g0wAOM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Ivan Diaz Amortegui</dc:creator>
  <cp:lastModifiedBy>Diaz Amortegui Nelson Ivan</cp:lastModifiedBy>
  <cp:revision>11</cp:revision>
  <dcterms:created xsi:type="dcterms:W3CDTF">2022-07-21T14:14:00Z</dcterms:created>
  <dcterms:modified xsi:type="dcterms:W3CDTF">2022-08-05T15:05:00Z</dcterms:modified>
</cp:coreProperties>
</file>