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6D461" w14:textId="77777777" w:rsidR="00B9079B" w:rsidRPr="0068733C" w:rsidRDefault="00B9079B" w:rsidP="00B9079B">
      <w:pPr>
        <w:jc w:val="center"/>
        <w:rPr>
          <w:rFonts w:ascii="Arial" w:hAnsi="Arial" w:cs="Arial"/>
          <w:b/>
          <w:sz w:val="20"/>
          <w:szCs w:val="20"/>
          <w:lang w:val="es-419"/>
        </w:rPr>
      </w:pPr>
      <w:r w:rsidRPr="0068733C">
        <w:rPr>
          <w:rFonts w:ascii="Arial" w:hAnsi="Arial" w:cs="Arial"/>
          <w:b/>
          <w:sz w:val="20"/>
          <w:szCs w:val="20"/>
          <w:lang w:val="es-419"/>
        </w:rPr>
        <w:t>MATRIZ 2 – INDICADORES FINANCIEROS Y ORGANIZACIONALES</w:t>
      </w:r>
    </w:p>
    <w:p w14:paraId="46EE559E" w14:textId="39B25D80" w:rsidR="00B9079B" w:rsidRPr="0068733C" w:rsidRDefault="0019592E" w:rsidP="00B9079B">
      <w:pPr>
        <w:jc w:val="center"/>
        <w:rPr>
          <w:rFonts w:ascii="Arial" w:hAnsi="Arial" w:cs="Arial"/>
          <w:b/>
          <w:sz w:val="20"/>
          <w:szCs w:val="20"/>
          <w:lang w:val="es-419"/>
        </w:rPr>
      </w:pPr>
      <w:r>
        <w:rPr>
          <w:rFonts w:ascii="Arial" w:hAnsi="Arial" w:cs="Arial"/>
          <w:b/>
          <w:sz w:val="20"/>
          <w:szCs w:val="20"/>
          <w:lang w:val="es-419"/>
        </w:rPr>
        <w:t xml:space="preserve">INTERVENTORIA DE </w:t>
      </w:r>
      <w:r w:rsidR="00B9079B" w:rsidRPr="0068733C">
        <w:rPr>
          <w:rFonts w:ascii="Arial" w:hAnsi="Arial" w:cs="Arial"/>
          <w:b/>
          <w:sz w:val="20"/>
          <w:szCs w:val="20"/>
          <w:lang w:val="es-419"/>
        </w:rPr>
        <w:t xml:space="preserve">OBRAS PARA INFRAESTRUCTURA DE TRANSPORTE </w:t>
      </w:r>
    </w:p>
    <w:p w14:paraId="40577A12" w14:textId="77777777" w:rsidR="00B9079B" w:rsidRPr="00277283" w:rsidRDefault="00B9079B" w:rsidP="00B9079B">
      <w:pPr>
        <w:jc w:val="center"/>
        <w:rPr>
          <w:rFonts w:ascii="Arial" w:hAnsi="Arial" w:cs="Arial"/>
          <w:b/>
          <w:color w:val="3A3939" w:themeColor="background2" w:themeShade="BF"/>
          <w:sz w:val="20"/>
          <w:szCs w:val="20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</w:tblGrid>
      <w:tr w:rsidR="00277283" w:rsidRPr="00305053" w14:paraId="388B7D20" w14:textId="77777777" w:rsidTr="348A32FD">
        <w:trPr>
          <w:trHeight w:val="20"/>
          <w:jc w:val="center"/>
        </w:trPr>
        <w:tc>
          <w:tcPr>
            <w:tcW w:w="2689" w:type="dxa"/>
            <w:shd w:val="clear" w:color="auto" w:fill="3A3939" w:themeFill="accent2" w:themeFillShade="BF"/>
            <w:vAlign w:val="center"/>
          </w:tcPr>
          <w:p w14:paraId="76F2DF0D" w14:textId="77777777" w:rsidR="00D46BA6" w:rsidRPr="00305053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0505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2268" w:type="dxa"/>
            <w:shd w:val="clear" w:color="auto" w:fill="3A3939" w:themeFill="accent2" w:themeFillShade="BF"/>
            <w:vAlign w:val="center"/>
          </w:tcPr>
          <w:p w14:paraId="5E63DFBF" w14:textId="77777777" w:rsidR="00D46BA6" w:rsidRPr="00305053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0505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concertado</w:t>
            </w:r>
          </w:p>
        </w:tc>
      </w:tr>
      <w:tr w:rsidR="0019592E" w:rsidRPr="00305053" w14:paraId="33EFB194" w14:textId="77777777" w:rsidTr="348A32FD">
        <w:trPr>
          <w:trHeight w:val="20"/>
          <w:jc w:val="center"/>
        </w:trPr>
        <w:tc>
          <w:tcPr>
            <w:tcW w:w="2689" w:type="dxa"/>
            <w:vAlign w:val="center"/>
          </w:tcPr>
          <w:p w14:paraId="5A4C0D30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A2DF1A" w14:textId="625BD844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053">
              <w:rPr>
                <w:rFonts w:ascii="Arial" w:hAnsi="Arial" w:cs="Arial"/>
                <w:sz w:val="20"/>
                <w:szCs w:val="20"/>
              </w:rPr>
              <w:t xml:space="preserve">Índice de </w:t>
            </w:r>
            <w:r w:rsidR="00FE170D" w:rsidRPr="00305053">
              <w:rPr>
                <w:rFonts w:ascii="Arial" w:hAnsi="Arial" w:cs="Arial"/>
                <w:sz w:val="20"/>
                <w:szCs w:val="20"/>
              </w:rPr>
              <w:t>l</w:t>
            </w:r>
            <w:r w:rsidRPr="00305053">
              <w:rPr>
                <w:rFonts w:ascii="Arial" w:hAnsi="Arial" w:cs="Arial"/>
                <w:sz w:val="20"/>
                <w:szCs w:val="20"/>
              </w:rPr>
              <w:t>iquidez</w:t>
            </w:r>
          </w:p>
        </w:tc>
        <w:tc>
          <w:tcPr>
            <w:tcW w:w="2268" w:type="dxa"/>
            <w:vAlign w:val="center"/>
          </w:tcPr>
          <w:p w14:paraId="2D55BB2B" w14:textId="546C8065" w:rsidR="00D46BA6" w:rsidRPr="00305053" w:rsidRDefault="0072613C" w:rsidP="348A32F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</w:rPr>
                <m:t>≥</m:t>
              </m:r>
            </m:oMath>
            <w:r w:rsidR="00D46BA6" w:rsidRPr="0030505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4CFA287A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92E" w:rsidRPr="00305053" w14:paraId="1315AF6F" w14:textId="77777777" w:rsidTr="348A32FD">
        <w:trPr>
          <w:trHeight w:val="20"/>
          <w:jc w:val="center"/>
        </w:trPr>
        <w:tc>
          <w:tcPr>
            <w:tcW w:w="2689" w:type="dxa"/>
            <w:vAlign w:val="center"/>
          </w:tcPr>
          <w:p w14:paraId="0D7C4BC4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735F3D" w14:textId="78849426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053">
              <w:rPr>
                <w:rFonts w:ascii="Arial" w:hAnsi="Arial" w:cs="Arial"/>
                <w:sz w:val="20"/>
                <w:szCs w:val="20"/>
              </w:rPr>
              <w:t xml:space="preserve">Índice de </w:t>
            </w:r>
            <w:r w:rsidR="00FE170D" w:rsidRPr="00305053">
              <w:rPr>
                <w:rFonts w:ascii="Arial" w:hAnsi="Arial" w:cs="Arial"/>
                <w:sz w:val="20"/>
                <w:szCs w:val="20"/>
              </w:rPr>
              <w:t>e</w:t>
            </w:r>
            <w:r w:rsidRPr="00305053">
              <w:rPr>
                <w:rFonts w:ascii="Arial" w:hAnsi="Arial" w:cs="Arial"/>
                <w:sz w:val="20"/>
                <w:szCs w:val="20"/>
              </w:rPr>
              <w:t>ndeudamiento</w:t>
            </w:r>
          </w:p>
        </w:tc>
        <w:tc>
          <w:tcPr>
            <w:tcW w:w="2268" w:type="dxa"/>
            <w:vAlign w:val="center"/>
          </w:tcPr>
          <w:p w14:paraId="09199A7A" w14:textId="77777777" w:rsidR="00D46BA6" w:rsidRPr="00305053" w:rsidRDefault="00D46BA6" w:rsidP="0072613C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364802C7" w14:textId="77777777" w:rsidR="00D46BA6" w:rsidRPr="00305053" w:rsidRDefault="0072613C" w:rsidP="00726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 w:rsidR="00D46BA6" w:rsidRPr="00305053"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  <w:p w14:paraId="039F5893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92E" w:rsidRPr="00305053" w14:paraId="4772C91D" w14:textId="77777777" w:rsidTr="348A32FD">
        <w:trPr>
          <w:trHeight w:val="20"/>
          <w:jc w:val="center"/>
        </w:trPr>
        <w:tc>
          <w:tcPr>
            <w:tcW w:w="2689" w:type="dxa"/>
            <w:vAlign w:val="center"/>
          </w:tcPr>
          <w:p w14:paraId="41F7F95C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261590" w14:textId="113461C8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053">
              <w:rPr>
                <w:rFonts w:ascii="Arial" w:hAnsi="Arial" w:cs="Arial"/>
                <w:sz w:val="20"/>
                <w:szCs w:val="20"/>
              </w:rPr>
              <w:t xml:space="preserve">Razón de </w:t>
            </w:r>
            <w:r w:rsidR="00FE170D" w:rsidRPr="00305053">
              <w:rPr>
                <w:rFonts w:ascii="Arial" w:hAnsi="Arial" w:cs="Arial"/>
                <w:sz w:val="20"/>
                <w:szCs w:val="20"/>
              </w:rPr>
              <w:t>c</w:t>
            </w:r>
            <w:r w:rsidRPr="00305053">
              <w:rPr>
                <w:rFonts w:ascii="Arial" w:hAnsi="Arial" w:cs="Arial"/>
                <w:sz w:val="20"/>
                <w:szCs w:val="20"/>
              </w:rPr>
              <w:t>obertura de Intereses</w:t>
            </w:r>
          </w:p>
        </w:tc>
        <w:tc>
          <w:tcPr>
            <w:tcW w:w="2268" w:type="dxa"/>
            <w:vAlign w:val="center"/>
          </w:tcPr>
          <w:p w14:paraId="0D1618AC" w14:textId="77777777" w:rsidR="00D46BA6" w:rsidRPr="00305053" w:rsidRDefault="00D46BA6" w:rsidP="0072613C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23BD2C6B" w14:textId="1B41EB5E" w:rsidR="00D46BA6" w:rsidRPr="00305053" w:rsidRDefault="0072613C" w:rsidP="348A32FD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</w:rPr>
                  <m:t>≥1</m:t>
                </m:r>
              </m:oMath>
            </m:oMathPara>
          </w:p>
          <w:p w14:paraId="2B5DC59C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92E" w:rsidRPr="00305053" w14:paraId="27DA5319" w14:textId="77777777" w:rsidTr="348A32FD">
        <w:trPr>
          <w:trHeight w:val="20"/>
          <w:jc w:val="center"/>
        </w:trPr>
        <w:tc>
          <w:tcPr>
            <w:tcW w:w="2689" w:type="dxa"/>
            <w:vAlign w:val="center"/>
          </w:tcPr>
          <w:p w14:paraId="199A3667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5D13A" w14:textId="2197DF65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053">
              <w:rPr>
                <w:rFonts w:ascii="Arial" w:hAnsi="Arial" w:cs="Arial"/>
                <w:sz w:val="20"/>
                <w:szCs w:val="20"/>
              </w:rPr>
              <w:t xml:space="preserve">Capital de </w:t>
            </w:r>
            <w:r w:rsidR="00FE170D" w:rsidRPr="00305053">
              <w:rPr>
                <w:rFonts w:ascii="Arial" w:hAnsi="Arial" w:cs="Arial"/>
                <w:sz w:val="20"/>
                <w:szCs w:val="20"/>
              </w:rPr>
              <w:t>t</w:t>
            </w:r>
            <w:r w:rsidRPr="00305053">
              <w:rPr>
                <w:rFonts w:ascii="Arial" w:hAnsi="Arial" w:cs="Arial"/>
                <w:sz w:val="20"/>
                <w:szCs w:val="20"/>
              </w:rPr>
              <w:t>rabajo</w:t>
            </w:r>
          </w:p>
        </w:tc>
        <w:tc>
          <w:tcPr>
            <w:tcW w:w="2268" w:type="dxa"/>
            <w:vAlign w:val="center"/>
          </w:tcPr>
          <w:p w14:paraId="61D886AB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B33DD7" w14:textId="77D4ECC8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053">
              <w:rPr>
                <w:rFonts w:ascii="Arial" w:hAnsi="Arial" w:cs="Arial"/>
                <w:sz w:val="20"/>
                <w:szCs w:val="20"/>
              </w:rPr>
              <w:t xml:space="preserve">Definido en los </w:t>
            </w:r>
            <w:r w:rsidR="00FE170D" w:rsidRPr="00305053">
              <w:rPr>
                <w:rFonts w:ascii="Arial" w:hAnsi="Arial" w:cs="Arial"/>
                <w:sz w:val="20"/>
                <w:szCs w:val="20"/>
              </w:rPr>
              <w:t>p</w:t>
            </w:r>
            <w:r w:rsidRPr="00305053">
              <w:rPr>
                <w:rFonts w:ascii="Arial" w:hAnsi="Arial" w:cs="Arial"/>
                <w:sz w:val="20"/>
                <w:szCs w:val="20"/>
              </w:rPr>
              <w:t xml:space="preserve">liegos </w:t>
            </w:r>
            <w:r w:rsidR="00FE170D" w:rsidRPr="00305053">
              <w:rPr>
                <w:rFonts w:ascii="Arial" w:hAnsi="Arial" w:cs="Arial"/>
                <w:sz w:val="20"/>
                <w:szCs w:val="20"/>
              </w:rPr>
              <w:t>t</w:t>
            </w:r>
            <w:r w:rsidRPr="00305053">
              <w:rPr>
                <w:rFonts w:ascii="Arial" w:hAnsi="Arial" w:cs="Arial"/>
                <w:sz w:val="20"/>
                <w:szCs w:val="20"/>
              </w:rPr>
              <w:t>ipo</w:t>
            </w:r>
          </w:p>
          <w:p w14:paraId="59583446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92E" w:rsidRPr="00305053" w14:paraId="0E36E34F" w14:textId="77777777" w:rsidTr="348A32FD">
        <w:trPr>
          <w:trHeight w:val="20"/>
          <w:jc w:val="center"/>
        </w:trPr>
        <w:tc>
          <w:tcPr>
            <w:tcW w:w="2689" w:type="dxa"/>
            <w:vAlign w:val="center"/>
          </w:tcPr>
          <w:p w14:paraId="7DB2AE9C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19048" w14:textId="3E8C9EE8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053">
              <w:rPr>
                <w:rFonts w:ascii="Arial" w:hAnsi="Arial" w:cs="Arial"/>
                <w:sz w:val="20"/>
                <w:szCs w:val="20"/>
              </w:rPr>
              <w:t xml:space="preserve">Rentabilidad del </w:t>
            </w:r>
            <w:r w:rsidR="00FE170D" w:rsidRPr="00305053">
              <w:rPr>
                <w:rFonts w:ascii="Arial" w:hAnsi="Arial" w:cs="Arial"/>
                <w:sz w:val="20"/>
                <w:szCs w:val="20"/>
              </w:rPr>
              <w:t>p</w:t>
            </w:r>
            <w:r w:rsidRPr="00305053">
              <w:rPr>
                <w:rFonts w:ascii="Arial" w:hAnsi="Arial" w:cs="Arial"/>
                <w:sz w:val="20"/>
                <w:szCs w:val="20"/>
              </w:rPr>
              <w:t>atrimonio</w:t>
            </w:r>
          </w:p>
        </w:tc>
        <w:tc>
          <w:tcPr>
            <w:tcW w:w="2268" w:type="dxa"/>
            <w:vAlign w:val="center"/>
          </w:tcPr>
          <w:p w14:paraId="4A68EC81" w14:textId="77777777" w:rsidR="00D46BA6" w:rsidRPr="00305053" w:rsidRDefault="00D46BA6" w:rsidP="0072613C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3645DC3E" w14:textId="77777777" w:rsidR="00D46BA6" w:rsidRPr="00305053" w:rsidRDefault="0072613C" w:rsidP="0072613C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</w:rPr>
                  <m:t>≥0</m:t>
                </m:r>
              </m:oMath>
            </m:oMathPara>
          </w:p>
          <w:p w14:paraId="311F0606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BA6" w:rsidRPr="00305053" w14:paraId="149600A6" w14:textId="77777777" w:rsidTr="348A32FD">
        <w:trPr>
          <w:trHeight w:val="20"/>
          <w:jc w:val="center"/>
        </w:trPr>
        <w:tc>
          <w:tcPr>
            <w:tcW w:w="2689" w:type="dxa"/>
            <w:vAlign w:val="center"/>
          </w:tcPr>
          <w:p w14:paraId="6ABAF9FB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14F970" w14:textId="33B8F3A3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053">
              <w:rPr>
                <w:rFonts w:ascii="Arial" w:hAnsi="Arial" w:cs="Arial"/>
                <w:sz w:val="20"/>
                <w:szCs w:val="20"/>
              </w:rPr>
              <w:t xml:space="preserve">Rentabilidad del </w:t>
            </w:r>
            <w:r w:rsidR="00FE170D" w:rsidRPr="00305053">
              <w:rPr>
                <w:rFonts w:ascii="Arial" w:hAnsi="Arial" w:cs="Arial"/>
                <w:sz w:val="20"/>
                <w:szCs w:val="20"/>
              </w:rPr>
              <w:t>a</w:t>
            </w:r>
            <w:r w:rsidRPr="00305053">
              <w:rPr>
                <w:rFonts w:ascii="Arial" w:hAnsi="Arial" w:cs="Arial"/>
                <w:sz w:val="20"/>
                <w:szCs w:val="20"/>
              </w:rPr>
              <w:t>ctivo</w:t>
            </w:r>
          </w:p>
        </w:tc>
        <w:tc>
          <w:tcPr>
            <w:tcW w:w="2268" w:type="dxa"/>
            <w:vAlign w:val="center"/>
          </w:tcPr>
          <w:p w14:paraId="19B1FCB4" w14:textId="77777777" w:rsidR="00D46BA6" w:rsidRPr="00305053" w:rsidRDefault="00D46BA6" w:rsidP="0072613C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5C385603" w14:textId="77777777" w:rsidR="00D46BA6" w:rsidRPr="00305053" w:rsidRDefault="0072613C" w:rsidP="0072613C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</w:rPr>
                  <m:t>≥0</m:t>
                </m:r>
              </m:oMath>
            </m:oMathPara>
          </w:p>
          <w:p w14:paraId="78489C02" w14:textId="77777777" w:rsidR="00D46BA6" w:rsidRPr="00305053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A3A6F6" w14:textId="77777777" w:rsidR="00B9079B" w:rsidRPr="0068733C" w:rsidRDefault="00B9079B" w:rsidP="00B9079B">
      <w:pPr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76491038" w14:textId="77777777" w:rsidR="0072613C" w:rsidRPr="0068733C" w:rsidRDefault="0072613C" w:rsidP="00B9079B">
      <w:pPr>
        <w:jc w:val="both"/>
        <w:rPr>
          <w:rFonts w:ascii="Arial" w:hAnsi="Arial" w:cs="Arial"/>
          <w:sz w:val="20"/>
          <w:szCs w:val="20"/>
          <w:lang w:val="es-419"/>
        </w:rPr>
      </w:pPr>
    </w:p>
    <w:p w14:paraId="5BFB927D" w14:textId="14300FD5" w:rsidR="0034024E" w:rsidRPr="0068733C" w:rsidRDefault="0072613C" w:rsidP="00470102">
      <w:pPr>
        <w:jc w:val="both"/>
      </w:pPr>
      <w:r w:rsidRPr="0068733C">
        <w:rPr>
          <w:rFonts w:ascii="Arial" w:hAnsi="Arial" w:cs="Arial"/>
          <w:sz w:val="20"/>
          <w:szCs w:val="20"/>
          <w:lang w:val="es-419"/>
        </w:rPr>
        <w:t>Los indicadores definidos en la presente matriz deben ser usados</w:t>
      </w:r>
      <w:r w:rsidR="00485984" w:rsidRPr="0068733C">
        <w:rPr>
          <w:rFonts w:ascii="Arial" w:hAnsi="Arial" w:cs="Arial"/>
          <w:sz w:val="20"/>
          <w:szCs w:val="20"/>
          <w:lang w:val="es-419"/>
        </w:rPr>
        <w:t xml:space="preserve"> de manera obligatoria</w:t>
      </w:r>
      <w:r w:rsidRPr="0068733C">
        <w:rPr>
          <w:rFonts w:ascii="Arial" w:hAnsi="Arial" w:cs="Arial"/>
          <w:sz w:val="20"/>
          <w:szCs w:val="20"/>
          <w:lang w:val="es-419"/>
        </w:rPr>
        <w:t xml:space="preserve"> por las </w:t>
      </w:r>
      <w:r w:rsidR="00FE170D">
        <w:rPr>
          <w:rFonts w:ascii="Arial" w:hAnsi="Arial" w:cs="Arial"/>
          <w:sz w:val="20"/>
          <w:szCs w:val="20"/>
          <w:lang w:val="es-419"/>
        </w:rPr>
        <w:t>e</w:t>
      </w:r>
      <w:r w:rsidRPr="0068733C">
        <w:rPr>
          <w:rFonts w:ascii="Arial" w:hAnsi="Arial" w:cs="Arial"/>
          <w:sz w:val="20"/>
          <w:szCs w:val="20"/>
          <w:lang w:val="es-419"/>
        </w:rPr>
        <w:t xml:space="preserve">ntidades en la estructuración de los </w:t>
      </w:r>
      <w:r w:rsidR="00FE170D">
        <w:rPr>
          <w:rFonts w:ascii="Arial" w:hAnsi="Arial" w:cs="Arial"/>
          <w:sz w:val="20"/>
          <w:szCs w:val="20"/>
          <w:lang w:val="es-419"/>
        </w:rPr>
        <w:t>d</w:t>
      </w:r>
      <w:r w:rsidRPr="0068733C">
        <w:rPr>
          <w:rFonts w:ascii="Arial" w:hAnsi="Arial" w:cs="Arial"/>
          <w:sz w:val="20"/>
          <w:szCs w:val="20"/>
          <w:lang w:val="es-419"/>
        </w:rPr>
        <w:t xml:space="preserve">ocumentos del </w:t>
      </w:r>
      <w:r w:rsidR="00FE170D">
        <w:rPr>
          <w:rFonts w:ascii="Arial" w:hAnsi="Arial" w:cs="Arial"/>
          <w:sz w:val="20"/>
          <w:szCs w:val="20"/>
          <w:lang w:val="es-419"/>
        </w:rPr>
        <w:t>p</w:t>
      </w:r>
      <w:r w:rsidRPr="0068733C">
        <w:rPr>
          <w:rFonts w:ascii="Arial" w:hAnsi="Arial" w:cs="Arial"/>
          <w:sz w:val="20"/>
          <w:szCs w:val="20"/>
          <w:lang w:val="es-419"/>
        </w:rPr>
        <w:t xml:space="preserve">roceso de </w:t>
      </w:r>
      <w:r w:rsidR="00FE170D">
        <w:rPr>
          <w:rFonts w:ascii="Arial" w:hAnsi="Arial" w:cs="Arial"/>
          <w:sz w:val="20"/>
          <w:szCs w:val="20"/>
          <w:lang w:val="es-419"/>
        </w:rPr>
        <w:t>c</w:t>
      </w:r>
      <w:r w:rsidRPr="0068733C">
        <w:rPr>
          <w:rFonts w:ascii="Arial" w:hAnsi="Arial" w:cs="Arial"/>
          <w:sz w:val="20"/>
          <w:szCs w:val="20"/>
          <w:lang w:val="es-419"/>
        </w:rPr>
        <w:t xml:space="preserve">ontratación de </w:t>
      </w:r>
      <w:r w:rsidR="00F731C8" w:rsidRPr="0068733C">
        <w:rPr>
          <w:rFonts w:ascii="Arial" w:hAnsi="Arial" w:cs="Arial"/>
          <w:sz w:val="20"/>
          <w:szCs w:val="20"/>
          <w:lang w:val="es-419"/>
        </w:rPr>
        <w:t xml:space="preserve">Interventoría de </w:t>
      </w:r>
      <w:r w:rsidRPr="0068733C">
        <w:rPr>
          <w:rFonts w:ascii="Arial" w:hAnsi="Arial" w:cs="Arial"/>
          <w:sz w:val="20"/>
          <w:szCs w:val="20"/>
          <w:lang w:val="es-419"/>
        </w:rPr>
        <w:t>obra pública para infraestructura de transporte</w:t>
      </w:r>
      <w:r w:rsidR="00470102" w:rsidRPr="0068733C">
        <w:rPr>
          <w:rFonts w:ascii="Arial" w:hAnsi="Arial" w:cs="Arial"/>
          <w:sz w:val="20"/>
          <w:szCs w:val="20"/>
          <w:lang w:val="es-419"/>
        </w:rPr>
        <w:t xml:space="preserve">. </w:t>
      </w:r>
    </w:p>
    <w:p w14:paraId="5D2FAB63" w14:textId="77777777" w:rsidR="00B9079B" w:rsidRPr="0019592E" w:rsidRDefault="00B9079B" w:rsidP="00B9079B"/>
    <w:sectPr w:rsidR="00B9079B" w:rsidRPr="0019592E" w:rsidSect="003050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701" w:bottom="141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E2D72" w14:textId="77777777" w:rsidR="00E442E6" w:rsidRDefault="00E442E6" w:rsidP="004F2C35">
      <w:r>
        <w:separator/>
      </w:r>
    </w:p>
  </w:endnote>
  <w:endnote w:type="continuationSeparator" w:id="0">
    <w:p w14:paraId="29469831" w14:textId="77777777" w:rsidR="00E442E6" w:rsidRDefault="00E442E6" w:rsidP="004F2C35">
      <w:r>
        <w:continuationSeparator/>
      </w:r>
    </w:p>
  </w:endnote>
  <w:endnote w:type="continuationNotice" w:id="1">
    <w:p w14:paraId="5DE83B73" w14:textId="77777777" w:rsidR="00E442E6" w:rsidRDefault="00E44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299828514"/>
      <w:docPartObj>
        <w:docPartGallery w:val="Page Numbers (Bottom of Page)"/>
        <w:docPartUnique/>
      </w:docPartObj>
    </w:sdtPr>
    <w:sdtContent>
      <w:p w14:paraId="55533208" w14:textId="3DA40AEC" w:rsidR="00852A1E" w:rsidRDefault="00852A1E" w:rsidP="005957F5">
        <w:pPr>
          <w:pStyle w:val="Piedepgina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CE1A934" w14:textId="77777777" w:rsidR="00852A1E" w:rsidRDefault="00852A1E" w:rsidP="00852A1E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496314796"/>
      <w:docPartObj>
        <w:docPartGallery w:val="Page Numbers (Bottom of Page)"/>
        <w:docPartUnique/>
      </w:docPartObj>
    </w:sdtPr>
    <w:sdtContent>
      <w:p w14:paraId="00B2993A" w14:textId="0844E6FF" w:rsidR="00852A1E" w:rsidRDefault="00852A1E" w:rsidP="005957F5">
        <w:pPr>
          <w:pStyle w:val="Piedepgina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FC94EA1" w14:textId="77777777" w:rsidR="00C50D27" w:rsidRDefault="00C50D27" w:rsidP="00852A1E">
    <w:pPr>
      <w:pStyle w:val="Piedepgina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81827" w14:textId="77777777" w:rsidR="009A67BC" w:rsidRDefault="348A32FD" w:rsidP="009A67BC">
    <w:pPr>
      <w:pStyle w:val="Piedepgina"/>
      <w:jc w:val="center"/>
    </w:pPr>
    <w:r>
      <w:rPr>
        <w:noProof/>
      </w:rPr>
      <w:drawing>
        <wp:inline distT="0" distB="0" distL="0" distR="0" wp14:anchorId="3865C6C8" wp14:editId="3850ABD7">
          <wp:extent cx="1562642" cy="365821"/>
          <wp:effectExtent l="0" t="0" r="0" b="0"/>
          <wp:docPr id="53010036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642" cy="36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35EC5" w14:textId="77777777" w:rsidR="009A67BC" w:rsidRPr="009A67BC" w:rsidRDefault="348A32FD" w:rsidP="009A67BC">
    <w:pPr>
      <w:pStyle w:val="Piedepgina"/>
    </w:pPr>
    <w:r>
      <w:rPr>
        <w:noProof/>
      </w:rPr>
      <w:drawing>
        <wp:inline distT="0" distB="0" distL="0" distR="0" wp14:anchorId="79301979" wp14:editId="68437DC5">
          <wp:extent cx="5607050" cy="362585"/>
          <wp:effectExtent l="0" t="0" r="6350" b="0"/>
          <wp:docPr id="187575269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96AB0" w14:textId="77777777" w:rsidR="00E442E6" w:rsidRDefault="00E442E6" w:rsidP="004F2C35">
      <w:r>
        <w:separator/>
      </w:r>
    </w:p>
  </w:footnote>
  <w:footnote w:type="continuationSeparator" w:id="0">
    <w:p w14:paraId="7AB538C8" w14:textId="77777777" w:rsidR="00E442E6" w:rsidRDefault="00E442E6" w:rsidP="004F2C35">
      <w:r>
        <w:continuationSeparator/>
      </w:r>
    </w:p>
  </w:footnote>
  <w:footnote w:type="continuationNotice" w:id="1">
    <w:p w14:paraId="4435455D" w14:textId="77777777" w:rsidR="00E442E6" w:rsidRDefault="00E44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2956F" w14:textId="77777777" w:rsidR="00852A1E" w:rsidRDefault="00852A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515B4" w14:textId="77777777" w:rsidR="00F9302F" w:rsidRDefault="00F9302F" w:rsidP="00F9302F">
    <w:pPr>
      <w:ind w:left="100"/>
      <w:rPr>
        <w:sz w:val="20"/>
        <w:szCs w:val="20"/>
      </w:rPr>
    </w:pPr>
    <w:bookmarkStart w:id="0" w:name="_GoBack"/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14:paraId="1F37BD10" w14:textId="77777777" w:rsidR="00F9302F" w:rsidRDefault="00F9302F" w:rsidP="00F9302F">
    <w:pPr>
      <w:pStyle w:val="Encabezado"/>
      <w:jc w:val="center"/>
      <w:rPr>
        <w:b/>
      </w:rPr>
    </w:pPr>
  </w:p>
  <w:p w14:paraId="56E02199" w14:textId="0C2915D8" w:rsidR="006D761F" w:rsidRDefault="00F9302F" w:rsidP="00F9302F">
    <w:pPr>
      <w:pStyle w:val="Encabezado"/>
      <w:jc w:val="center"/>
      <w:rPr>
        <w:b/>
      </w:rPr>
    </w:pPr>
    <w:r>
      <w:rPr>
        <w:noProof/>
      </w:rPr>
      <w:drawing>
        <wp:inline distT="0" distB="0" distL="0" distR="0" wp14:anchorId="659926AE" wp14:editId="46B4F480">
          <wp:extent cx="792000" cy="81720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F75C11F" w14:textId="77777777" w:rsidR="006D761F" w:rsidRPr="006D761F" w:rsidRDefault="006D761F" w:rsidP="006D761F">
    <w:pPr>
      <w:rPr>
        <w:color w:val="4E4D4D" w:themeColor="background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4FD42" w14:textId="1F02D51A" w:rsidR="00B30435" w:rsidRDefault="00B30435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13CEDF4D" wp14:editId="025956DB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447285" w14:textId="77777777" w:rsidR="00B30435" w:rsidRPr="006D761F" w:rsidRDefault="00B30435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08EA0BDF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9B"/>
    <w:rsid w:val="00023FF9"/>
    <w:rsid w:val="000746B7"/>
    <w:rsid w:val="00091E6B"/>
    <w:rsid w:val="00095309"/>
    <w:rsid w:val="000A791C"/>
    <w:rsid w:val="000D7CD2"/>
    <w:rsid w:val="000F7BC6"/>
    <w:rsid w:val="0014591D"/>
    <w:rsid w:val="00154ECB"/>
    <w:rsid w:val="00181D75"/>
    <w:rsid w:val="0019592E"/>
    <w:rsid w:val="001A1B68"/>
    <w:rsid w:val="001A5E22"/>
    <w:rsid w:val="001A7ABE"/>
    <w:rsid w:val="001C6359"/>
    <w:rsid w:val="001C75B3"/>
    <w:rsid w:val="001D32CE"/>
    <w:rsid w:val="001D7612"/>
    <w:rsid w:val="001F7199"/>
    <w:rsid w:val="002535A9"/>
    <w:rsid w:val="00277283"/>
    <w:rsid w:val="002D02B1"/>
    <w:rsid w:val="00305053"/>
    <w:rsid w:val="00305CEF"/>
    <w:rsid w:val="0034024E"/>
    <w:rsid w:val="003847DE"/>
    <w:rsid w:val="003E173E"/>
    <w:rsid w:val="00470102"/>
    <w:rsid w:val="00474EDE"/>
    <w:rsid w:val="00485984"/>
    <w:rsid w:val="004A0BCA"/>
    <w:rsid w:val="004B1B0F"/>
    <w:rsid w:val="004C2595"/>
    <w:rsid w:val="004F2C35"/>
    <w:rsid w:val="004F2ED5"/>
    <w:rsid w:val="005145CC"/>
    <w:rsid w:val="005225E0"/>
    <w:rsid w:val="0059060F"/>
    <w:rsid w:val="006319DF"/>
    <w:rsid w:val="0065617D"/>
    <w:rsid w:val="0068733C"/>
    <w:rsid w:val="006878EC"/>
    <w:rsid w:val="006A63AE"/>
    <w:rsid w:val="006D761F"/>
    <w:rsid w:val="007212F3"/>
    <w:rsid w:val="0072613C"/>
    <w:rsid w:val="007423C6"/>
    <w:rsid w:val="00751787"/>
    <w:rsid w:val="0078734B"/>
    <w:rsid w:val="007C1BAD"/>
    <w:rsid w:val="007C30FA"/>
    <w:rsid w:val="00852A1E"/>
    <w:rsid w:val="008A1A6F"/>
    <w:rsid w:val="008A71EC"/>
    <w:rsid w:val="008B3011"/>
    <w:rsid w:val="009A67BC"/>
    <w:rsid w:val="009B26E4"/>
    <w:rsid w:val="00A06874"/>
    <w:rsid w:val="00A10537"/>
    <w:rsid w:val="00A12D59"/>
    <w:rsid w:val="00A34836"/>
    <w:rsid w:val="00B11CD8"/>
    <w:rsid w:val="00B30435"/>
    <w:rsid w:val="00B9079B"/>
    <w:rsid w:val="00C2579D"/>
    <w:rsid w:val="00C50D27"/>
    <w:rsid w:val="00C81483"/>
    <w:rsid w:val="00C8630D"/>
    <w:rsid w:val="00D46BA6"/>
    <w:rsid w:val="00D67F6F"/>
    <w:rsid w:val="00D72F9B"/>
    <w:rsid w:val="00E36500"/>
    <w:rsid w:val="00E442E6"/>
    <w:rsid w:val="00E608E6"/>
    <w:rsid w:val="00E61F07"/>
    <w:rsid w:val="00E66CC3"/>
    <w:rsid w:val="00EB47F3"/>
    <w:rsid w:val="00F311BA"/>
    <w:rsid w:val="00F4666A"/>
    <w:rsid w:val="00F5053A"/>
    <w:rsid w:val="00F532BF"/>
    <w:rsid w:val="00F53DA5"/>
    <w:rsid w:val="00F56D6D"/>
    <w:rsid w:val="00F60309"/>
    <w:rsid w:val="00F731C8"/>
    <w:rsid w:val="00F9302F"/>
    <w:rsid w:val="00F94209"/>
    <w:rsid w:val="00FC3ABB"/>
    <w:rsid w:val="00FE170D"/>
    <w:rsid w:val="348A32FD"/>
    <w:rsid w:val="60E5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6A3FC7"/>
  <w15:chartTrackingRefBased/>
  <w15:docId w15:val="{C89442CD-3135-4B83-88CF-DFA75683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9B"/>
    <w:pPr>
      <w:spacing w:after="0" w:line="240" w:lineRule="auto"/>
    </w:pPr>
    <w:rPr>
      <w:sz w:val="24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styleId="Refdecomentario">
    <w:name w:val="annotation reference"/>
    <w:basedOn w:val="Fuentedeprrafopredeter"/>
    <w:uiPriority w:val="99"/>
    <w:semiHidden/>
    <w:unhideWhenUsed/>
    <w:rsid w:val="008B3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30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3011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011"/>
    <w:rPr>
      <w:b/>
      <w:bCs/>
      <w:sz w:val="20"/>
      <w:szCs w:val="20"/>
      <w:lang w:val="es-MX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1959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1959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5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FD93-24D6-4773-B4F1-E3C4320D2B61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A76CB8E8-CE21-4D07-BF0D-351EF419B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D5DFE-2B3C-4E5A-AECD-B6F5322E6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8545BD-E1A8-A548-A054-6B92A7DE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Fernando Hernández Gómez</cp:lastModifiedBy>
  <cp:revision>3</cp:revision>
  <cp:lastPrinted>2020-12-13T17:30:00Z</cp:lastPrinted>
  <dcterms:created xsi:type="dcterms:W3CDTF">2021-01-18T20:55:00Z</dcterms:created>
  <dcterms:modified xsi:type="dcterms:W3CDTF">2021-01-18T21:00:00Z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