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20D15" w:rsidRDefault="001333A5" w:rsidP="00A20D15">
      <w:r w:rsidRPr="001333A5">
        <w:rPr>
          <w:noProof/>
          <w:lang w:eastAsia="es-CO"/>
        </w:rPr>
        <w:drawing>
          <wp:inline distT="0" distB="0" distL="0" distR="0">
            <wp:extent cx="5612130" cy="7262756"/>
            <wp:effectExtent l="0" t="0" r="7620" b="0"/>
            <wp:docPr id="14" name="Imagen 14" descr="D:\Users\pdpinzon1\Downloads\Portada-RC_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pdpinzon1\Downloads\Portada-RC_201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sdt>
      <w:sdtPr>
        <w:rPr>
          <w:rFonts w:asciiTheme="minorHAnsi" w:eastAsiaTheme="minorHAnsi" w:hAnsiTheme="minorHAnsi" w:cstheme="minorBidi"/>
          <w:b w:val="0"/>
          <w:bCs w:val="0"/>
          <w:color w:val="auto"/>
          <w:sz w:val="22"/>
          <w:szCs w:val="22"/>
          <w:lang w:val="es-ES" w:eastAsia="en-US"/>
        </w:rPr>
        <w:id w:val="-1423559462"/>
        <w:docPartObj>
          <w:docPartGallery w:val="Table of Contents"/>
          <w:docPartUnique/>
        </w:docPartObj>
      </w:sdtPr>
      <w:sdtEndPr/>
      <w:sdtContent>
        <w:p w:rsidR="00001F39" w:rsidRDefault="00001F39">
          <w:pPr>
            <w:pStyle w:val="TtuloTDC"/>
          </w:pPr>
          <w:r>
            <w:rPr>
              <w:lang w:val="es-ES"/>
            </w:rPr>
            <w:t>Contenido</w:t>
          </w:r>
        </w:p>
        <w:p w:rsidR="00001F39" w:rsidRDefault="00001F39">
          <w:pPr>
            <w:pStyle w:val="TDC2"/>
            <w:rPr>
              <w:rFonts w:asciiTheme="minorHAnsi" w:eastAsiaTheme="minorEastAsia" w:hAnsiTheme="minorHAnsi"/>
              <w:b w:val="0"/>
              <w:sz w:val="22"/>
              <w:lang w:eastAsia="es-CO"/>
            </w:rPr>
          </w:pPr>
          <w:r>
            <w:fldChar w:fldCharType="begin"/>
          </w:r>
          <w:r>
            <w:instrText xml:space="preserve"> TOC \o "1-3" \h \z \u </w:instrText>
          </w:r>
          <w:r>
            <w:fldChar w:fldCharType="separate"/>
          </w:r>
          <w:hyperlink w:anchor="_Toc30774593" w:history="1">
            <w:r w:rsidRPr="00F5040F">
              <w:rPr>
                <w:rStyle w:val="Hipervnculo"/>
              </w:rPr>
              <w:t>INTRODUCCIÓN</w:t>
            </w:r>
            <w:r>
              <w:rPr>
                <w:webHidden/>
              </w:rPr>
              <w:tab/>
            </w:r>
            <w:r>
              <w:rPr>
                <w:webHidden/>
              </w:rPr>
              <w:fldChar w:fldCharType="begin"/>
            </w:r>
            <w:r>
              <w:rPr>
                <w:webHidden/>
              </w:rPr>
              <w:instrText xml:space="preserve"> PAGEREF _Toc30774593 \h </w:instrText>
            </w:r>
            <w:r>
              <w:rPr>
                <w:webHidden/>
              </w:rPr>
            </w:r>
            <w:r>
              <w:rPr>
                <w:webHidden/>
              </w:rPr>
              <w:fldChar w:fldCharType="separate"/>
            </w:r>
            <w:r w:rsidR="002D104F">
              <w:rPr>
                <w:webHidden/>
              </w:rPr>
              <w:t>5</w:t>
            </w:r>
            <w:r>
              <w:rPr>
                <w:webHidden/>
              </w:rPr>
              <w:fldChar w:fldCharType="end"/>
            </w:r>
          </w:hyperlink>
        </w:p>
        <w:p w:rsidR="00001F39" w:rsidRDefault="00EF05C5">
          <w:pPr>
            <w:pStyle w:val="TDC2"/>
            <w:rPr>
              <w:rFonts w:asciiTheme="minorHAnsi" w:eastAsiaTheme="minorEastAsia" w:hAnsiTheme="minorHAnsi"/>
              <w:b w:val="0"/>
              <w:sz w:val="22"/>
              <w:lang w:eastAsia="es-CO"/>
            </w:rPr>
          </w:pPr>
          <w:hyperlink w:anchor="_Toc30774594" w:history="1">
            <w:r w:rsidR="00001F39" w:rsidRPr="00F5040F">
              <w:rPr>
                <w:rStyle w:val="Hipervnculo"/>
              </w:rPr>
              <w:t>CAPITULO I. GENERALIDADES DE LA ENTIDAD</w:t>
            </w:r>
            <w:r w:rsidR="00001F39">
              <w:rPr>
                <w:webHidden/>
              </w:rPr>
              <w:tab/>
            </w:r>
            <w:r w:rsidR="00001F39">
              <w:rPr>
                <w:webHidden/>
              </w:rPr>
              <w:fldChar w:fldCharType="begin"/>
            </w:r>
            <w:r w:rsidR="00001F39">
              <w:rPr>
                <w:webHidden/>
              </w:rPr>
              <w:instrText xml:space="preserve"> PAGEREF _Toc30774594 \h </w:instrText>
            </w:r>
            <w:r w:rsidR="00001F39">
              <w:rPr>
                <w:webHidden/>
              </w:rPr>
            </w:r>
            <w:r w:rsidR="00001F39">
              <w:rPr>
                <w:webHidden/>
              </w:rPr>
              <w:fldChar w:fldCharType="separate"/>
            </w:r>
            <w:r w:rsidR="002D104F">
              <w:rPr>
                <w:webHidden/>
              </w:rPr>
              <w:t>8</w:t>
            </w:r>
            <w:r w:rsidR="00001F39">
              <w:rPr>
                <w:webHidden/>
              </w:rPr>
              <w:fldChar w:fldCharType="end"/>
            </w:r>
          </w:hyperlink>
        </w:p>
        <w:p w:rsidR="00001F39" w:rsidRDefault="00EF05C5">
          <w:pPr>
            <w:pStyle w:val="TDC2"/>
            <w:rPr>
              <w:rFonts w:asciiTheme="minorHAnsi" w:eastAsiaTheme="minorEastAsia" w:hAnsiTheme="minorHAnsi"/>
              <w:b w:val="0"/>
              <w:sz w:val="22"/>
              <w:lang w:eastAsia="es-CO"/>
            </w:rPr>
          </w:pPr>
          <w:hyperlink w:anchor="_Toc30774595" w:history="1">
            <w:r w:rsidR="00001F39" w:rsidRPr="00F5040F">
              <w:rPr>
                <w:rStyle w:val="Hipervnculo"/>
              </w:rPr>
              <w:t>1.1.</w:t>
            </w:r>
            <w:r w:rsidR="00001F39">
              <w:rPr>
                <w:rFonts w:asciiTheme="minorHAnsi" w:eastAsiaTheme="minorEastAsia" w:hAnsiTheme="minorHAnsi"/>
                <w:b w:val="0"/>
                <w:sz w:val="22"/>
                <w:lang w:eastAsia="es-CO"/>
              </w:rPr>
              <w:tab/>
            </w:r>
            <w:r w:rsidR="00001F39" w:rsidRPr="00F5040F">
              <w:rPr>
                <w:rStyle w:val="Hipervnculo"/>
              </w:rPr>
              <w:t>FUNCIONES GENERALES DE LA ENTIDAD</w:t>
            </w:r>
            <w:r w:rsidR="00001F39">
              <w:rPr>
                <w:webHidden/>
              </w:rPr>
              <w:tab/>
            </w:r>
            <w:r w:rsidR="00001F39">
              <w:rPr>
                <w:webHidden/>
              </w:rPr>
              <w:fldChar w:fldCharType="begin"/>
            </w:r>
            <w:r w:rsidR="00001F39">
              <w:rPr>
                <w:webHidden/>
              </w:rPr>
              <w:instrText xml:space="preserve"> PAGEREF _Toc30774595 \h </w:instrText>
            </w:r>
            <w:r w:rsidR="00001F39">
              <w:rPr>
                <w:webHidden/>
              </w:rPr>
            </w:r>
            <w:r w:rsidR="00001F39">
              <w:rPr>
                <w:webHidden/>
              </w:rPr>
              <w:fldChar w:fldCharType="separate"/>
            </w:r>
            <w:r w:rsidR="002D104F">
              <w:rPr>
                <w:webHidden/>
              </w:rPr>
              <w:t>8</w:t>
            </w:r>
            <w:r w:rsidR="00001F39">
              <w:rPr>
                <w:webHidden/>
              </w:rPr>
              <w:fldChar w:fldCharType="end"/>
            </w:r>
          </w:hyperlink>
        </w:p>
        <w:p w:rsidR="00001F39" w:rsidRDefault="00EF05C5">
          <w:pPr>
            <w:pStyle w:val="TDC2"/>
            <w:rPr>
              <w:rFonts w:asciiTheme="minorHAnsi" w:eastAsiaTheme="minorEastAsia" w:hAnsiTheme="minorHAnsi"/>
              <w:b w:val="0"/>
              <w:sz w:val="22"/>
              <w:lang w:eastAsia="es-CO"/>
            </w:rPr>
          </w:pPr>
          <w:hyperlink w:anchor="_Toc30774596" w:history="1">
            <w:r w:rsidR="00001F39" w:rsidRPr="00F5040F">
              <w:rPr>
                <w:rStyle w:val="Hipervnculo"/>
              </w:rPr>
              <w:t>1.2. ORGANIGRAMA DE LA ENTIDAD</w:t>
            </w:r>
            <w:r w:rsidR="00001F39">
              <w:rPr>
                <w:webHidden/>
              </w:rPr>
              <w:tab/>
            </w:r>
            <w:r w:rsidR="00001F39">
              <w:rPr>
                <w:webHidden/>
              </w:rPr>
              <w:fldChar w:fldCharType="begin"/>
            </w:r>
            <w:r w:rsidR="00001F39">
              <w:rPr>
                <w:webHidden/>
              </w:rPr>
              <w:instrText xml:space="preserve"> PAGEREF _Toc30774596 \h </w:instrText>
            </w:r>
            <w:r w:rsidR="00001F39">
              <w:rPr>
                <w:webHidden/>
              </w:rPr>
            </w:r>
            <w:r w:rsidR="00001F39">
              <w:rPr>
                <w:webHidden/>
              </w:rPr>
              <w:fldChar w:fldCharType="separate"/>
            </w:r>
            <w:r w:rsidR="002D104F">
              <w:rPr>
                <w:webHidden/>
              </w:rPr>
              <w:t>9</w:t>
            </w:r>
            <w:r w:rsidR="00001F39">
              <w:rPr>
                <w:webHidden/>
              </w:rPr>
              <w:fldChar w:fldCharType="end"/>
            </w:r>
          </w:hyperlink>
        </w:p>
        <w:p w:rsidR="00001F39" w:rsidRDefault="00EF05C5">
          <w:pPr>
            <w:pStyle w:val="TDC2"/>
            <w:rPr>
              <w:rFonts w:asciiTheme="minorHAnsi" w:eastAsiaTheme="minorEastAsia" w:hAnsiTheme="minorHAnsi"/>
              <w:b w:val="0"/>
              <w:sz w:val="22"/>
              <w:lang w:eastAsia="es-CO"/>
            </w:rPr>
          </w:pPr>
          <w:hyperlink w:anchor="_Toc30774597" w:history="1">
            <w:r w:rsidR="00001F39" w:rsidRPr="00F5040F">
              <w:rPr>
                <w:rStyle w:val="Hipervnculo"/>
              </w:rPr>
              <w:t>1.3. MODELO DE OPERACIÓN DEL IDU</w:t>
            </w:r>
            <w:r w:rsidR="00001F39">
              <w:rPr>
                <w:webHidden/>
              </w:rPr>
              <w:tab/>
            </w:r>
            <w:r w:rsidR="00001F39">
              <w:rPr>
                <w:webHidden/>
              </w:rPr>
              <w:fldChar w:fldCharType="begin"/>
            </w:r>
            <w:r w:rsidR="00001F39">
              <w:rPr>
                <w:webHidden/>
              </w:rPr>
              <w:instrText xml:space="preserve"> PAGEREF _Toc30774597 \h </w:instrText>
            </w:r>
            <w:r w:rsidR="00001F39">
              <w:rPr>
                <w:webHidden/>
              </w:rPr>
            </w:r>
            <w:r w:rsidR="00001F39">
              <w:rPr>
                <w:webHidden/>
              </w:rPr>
              <w:fldChar w:fldCharType="separate"/>
            </w:r>
            <w:r w:rsidR="002D104F">
              <w:rPr>
                <w:webHidden/>
              </w:rPr>
              <w:t>9</w:t>
            </w:r>
            <w:r w:rsidR="00001F39">
              <w:rPr>
                <w:webHidden/>
              </w:rPr>
              <w:fldChar w:fldCharType="end"/>
            </w:r>
          </w:hyperlink>
        </w:p>
        <w:p w:rsidR="00001F39" w:rsidRDefault="00EF05C5">
          <w:pPr>
            <w:pStyle w:val="TDC2"/>
            <w:rPr>
              <w:rFonts w:asciiTheme="minorHAnsi" w:eastAsiaTheme="minorEastAsia" w:hAnsiTheme="minorHAnsi"/>
              <w:b w:val="0"/>
              <w:sz w:val="22"/>
              <w:lang w:eastAsia="es-CO"/>
            </w:rPr>
          </w:pPr>
          <w:hyperlink w:anchor="_Toc30774598" w:history="1">
            <w:r w:rsidR="00001F39" w:rsidRPr="00F5040F">
              <w:rPr>
                <w:rStyle w:val="Hipervnculo"/>
              </w:rPr>
              <w:t>CAPITULO 2. GESTIÓN PRESUPUESTAL</w:t>
            </w:r>
            <w:r w:rsidR="00001F39">
              <w:rPr>
                <w:webHidden/>
              </w:rPr>
              <w:tab/>
            </w:r>
            <w:r w:rsidR="00001F39">
              <w:rPr>
                <w:webHidden/>
              </w:rPr>
              <w:fldChar w:fldCharType="begin"/>
            </w:r>
            <w:r w:rsidR="00001F39">
              <w:rPr>
                <w:webHidden/>
              </w:rPr>
              <w:instrText xml:space="preserve"> PAGEREF _Toc30774598 \h </w:instrText>
            </w:r>
            <w:r w:rsidR="00001F39">
              <w:rPr>
                <w:webHidden/>
              </w:rPr>
            </w:r>
            <w:r w:rsidR="00001F39">
              <w:rPr>
                <w:webHidden/>
              </w:rPr>
              <w:fldChar w:fldCharType="separate"/>
            </w:r>
            <w:r w:rsidR="002D104F">
              <w:rPr>
                <w:webHidden/>
              </w:rPr>
              <w:t>12</w:t>
            </w:r>
            <w:r w:rsidR="00001F39">
              <w:rPr>
                <w:webHidden/>
              </w:rPr>
              <w:fldChar w:fldCharType="end"/>
            </w:r>
          </w:hyperlink>
        </w:p>
        <w:p w:rsidR="00001F39" w:rsidRDefault="00EF05C5">
          <w:pPr>
            <w:pStyle w:val="TDC2"/>
            <w:rPr>
              <w:rFonts w:asciiTheme="minorHAnsi" w:eastAsiaTheme="minorEastAsia" w:hAnsiTheme="minorHAnsi"/>
              <w:b w:val="0"/>
              <w:sz w:val="22"/>
              <w:lang w:eastAsia="es-CO"/>
            </w:rPr>
          </w:pPr>
          <w:hyperlink w:anchor="_Toc30774599" w:history="1">
            <w:r w:rsidR="00001F39" w:rsidRPr="00F5040F">
              <w:rPr>
                <w:rStyle w:val="Hipervnculo"/>
              </w:rPr>
              <w:t>2.1.</w:t>
            </w:r>
            <w:r w:rsidR="00001F39">
              <w:rPr>
                <w:rFonts w:asciiTheme="minorHAnsi" w:eastAsiaTheme="minorEastAsia" w:hAnsiTheme="minorHAnsi"/>
                <w:b w:val="0"/>
                <w:sz w:val="22"/>
                <w:lang w:eastAsia="es-CO"/>
              </w:rPr>
              <w:tab/>
            </w:r>
            <w:r w:rsidR="00001F39" w:rsidRPr="00F5040F">
              <w:rPr>
                <w:rStyle w:val="Hipervnculo"/>
              </w:rPr>
              <w:t>ANÁLISIS EJECUCIÓN DE INGRESOS Y GASTOS</w:t>
            </w:r>
            <w:r w:rsidR="00001F39">
              <w:rPr>
                <w:webHidden/>
              </w:rPr>
              <w:tab/>
            </w:r>
            <w:r w:rsidR="00001F39">
              <w:rPr>
                <w:webHidden/>
              </w:rPr>
              <w:fldChar w:fldCharType="begin"/>
            </w:r>
            <w:r w:rsidR="00001F39">
              <w:rPr>
                <w:webHidden/>
              </w:rPr>
              <w:instrText xml:space="preserve"> PAGEREF _Toc30774599 \h </w:instrText>
            </w:r>
            <w:r w:rsidR="00001F39">
              <w:rPr>
                <w:webHidden/>
              </w:rPr>
            </w:r>
            <w:r w:rsidR="00001F39">
              <w:rPr>
                <w:webHidden/>
              </w:rPr>
              <w:fldChar w:fldCharType="separate"/>
            </w:r>
            <w:r w:rsidR="002D104F">
              <w:rPr>
                <w:webHidden/>
              </w:rPr>
              <w:t>12</w:t>
            </w:r>
            <w:r w:rsidR="00001F39">
              <w:rPr>
                <w:webHidden/>
              </w:rPr>
              <w:fldChar w:fldCharType="end"/>
            </w:r>
          </w:hyperlink>
        </w:p>
        <w:p w:rsidR="00001F39" w:rsidRDefault="00EF05C5">
          <w:pPr>
            <w:pStyle w:val="TDC2"/>
            <w:rPr>
              <w:rFonts w:asciiTheme="minorHAnsi" w:eastAsiaTheme="minorEastAsia" w:hAnsiTheme="minorHAnsi"/>
              <w:b w:val="0"/>
              <w:sz w:val="22"/>
              <w:lang w:eastAsia="es-CO"/>
            </w:rPr>
          </w:pPr>
          <w:hyperlink w:anchor="_Toc30774600" w:history="1">
            <w:r w:rsidR="00001F39" w:rsidRPr="00F5040F">
              <w:rPr>
                <w:rStyle w:val="Hipervnculo"/>
              </w:rPr>
              <w:t>2.2.</w:t>
            </w:r>
            <w:r w:rsidR="00001F39">
              <w:rPr>
                <w:rFonts w:asciiTheme="minorHAnsi" w:eastAsiaTheme="minorEastAsia" w:hAnsiTheme="minorHAnsi"/>
                <w:b w:val="0"/>
                <w:sz w:val="22"/>
                <w:lang w:eastAsia="es-CO"/>
              </w:rPr>
              <w:tab/>
            </w:r>
            <w:r w:rsidR="00001F39" w:rsidRPr="00F5040F">
              <w:rPr>
                <w:rStyle w:val="Hipervnculo"/>
              </w:rPr>
              <w:t>EJECUCIÓN DE GASTOS</w:t>
            </w:r>
            <w:r w:rsidR="00001F39">
              <w:rPr>
                <w:webHidden/>
              </w:rPr>
              <w:tab/>
            </w:r>
            <w:r w:rsidR="00001F39">
              <w:rPr>
                <w:webHidden/>
              </w:rPr>
              <w:fldChar w:fldCharType="begin"/>
            </w:r>
            <w:r w:rsidR="00001F39">
              <w:rPr>
                <w:webHidden/>
              </w:rPr>
              <w:instrText xml:space="preserve"> PAGEREF _Toc30774600 \h </w:instrText>
            </w:r>
            <w:r w:rsidR="00001F39">
              <w:rPr>
                <w:webHidden/>
              </w:rPr>
            </w:r>
            <w:r w:rsidR="00001F39">
              <w:rPr>
                <w:webHidden/>
              </w:rPr>
              <w:fldChar w:fldCharType="separate"/>
            </w:r>
            <w:r w:rsidR="002D104F">
              <w:rPr>
                <w:webHidden/>
              </w:rPr>
              <w:t>15</w:t>
            </w:r>
            <w:r w:rsidR="00001F39">
              <w:rPr>
                <w:webHidden/>
              </w:rPr>
              <w:fldChar w:fldCharType="end"/>
            </w:r>
          </w:hyperlink>
        </w:p>
        <w:p w:rsidR="00001F39" w:rsidRDefault="00EF05C5">
          <w:pPr>
            <w:pStyle w:val="TDC2"/>
            <w:rPr>
              <w:rFonts w:asciiTheme="minorHAnsi" w:eastAsiaTheme="minorEastAsia" w:hAnsiTheme="minorHAnsi"/>
              <w:b w:val="0"/>
              <w:sz w:val="22"/>
              <w:lang w:eastAsia="es-CO"/>
            </w:rPr>
          </w:pPr>
          <w:hyperlink w:anchor="_Toc30774601" w:history="1">
            <w:r w:rsidR="00001F39" w:rsidRPr="00F5040F">
              <w:rPr>
                <w:rStyle w:val="Hipervnculo"/>
              </w:rPr>
              <w:t>CAPITULO 3 GESTIÓN DE PROCESOS ESTRATÉGICOS Y DE CONTROL</w:t>
            </w:r>
            <w:r w:rsidR="00001F39">
              <w:rPr>
                <w:webHidden/>
              </w:rPr>
              <w:tab/>
            </w:r>
            <w:r w:rsidR="00001F39">
              <w:rPr>
                <w:webHidden/>
              </w:rPr>
              <w:fldChar w:fldCharType="begin"/>
            </w:r>
            <w:r w:rsidR="00001F39">
              <w:rPr>
                <w:webHidden/>
              </w:rPr>
              <w:instrText xml:space="preserve"> PAGEREF _Toc30774601 \h </w:instrText>
            </w:r>
            <w:r w:rsidR="00001F39">
              <w:rPr>
                <w:webHidden/>
              </w:rPr>
            </w:r>
            <w:r w:rsidR="00001F39">
              <w:rPr>
                <w:webHidden/>
              </w:rPr>
              <w:fldChar w:fldCharType="separate"/>
            </w:r>
            <w:r w:rsidR="002D104F">
              <w:rPr>
                <w:webHidden/>
              </w:rPr>
              <w:t>16</w:t>
            </w:r>
            <w:r w:rsidR="00001F39">
              <w:rPr>
                <w:webHidden/>
              </w:rPr>
              <w:fldChar w:fldCharType="end"/>
            </w:r>
          </w:hyperlink>
        </w:p>
        <w:p w:rsidR="00001F39" w:rsidRDefault="00EF05C5">
          <w:pPr>
            <w:pStyle w:val="TDC3"/>
            <w:tabs>
              <w:tab w:val="left" w:pos="1100"/>
              <w:tab w:val="right" w:leader="dot" w:pos="8828"/>
            </w:tabs>
            <w:rPr>
              <w:rFonts w:asciiTheme="minorHAnsi" w:eastAsiaTheme="minorEastAsia" w:hAnsiTheme="minorHAnsi"/>
              <w:noProof/>
              <w:sz w:val="22"/>
              <w:lang w:eastAsia="es-CO"/>
            </w:rPr>
          </w:pPr>
          <w:hyperlink w:anchor="_Toc30774602" w:history="1">
            <w:r w:rsidR="00001F39" w:rsidRPr="00F5040F">
              <w:rPr>
                <w:rStyle w:val="Hipervnculo"/>
                <w:rFonts w:cs="Arial"/>
                <w:b/>
                <w:noProof/>
              </w:rPr>
              <w:t>3.1</w:t>
            </w:r>
            <w:r w:rsidR="00001F39">
              <w:rPr>
                <w:rFonts w:asciiTheme="minorHAnsi" w:eastAsiaTheme="minorEastAsia" w:hAnsiTheme="minorHAnsi"/>
                <w:noProof/>
                <w:sz w:val="22"/>
                <w:lang w:eastAsia="es-CO"/>
              </w:rPr>
              <w:tab/>
            </w:r>
            <w:r w:rsidR="00001F39" w:rsidRPr="00F5040F">
              <w:rPr>
                <w:rStyle w:val="Hipervnculo"/>
                <w:rFonts w:cs="Arial"/>
                <w:b/>
                <w:noProof/>
              </w:rPr>
              <w:t>MODELO INTEGRADO DE PLANEACIÓN Y GESTIÓN</w:t>
            </w:r>
            <w:r w:rsidR="00001F39">
              <w:rPr>
                <w:noProof/>
                <w:webHidden/>
              </w:rPr>
              <w:tab/>
            </w:r>
            <w:r w:rsidR="00001F39">
              <w:rPr>
                <w:noProof/>
                <w:webHidden/>
              </w:rPr>
              <w:fldChar w:fldCharType="begin"/>
            </w:r>
            <w:r w:rsidR="00001F39">
              <w:rPr>
                <w:noProof/>
                <w:webHidden/>
              </w:rPr>
              <w:instrText xml:space="preserve"> PAGEREF _Toc30774602 \h </w:instrText>
            </w:r>
            <w:r w:rsidR="00001F39">
              <w:rPr>
                <w:noProof/>
                <w:webHidden/>
              </w:rPr>
            </w:r>
            <w:r w:rsidR="00001F39">
              <w:rPr>
                <w:noProof/>
                <w:webHidden/>
              </w:rPr>
              <w:fldChar w:fldCharType="separate"/>
            </w:r>
            <w:r w:rsidR="002D104F">
              <w:rPr>
                <w:noProof/>
                <w:webHidden/>
              </w:rPr>
              <w:t>16</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03" w:history="1">
            <w:r w:rsidR="00001F39" w:rsidRPr="00F5040F">
              <w:rPr>
                <w:rStyle w:val="Hipervnculo"/>
                <w:rFonts w:cs="Arial"/>
                <w:b/>
                <w:noProof/>
              </w:rPr>
              <w:t>3.2.</w:t>
            </w:r>
            <w:r w:rsidR="00001F39">
              <w:rPr>
                <w:rFonts w:asciiTheme="minorHAnsi" w:eastAsiaTheme="minorEastAsia" w:hAnsiTheme="minorHAnsi"/>
                <w:noProof/>
                <w:sz w:val="22"/>
                <w:lang w:eastAsia="es-CO"/>
              </w:rPr>
              <w:tab/>
            </w:r>
            <w:r w:rsidR="00001F39" w:rsidRPr="00F5040F">
              <w:rPr>
                <w:rStyle w:val="Hipervnculo"/>
                <w:rFonts w:cs="Arial"/>
                <w:b/>
                <w:noProof/>
              </w:rPr>
              <w:t>SUBSISTEMAS DE GESTIÓN</w:t>
            </w:r>
            <w:r w:rsidR="00001F39">
              <w:rPr>
                <w:noProof/>
                <w:webHidden/>
              </w:rPr>
              <w:tab/>
            </w:r>
            <w:r w:rsidR="00001F39">
              <w:rPr>
                <w:noProof/>
                <w:webHidden/>
              </w:rPr>
              <w:fldChar w:fldCharType="begin"/>
            </w:r>
            <w:r w:rsidR="00001F39">
              <w:rPr>
                <w:noProof/>
                <w:webHidden/>
              </w:rPr>
              <w:instrText xml:space="preserve"> PAGEREF _Toc30774603 \h </w:instrText>
            </w:r>
            <w:r w:rsidR="00001F39">
              <w:rPr>
                <w:noProof/>
                <w:webHidden/>
              </w:rPr>
            </w:r>
            <w:r w:rsidR="00001F39">
              <w:rPr>
                <w:noProof/>
                <w:webHidden/>
              </w:rPr>
              <w:fldChar w:fldCharType="separate"/>
            </w:r>
            <w:r w:rsidR="002D104F">
              <w:rPr>
                <w:noProof/>
                <w:webHidden/>
              </w:rPr>
              <w:t>17</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04" w:history="1">
            <w:r w:rsidR="00001F39" w:rsidRPr="00F5040F">
              <w:rPr>
                <w:rStyle w:val="Hipervnculo"/>
                <w:rFonts w:cs="Arial"/>
                <w:b/>
                <w:noProof/>
              </w:rPr>
              <w:t>3.2.1.</w:t>
            </w:r>
            <w:r w:rsidR="00001F39">
              <w:rPr>
                <w:rFonts w:asciiTheme="minorHAnsi" w:eastAsiaTheme="minorEastAsia" w:hAnsiTheme="minorHAnsi"/>
                <w:noProof/>
                <w:sz w:val="22"/>
                <w:lang w:eastAsia="es-CO"/>
              </w:rPr>
              <w:tab/>
            </w:r>
            <w:r w:rsidR="00001F39" w:rsidRPr="00F5040F">
              <w:rPr>
                <w:rStyle w:val="Hipervnculo"/>
                <w:rFonts w:cs="Arial"/>
                <w:b/>
                <w:noProof/>
              </w:rPr>
              <w:t>Subsistema de Gestión de Calidad (SGC).</w:t>
            </w:r>
            <w:r w:rsidR="00001F39">
              <w:rPr>
                <w:noProof/>
                <w:webHidden/>
              </w:rPr>
              <w:tab/>
            </w:r>
            <w:r w:rsidR="00001F39">
              <w:rPr>
                <w:noProof/>
                <w:webHidden/>
              </w:rPr>
              <w:fldChar w:fldCharType="begin"/>
            </w:r>
            <w:r w:rsidR="00001F39">
              <w:rPr>
                <w:noProof/>
                <w:webHidden/>
              </w:rPr>
              <w:instrText xml:space="preserve"> PAGEREF _Toc30774604 \h </w:instrText>
            </w:r>
            <w:r w:rsidR="00001F39">
              <w:rPr>
                <w:noProof/>
                <w:webHidden/>
              </w:rPr>
            </w:r>
            <w:r w:rsidR="00001F39">
              <w:rPr>
                <w:noProof/>
                <w:webHidden/>
              </w:rPr>
              <w:fldChar w:fldCharType="separate"/>
            </w:r>
            <w:r w:rsidR="002D104F">
              <w:rPr>
                <w:noProof/>
                <w:webHidden/>
              </w:rPr>
              <w:t>17</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05" w:history="1">
            <w:r w:rsidR="00001F39" w:rsidRPr="00F5040F">
              <w:rPr>
                <w:rStyle w:val="Hipervnculo"/>
                <w:rFonts w:cs="Arial"/>
                <w:b/>
                <w:noProof/>
              </w:rPr>
              <w:t>3.2.2.</w:t>
            </w:r>
            <w:r w:rsidR="00001F39">
              <w:rPr>
                <w:rFonts w:asciiTheme="minorHAnsi" w:eastAsiaTheme="minorEastAsia" w:hAnsiTheme="minorHAnsi"/>
                <w:noProof/>
                <w:sz w:val="22"/>
                <w:lang w:eastAsia="es-CO"/>
              </w:rPr>
              <w:tab/>
            </w:r>
            <w:r w:rsidR="00001F39" w:rsidRPr="00F5040F">
              <w:rPr>
                <w:rStyle w:val="Hipervnculo"/>
                <w:rFonts w:cs="Arial"/>
                <w:b/>
                <w:noProof/>
              </w:rPr>
              <w:t>Subsistema de Responsabilidad Social (SGRS).</w:t>
            </w:r>
            <w:r w:rsidR="00001F39">
              <w:rPr>
                <w:noProof/>
                <w:webHidden/>
              </w:rPr>
              <w:tab/>
            </w:r>
            <w:r w:rsidR="00001F39">
              <w:rPr>
                <w:noProof/>
                <w:webHidden/>
              </w:rPr>
              <w:fldChar w:fldCharType="begin"/>
            </w:r>
            <w:r w:rsidR="00001F39">
              <w:rPr>
                <w:noProof/>
                <w:webHidden/>
              </w:rPr>
              <w:instrText xml:space="preserve"> PAGEREF _Toc30774605 \h </w:instrText>
            </w:r>
            <w:r w:rsidR="00001F39">
              <w:rPr>
                <w:noProof/>
                <w:webHidden/>
              </w:rPr>
            </w:r>
            <w:r w:rsidR="00001F39">
              <w:rPr>
                <w:noProof/>
                <w:webHidden/>
              </w:rPr>
              <w:fldChar w:fldCharType="separate"/>
            </w:r>
            <w:r w:rsidR="002D104F">
              <w:rPr>
                <w:noProof/>
                <w:webHidden/>
              </w:rPr>
              <w:t>17</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06" w:history="1">
            <w:r w:rsidR="00001F39" w:rsidRPr="00F5040F">
              <w:rPr>
                <w:rStyle w:val="Hipervnculo"/>
                <w:rFonts w:cs="Arial"/>
                <w:b/>
                <w:noProof/>
              </w:rPr>
              <w:t>3.2.3.</w:t>
            </w:r>
            <w:r w:rsidR="00001F39">
              <w:rPr>
                <w:rFonts w:asciiTheme="minorHAnsi" w:eastAsiaTheme="minorEastAsia" w:hAnsiTheme="minorHAnsi"/>
                <w:noProof/>
                <w:sz w:val="22"/>
                <w:lang w:eastAsia="es-CO"/>
              </w:rPr>
              <w:tab/>
            </w:r>
            <w:r w:rsidR="00001F39" w:rsidRPr="00F5040F">
              <w:rPr>
                <w:rStyle w:val="Hipervnculo"/>
                <w:rFonts w:cs="Arial"/>
                <w:b/>
                <w:noProof/>
              </w:rPr>
              <w:t>Subsistema de Gestión Ambiental (SGA)</w:t>
            </w:r>
            <w:r w:rsidR="00001F39">
              <w:rPr>
                <w:noProof/>
                <w:webHidden/>
              </w:rPr>
              <w:tab/>
            </w:r>
            <w:r w:rsidR="00001F39">
              <w:rPr>
                <w:noProof/>
                <w:webHidden/>
              </w:rPr>
              <w:fldChar w:fldCharType="begin"/>
            </w:r>
            <w:r w:rsidR="00001F39">
              <w:rPr>
                <w:noProof/>
                <w:webHidden/>
              </w:rPr>
              <w:instrText xml:space="preserve"> PAGEREF _Toc30774606 \h </w:instrText>
            </w:r>
            <w:r w:rsidR="00001F39">
              <w:rPr>
                <w:noProof/>
                <w:webHidden/>
              </w:rPr>
            </w:r>
            <w:r w:rsidR="00001F39">
              <w:rPr>
                <w:noProof/>
                <w:webHidden/>
              </w:rPr>
              <w:fldChar w:fldCharType="separate"/>
            </w:r>
            <w:r w:rsidR="002D104F">
              <w:rPr>
                <w:noProof/>
                <w:webHidden/>
              </w:rPr>
              <w:t>18</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07" w:history="1">
            <w:r w:rsidR="00001F39" w:rsidRPr="00F5040F">
              <w:rPr>
                <w:rStyle w:val="Hipervnculo"/>
                <w:rFonts w:cs="Arial"/>
                <w:b/>
                <w:noProof/>
              </w:rPr>
              <w:t>3.2.4.</w:t>
            </w:r>
            <w:r w:rsidR="00001F39">
              <w:rPr>
                <w:rFonts w:asciiTheme="minorHAnsi" w:eastAsiaTheme="minorEastAsia" w:hAnsiTheme="minorHAnsi"/>
                <w:noProof/>
                <w:sz w:val="22"/>
                <w:lang w:eastAsia="es-CO"/>
              </w:rPr>
              <w:tab/>
            </w:r>
            <w:r w:rsidR="00001F39" w:rsidRPr="00F5040F">
              <w:rPr>
                <w:rStyle w:val="Hipervnculo"/>
                <w:rFonts w:cs="Arial"/>
                <w:b/>
                <w:noProof/>
              </w:rPr>
              <w:t>Subsistema efr (SGefr)</w:t>
            </w:r>
            <w:r w:rsidR="00001F39">
              <w:rPr>
                <w:noProof/>
                <w:webHidden/>
              </w:rPr>
              <w:tab/>
            </w:r>
            <w:r w:rsidR="00001F39">
              <w:rPr>
                <w:noProof/>
                <w:webHidden/>
              </w:rPr>
              <w:fldChar w:fldCharType="begin"/>
            </w:r>
            <w:r w:rsidR="00001F39">
              <w:rPr>
                <w:noProof/>
                <w:webHidden/>
              </w:rPr>
              <w:instrText xml:space="preserve"> PAGEREF _Toc30774607 \h </w:instrText>
            </w:r>
            <w:r w:rsidR="00001F39">
              <w:rPr>
                <w:noProof/>
                <w:webHidden/>
              </w:rPr>
            </w:r>
            <w:r w:rsidR="00001F39">
              <w:rPr>
                <w:noProof/>
                <w:webHidden/>
              </w:rPr>
              <w:fldChar w:fldCharType="separate"/>
            </w:r>
            <w:r w:rsidR="002D104F">
              <w:rPr>
                <w:noProof/>
                <w:webHidden/>
              </w:rPr>
              <w:t>18</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08" w:history="1">
            <w:r w:rsidR="00001F39" w:rsidRPr="00F5040F">
              <w:rPr>
                <w:rStyle w:val="Hipervnculo"/>
                <w:rFonts w:cs="Arial"/>
                <w:b/>
                <w:noProof/>
              </w:rPr>
              <w:t>3.2.5.</w:t>
            </w:r>
            <w:r w:rsidR="00001F39">
              <w:rPr>
                <w:rFonts w:asciiTheme="minorHAnsi" w:eastAsiaTheme="minorEastAsia" w:hAnsiTheme="minorHAnsi"/>
                <w:noProof/>
                <w:sz w:val="22"/>
                <w:lang w:eastAsia="es-CO"/>
              </w:rPr>
              <w:tab/>
            </w:r>
            <w:r w:rsidR="00001F39" w:rsidRPr="00F5040F">
              <w:rPr>
                <w:rStyle w:val="Hipervnculo"/>
                <w:rFonts w:cs="Arial"/>
                <w:b/>
                <w:noProof/>
              </w:rPr>
              <w:t>Subsistema de Gestión de Seguridad y Salud en el trabajo (SGSST)</w:t>
            </w:r>
            <w:r w:rsidR="00001F39">
              <w:rPr>
                <w:noProof/>
                <w:webHidden/>
              </w:rPr>
              <w:tab/>
            </w:r>
            <w:r w:rsidR="00001F39">
              <w:rPr>
                <w:noProof/>
                <w:webHidden/>
              </w:rPr>
              <w:fldChar w:fldCharType="begin"/>
            </w:r>
            <w:r w:rsidR="00001F39">
              <w:rPr>
                <w:noProof/>
                <w:webHidden/>
              </w:rPr>
              <w:instrText xml:space="preserve"> PAGEREF _Toc30774608 \h </w:instrText>
            </w:r>
            <w:r w:rsidR="00001F39">
              <w:rPr>
                <w:noProof/>
                <w:webHidden/>
              </w:rPr>
            </w:r>
            <w:r w:rsidR="00001F39">
              <w:rPr>
                <w:noProof/>
                <w:webHidden/>
              </w:rPr>
              <w:fldChar w:fldCharType="separate"/>
            </w:r>
            <w:r w:rsidR="002D104F">
              <w:rPr>
                <w:noProof/>
                <w:webHidden/>
              </w:rPr>
              <w:t>18</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09" w:history="1">
            <w:r w:rsidR="00001F39" w:rsidRPr="00F5040F">
              <w:rPr>
                <w:rStyle w:val="Hipervnculo"/>
                <w:rFonts w:cs="Arial"/>
                <w:b/>
                <w:noProof/>
              </w:rPr>
              <w:t>3.2.6.</w:t>
            </w:r>
            <w:r w:rsidR="00001F39">
              <w:rPr>
                <w:rFonts w:asciiTheme="minorHAnsi" w:eastAsiaTheme="minorEastAsia" w:hAnsiTheme="minorHAnsi"/>
                <w:noProof/>
                <w:sz w:val="22"/>
                <w:lang w:eastAsia="es-CO"/>
              </w:rPr>
              <w:tab/>
            </w:r>
            <w:r w:rsidR="00001F39" w:rsidRPr="00F5040F">
              <w:rPr>
                <w:rStyle w:val="Hipervnculo"/>
                <w:rFonts w:cs="Arial"/>
                <w:b/>
                <w:noProof/>
              </w:rPr>
              <w:t>Subsistema de gestión de Seguridad de la Información (SGSI)</w:t>
            </w:r>
            <w:r w:rsidR="00001F39">
              <w:rPr>
                <w:noProof/>
                <w:webHidden/>
              </w:rPr>
              <w:tab/>
            </w:r>
            <w:r w:rsidR="00001F39">
              <w:rPr>
                <w:noProof/>
                <w:webHidden/>
              </w:rPr>
              <w:fldChar w:fldCharType="begin"/>
            </w:r>
            <w:r w:rsidR="00001F39">
              <w:rPr>
                <w:noProof/>
                <w:webHidden/>
              </w:rPr>
              <w:instrText xml:space="preserve"> PAGEREF _Toc30774609 \h </w:instrText>
            </w:r>
            <w:r w:rsidR="00001F39">
              <w:rPr>
                <w:noProof/>
                <w:webHidden/>
              </w:rPr>
            </w:r>
            <w:r w:rsidR="00001F39">
              <w:rPr>
                <w:noProof/>
                <w:webHidden/>
              </w:rPr>
              <w:fldChar w:fldCharType="separate"/>
            </w:r>
            <w:r w:rsidR="002D104F">
              <w:rPr>
                <w:noProof/>
                <w:webHidden/>
              </w:rPr>
              <w:t>18</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10" w:history="1">
            <w:r w:rsidR="00001F39" w:rsidRPr="00F5040F">
              <w:rPr>
                <w:rStyle w:val="Hipervnculo"/>
                <w:rFonts w:cs="Arial"/>
                <w:b/>
                <w:noProof/>
              </w:rPr>
              <w:t>3.2.7.</w:t>
            </w:r>
            <w:r w:rsidR="00001F39">
              <w:rPr>
                <w:rFonts w:asciiTheme="minorHAnsi" w:eastAsiaTheme="minorEastAsia" w:hAnsiTheme="minorHAnsi"/>
                <w:noProof/>
                <w:sz w:val="22"/>
                <w:lang w:eastAsia="es-CO"/>
              </w:rPr>
              <w:tab/>
            </w:r>
            <w:r w:rsidR="00001F39" w:rsidRPr="00F5040F">
              <w:rPr>
                <w:rStyle w:val="Hipervnculo"/>
                <w:rFonts w:cs="Arial"/>
                <w:b/>
                <w:noProof/>
              </w:rPr>
              <w:t>Subsistema de Continuidad del Negocio (SGCN)</w:t>
            </w:r>
            <w:r w:rsidR="00001F39">
              <w:rPr>
                <w:noProof/>
                <w:webHidden/>
              </w:rPr>
              <w:tab/>
            </w:r>
            <w:r w:rsidR="00001F39">
              <w:rPr>
                <w:noProof/>
                <w:webHidden/>
              </w:rPr>
              <w:fldChar w:fldCharType="begin"/>
            </w:r>
            <w:r w:rsidR="00001F39">
              <w:rPr>
                <w:noProof/>
                <w:webHidden/>
              </w:rPr>
              <w:instrText xml:space="preserve"> PAGEREF _Toc30774610 \h </w:instrText>
            </w:r>
            <w:r w:rsidR="00001F39">
              <w:rPr>
                <w:noProof/>
                <w:webHidden/>
              </w:rPr>
            </w:r>
            <w:r w:rsidR="00001F39">
              <w:rPr>
                <w:noProof/>
                <w:webHidden/>
              </w:rPr>
              <w:fldChar w:fldCharType="separate"/>
            </w:r>
            <w:r w:rsidR="002D104F">
              <w:rPr>
                <w:noProof/>
                <w:webHidden/>
              </w:rPr>
              <w:t>18</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11" w:history="1">
            <w:r w:rsidR="00001F39" w:rsidRPr="00F5040F">
              <w:rPr>
                <w:rStyle w:val="Hipervnculo"/>
                <w:rFonts w:cs="Arial"/>
                <w:b/>
                <w:noProof/>
              </w:rPr>
              <w:t>3.2.8.</w:t>
            </w:r>
            <w:r w:rsidR="00001F39">
              <w:rPr>
                <w:rFonts w:asciiTheme="minorHAnsi" w:eastAsiaTheme="minorEastAsia" w:hAnsiTheme="minorHAnsi"/>
                <w:noProof/>
                <w:sz w:val="22"/>
                <w:lang w:eastAsia="es-CO"/>
              </w:rPr>
              <w:tab/>
            </w:r>
            <w:r w:rsidR="00001F39" w:rsidRPr="00F5040F">
              <w:rPr>
                <w:rStyle w:val="Hipervnculo"/>
                <w:rFonts w:cs="Arial"/>
                <w:b/>
                <w:noProof/>
              </w:rPr>
              <w:t>Subsistema Antisoborno (SGCN)</w:t>
            </w:r>
            <w:r w:rsidR="00001F39">
              <w:rPr>
                <w:noProof/>
                <w:webHidden/>
              </w:rPr>
              <w:tab/>
            </w:r>
            <w:r w:rsidR="00001F39">
              <w:rPr>
                <w:noProof/>
                <w:webHidden/>
              </w:rPr>
              <w:fldChar w:fldCharType="begin"/>
            </w:r>
            <w:r w:rsidR="00001F39">
              <w:rPr>
                <w:noProof/>
                <w:webHidden/>
              </w:rPr>
              <w:instrText xml:space="preserve"> PAGEREF _Toc30774611 \h </w:instrText>
            </w:r>
            <w:r w:rsidR="00001F39">
              <w:rPr>
                <w:noProof/>
                <w:webHidden/>
              </w:rPr>
            </w:r>
            <w:r w:rsidR="00001F39">
              <w:rPr>
                <w:noProof/>
                <w:webHidden/>
              </w:rPr>
              <w:fldChar w:fldCharType="separate"/>
            </w:r>
            <w:r w:rsidR="002D104F">
              <w:rPr>
                <w:noProof/>
                <w:webHidden/>
              </w:rPr>
              <w:t>19</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12" w:history="1">
            <w:r w:rsidR="00001F39" w:rsidRPr="00F5040F">
              <w:rPr>
                <w:rStyle w:val="Hipervnculo"/>
                <w:rFonts w:cs="Arial"/>
                <w:b/>
                <w:noProof/>
              </w:rPr>
              <w:t>3.2.9.</w:t>
            </w:r>
            <w:r w:rsidR="00001F39">
              <w:rPr>
                <w:rFonts w:asciiTheme="minorHAnsi" w:eastAsiaTheme="minorEastAsia" w:hAnsiTheme="minorHAnsi"/>
                <w:noProof/>
                <w:sz w:val="22"/>
                <w:lang w:eastAsia="es-CO"/>
              </w:rPr>
              <w:tab/>
            </w:r>
            <w:r w:rsidR="00001F39" w:rsidRPr="00F5040F">
              <w:rPr>
                <w:rStyle w:val="Hipervnculo"/>
                <w:rFonts w:cs="Arial"/>
                <w:b/>
                <w:noProof/>
              </w:rPr>
              <w:t>Subsistema de Gestión documental y archivo (SIGA)</w:t>
            </w:r>
            <w:r w:rsidR="00001F39">
              <w:rPr>
                <w:noProof/>
                <w:webHidden/>
              </w:rPr>
              <w:tab/>
            </w:r>
            <w:r w:rsidR="00001F39">
              <w:rPr>
                <w:noProof/>
                <w:webHidden/>
              </w:rPr>
              <w:fldChar w:fldCharType="begin"/>
            </w:r>
            <w:r w:rsidR="00001F39">
              <w:rPr>
                <w:noProof/>
                <w:webHidden/>
              </w:rPr>
              <w:instrText xml:space="preserve"> PAGEREF _Toc30774612 \h </w:instrText>
            </w:r>
            <w:r w:rsidR="00001F39">
              <w:rPr>
                <w:noProof/>
                <w:webHidden/>
              </w:rPr>
            </w:r>
            <w:r w:rsidR="00001F39">
              <w:rPr>
                <w:noProof/>
                <w:webHidden/>
              </w:rPr>
              <w:fldChar w:fldCharType="separate"/>
            </w:r>
            <w:r w:rsidR="002D104F">
              <w:rPr>
                <w:noProof/>
                <w:webHidden/>
              </w:rPr>
              <w:t>19</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13" w:history="1">
            <w:r w:rsidR="00001F39" w:rsidRPr="00F5040F">
              <w:rPr>
                <w:rStyle w:val="Hipervnculo"/>
                <w:rFonts w:cs="Arial"/>
                <w:b/>
                <w:noProof/>
              </w:rPr>
              <w:t>3.3.</w:t>
            </w:r>
            <w:r w:rsidR="00001F39">
              <w:rPr>
                <w:rFonts w:asciiTheme="minorHAnsi" w:eastAsiaTheme="minorEastAsia" w:hAnsiTheme="minorHAnsi"/>
                <w:noProof/>
                <w:sz w:val="22"/>
                <w:lang w:eastAsia="es-CO"/>
              </w:rPr>
              <w:tab/>
            </w:r>
            <w:r w:rsidR="00001F39" w:rsidRPr="00F5040F">
              <w:rPr>
                <w:rStyle w:val="Hipervnculo"/>
                <w:rFonts w:cs="Arial"/>
                <w:b/>
                <w:noProof/>
              </w:rPr>
              <w:t>PLAN DE ACCIÓN, METAS E INDICADORES DE LA OFICINA DE ATENCIÓN AL CIUDADANO</w:t>
            </w:r>
            <w:r w:rsidR="00001F39">
              <w:rPr>
                <w:noProof/>
                <w:webHidden/>
              </w:rPr>
              <w:tab/>
            </w:r>
            <w:r w:rsidR="00001F39">
              <w:rPr>
                <w:noProof/>
                <w:webHidden/>
              </w:rPr>
              <w:fldChar w:fldCharType="begin"/>
            </w:r>
            <w:r w:rsidR="00001F39">
              <w:rPr>
                <w:noProof/>
                <w:webHidden/>
              </w:rPr>
              <w:instrText xml:space="preserve"> PAGEREF _Toc30774613 \h </w:instrText>
            </w:r>
            <w:r w:rsidR="00001F39">
              <w:rPr>
                <w:noProof/>
                <w:webHidden/>
              </w:rPr>
            </w:r>
            <w:r w:rsidR="00001F39">
              <w:rPr>
                <w:noProof/>
                <w:webHidden/>
              </w:rPr>
              <w:fldChar w:fldCharType="separate"/>
            </w:r>
            <w:r w:rsidR="002D104F">
              <w:rPr>
                <w:noProof/>
                <w:webHidden/>
              </w:rPr>
              <w:t>19</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14" w:history="1">
            <w:r w:rsidR="00001F39" w:rsidRPr="00F5040F">
              <w:rPr>
                <w:rStyle w:val="Hipervnculo"/>
                <w:rFonts w:cs="Arial"/>
                <w:b/>
                <w:noProof/>
              </w:rPr>
              <w:t>3.4.</w:t>
            </w:r>
            <w:r w:rsidR="00001F39">
              <w:rPr>
                <w:rFonts w:asciiTheme="minorHAnsi" w:eastAsiaTheme="minorEastAsia" w:hAnsiTheme="minorHAnsi"/>
                <w:noProof/>
                <w:sz w:val="22"/>
                <w:lang w:eastAsia="es-CO"/>
              </w:rPr>
              <w:tab/>
            </w:r>
            <w:r w:rsidR="00001F39" w:rsidRPr="00F5040F">
              <w:rPr>
                <w:rStyle w:val="Hipervnculo"/>
                <w:rFonts w:cs="Arial"/>
                <w:b/>
                <w:noProof/>
              </w:rPr>
              <w:t>SISTEMA DE GESTIÓN SOCIAL, PARTICIPACIÓN CIUDADANA Y   DATOS ABIERTOS - BACHUÉ</w:t>
            </w:r>
            <w:r w:rsidR="00001F39">
              <w:rPr>
                <w:noProof/>
                <w:webHidden/>
              </w:rPr>
              <w:tab/>
            </w:r>
            <w:r w:rsidR="00001F39">
              <w:rPr>
                <w:noProof/>
                <w:webHidden/>
              </w:rPr>
              <w:fldChar w:fldCharType="begin"/>
            </w:r>
            <w:r w:rsidR="00001F39">
              <w:rPr>
                <w:noProof/>
                <w:webHidden/>
              </w:rPr>
              <w:instrText xml:space="preserve"> PAGEREF _Toc30774614 \h </w:instrText>
            </w:r>
            <w:r w:rsidR="00001F39">
              <w:rPr>
                <w:noProof/>
                <w:webHidden/>
              </w:rPr>
            </w:r>
            <w:r w:rsidR="00001F39">
              <w:rPr>
                <w:noProof/>
                <w:webHidden/>
              </w:rPr>
              <w:fldChar w:fldCharType="separate"/>
            </w:r>
            <w:r w:rsidR="002D104F">
              <w:rPr>
                <w:noProof/>
                <w:webHidden/>
              </w:rPr>
              <w:t>23</w:t>
            </w:r>
            <w:r w:rsidR="00001F39">
              <w:rPr>
                <w:noProof/>
                <w:webHidden/>
              </w:rPr>
              <w:fldChar w:fldCharType="end"/>
            </w:r>
          </w:hyperlink>
        </w:p>
        <w:p w:rsidR="00001F39" w:rsidRDefault="00EF05C5">
          <w:pPr>
            <w:pStyle w:val="TDC2"/>
            <w:rPr>
              <w:rFonts w:asciiTheme="minorHAnsi" w:eastAsiaTheme="minorEastAsia" w:hAnsiTheme="minorHAnsi"/>
              <w:b w:val="0"/>
              <w:sz w:val="22"/>
              <w:lang w:eastAsia="es-CO"/>
            </w:rPr>
          </w:pPr>
          <w:hyperlink w:anchor="_Toc30774615" w:history="1">
            <w:r w:rsidR="00001F39" w:rsidRPr="00F5040F">
              <w:rPr>
                <w:rStyle w:val="Hipervnculo"/>
              </w:rPr>
              <w:t>3.5.</w:t>
            </w:r>
            <w:r w:rsidR="00001F39">
              <w:rPr>
                <w:rFonts w:asciiTheme="minorHAnsi" w:eastAsiaTheme="minorEastAsia" w:hAnsiTheme="minorHAnsi"/>
                <w:b w:val="0"/>
                <w:sz w:val="22"/>
                <w:lang w:eastAsia="es-CO"/>
              </w:rPr>
              <w:tab/>
            </w:r>
            <w:r w:rsidR="00001F39" w:rsidRPr="00F5040F">
              <w:rPr>
                <w:rStyle w:val="Hipervnculo"/>
              </w:rPr>
              <w:t>CONTROL INTERNO</w:t>
            </w:r>
            <w:r w:rsidR="00001F39">
              <w:rPr>
                <w:webHidden/>
              </w:rPr>
              <w:tab/>
            </w:r>
            <w:r w:rsidR="00001F39">
              <w:rPr>
                <w:webHidden/>
              </w:rPr>
              <w:fldChar w:fldCharType="begin"/>
            </w:r>
            <w:r w:rsidR="00001F39">
              <w:rPr>
                <w:webHidden/>
              </w:rPr>
              <w:instrText xml:space="preserve"> PAGEREF _Toc30774615 \h </w:instrText>
            </w:r>
            <w:r w:rsidR="00001F39">
              <w:rPr>
                <w:webHidden/>
              </w:rPr>
            </w:r>
            <w:r w:rsidR="00001F39">
              <w:rPr>
                <w:webHidden/>
              </w:rPr>
              <w:fldChar w:fldCharType="separate"/>
            </w:r>
            <w:r w:rsidR="002D104F">
              <w:rPr>
                <w:webHidden/>
              </w:rPr>
              <w:t>25</w:t>
            </w:r>
            <w:r w:rsidR="00001F39">
              <w:rPr>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16" w:history="1">
            <w:r w:rsidR="00001F39" w:rsidRPr="00F5040F">
              <w:rPr>
                <w:rStyle w:val="Hipervnculo"/>
                <w:rFonts w:cs="Arial"/>
                <w:b/>
                <w:noProof/>
              </w:rPr>
              <w:t>3.5.1.</w:t>
            </w:r>
            <w:r w:rsidR="00001F39">
              <w:rPr>
                <w:rFonts w:asciiTheme="minorHAnsi" w:eastAsiaTheme="minorEastAsia" w:hAnsiTheme="minorHAnsi"/>
                <w:noProof/>
                <w:sz w:val="22"/>
                <w:lang w:eastAsia="es-CO"/>
              </w:rPr>
              <w:tab/>
            </w:r>
            <w:r w:rsidR="00001F39" w:rsidRPr="00F5040F">
              <w:rPr>
                <w:rStyle w:val="Hipervnculo"/>
                <w:rFonts w:cs="Arial"/>
                <w:b/>
                <w:noProof/>
              </w:rPr>
              <w:t>LIDERAZGO ESTRATÉGICO</w:t>
            </w:r>
            <w:r w:rsidR="00001F39">
              <w:rPr>
                <w:noProof/>
                <w:webHidden/>
              </w:rPr>
              <w:tab/>
            </w:r>
            <w:r w:rsidR="00001F39">
              <w:rPr>
                <w:noProof/>
                <w:webHidden/>
              </w:rPr>
              <w:fldChar w:fldCharType="begin"/>
            </w:r>
            <w:r w:rsidR="00001F39">
              <w:rPr>
                <w:noProof/>
                <w:webHidden/>
              </w:rPr>
              <w:instrText xml:space="preserve"> PAGEREF _Toc30774616 \h </w:instrText>
            </w:r>
            <w:r w:rsidR="00001F39">
              <w:rPr>
                <w:noProof/>
                <w:webHidden/>
              </w:rPr>
            </w:r>
            <w:r w:rsidR="00001F39">
              <w:rPr>
                <w:noProof/>
                <w:webHidden/>
              </w:rPr>
              <w:fldChar w:fldCharType="separate"/>
            </w:r>
            <w:r w:rsidR="002D104F">
              <w:rPr>
                <w:noProof/>
                <w:webHidden/>
              </w:rPr>
              <w:t>25</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17" w:history="1">
            <w:r w:rsidR="00001F39" w:rsidRPr="00F5040F">
              <w:rPr>
                <w:rStyle w:val="Hipervnculo"/>
                <w:rFonts w:cs="Arial"/>
                <w:b/>
                <w:noProof/>
              </w:rPr>
              <w:t>3.5.2.</w:t>
            </w:r>
            <w:r w:rsidR="00001F39">
              <w:rPr>
                <w:rFonts w:asciiTheme="minorHAnsi" w:eastAsiaTheme="minorEastAsia" w:hAnsiTheme="minorHAnsi"/>
                <w:noProof/>
                <w:sz w:val="22"/>
                <w:lang w:eastAsia="es-CO"/>
              </w:rPr>
              <w:tab/>
            </w:r>
            <w:r w:rsidR="00001F39" w:rsidRPr="00F5040F">
              <w:rPr>
                <w:rStyle w:val="Hipervnculo"/>
                <w:rFonts w:cs="Arial"/>
                <w:b/>
                <w:noProof/>
              </w:rPr>
              <w:t>EVALUACIÓN Y SEGUIMIENTO</w:t>
            </w:r>
            <w:r w:rsidR="00001F39">
              <w:rPr>
                <w:noProof/>
                <w:webHidden/>
              </w:rPr>
              <w:tab/>
            </w:r>
            <w:r w:rsidR="00001F39">
              <w:rPr>
                <w:noProof/>
                <w:webHidden/>
              </w:rPr>
              <w:fldChar w:fldCharType="begin"/>
            </w:r>
            <w:r w:rsidR="00001F39">
              <w:rPr>
                <w:noProof/>
                <w:webHidden/>
              </w:rPr>
              <w:instrText xml:space="preserve"> PAGEREF _Toc30774617 \h </w:instrText>
            </w:r>
            <w:r w:rsidR="00001F39">
              <w:rPr>
                <w:noProof/>
                <w:webHidden/>
              </w:rPr>
            </w:r>
            <w:r w:rsidR="00001F39">
              <w:rPr>
                <w:noProof/>
                <w:webHidden/>
              </w:rPr>
              <w:fldChar w:fldCharType="separate"/>
            </w:r>
            <w:r w:rsidR="002D104F">
              <w:rPr>
                <w:noProof/>
                <w:webHidden/>
              </w:rPr>
              <w:t>27</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18" w:history="1">
            <w:r w:rsidR="00001F39" w:rsidRPr="00F5040F">
              <w:rPr>
                <w:rStyle w:val="Hipervnculo"/>
                <w:rFonts w:cs="Arial"/>
                <w:b/>
                <w:noProof/>
              </w:rPr>
              <w:t>3.5.3.</w:t>
            </w:r>
            <w:r w:rsidR="00001F39">
              <w:rPr>
                <w:rFonts w:asciiTheme="minorHAnsi" w:eastAsiaTheme="minorEastAsia" w:hAnsiTheme="minorHAnsi"/>
                <w:noProof/>
                <w:sz w:val="22"/>
                <w:lang w:eastAsia="es-CO"/>
              </w:rPr>
              <w:tab/>
            </w:r>
            <w:r w:rsidR="00001F39" w:rsidRPr="00F5040F">
              <w:rPr>
                <w:rStyle w:val="Hipervnculo"/>
                <w:rFonts w:cs="Arial"/>
                <w:b/>
                <w:noProof/>
              </w:rPr>
              <w:t>ENFOQUE HACIA LA PREVENCIÓN</w:t>
            </w:r>
            <w:r w:rsidR="00001F39">
              <w:rPr>
                <w:noProof/>
                <w:webHidden/>
              </w:rPr>
              <w:tab/>
            </w:r>
            <w:r w:rsidR="00001F39">
              <w:rPr>
                <w:noProof/>
                <w:webHidden/>
              </w:rPr>
              <w:fldChar w:fldCharType="begin"/>
            </w:r>
            <w:r w:rsidR="00001F39">
              <w:rPr>
                <w:noProof/>
                <w:webHidden/>
              </w:rPr>
              <w:instrText xml:space="preserve"> PAGEREF _Toc30774618 \h </w:instrText>
            </w:r>
            <w:r w:rsidR="00001F39">
              <w:rPr>
                <w:noProof/>
                <w:webHidden/>
              </w:rPr>
            </w:r>
            <w:r w:rsidR="00001F39">
              <w:rPr>
                <w:noProof/>
                <w:webHidden/>
              </w:rPr>
              <w:fldChar w:fldCharType="separate"/>
            </w:r>
            <w:r w:rsidR="002D104F">
              <w:rPr>
                <w:noProof/>
                <w:webHidden/>
              </w:rPr>
              <w:t>29</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19" w:history="1">
            <w:r w:rsidR="00001F39" w:rsidRPr="00F5040F">
              <w:rPr>
                <w:rStyle w:val="Hipervnculo"/>
                <w:rFonts w:cs="Arial"/>
                <w:b/>
                <w:noProof/>
              </w:rPr>
              <w:t>3.5.4.</w:t>
            </w:r>
            <w:r w:rsidR="00001F39">
              <w:rPr>
                <w:rFonts w:asciiTheme="minorHAnsi" w:eastAsiaTheme="minorEastAsia" w:hAnsiTheme="minorHAnsi"/>
                <w:noProof/>
                <w:sz w:val="22"/>
                <w:lang w:eastAsia="es-CO"/>
              </w:rPr>
              <w:tab/>
            </w:r>
            <w:r w:rsidR="00001F39" w:rsidRPr="00F5040F">
              <w:rPr>
                <w:rStyle w:val="Hipervnculo"/>
                <w:rFonts w:cs="Arial"/>
                <w:b/>
                <w:noProof/>
              </w:rPr>
              <w:t>VALORACIÓN DE RIESGOS</w:t>
            </w:r>
            <w:r w:rsidR="00001F39">
              <w:rPr>
                <w:noProof/>
                <w:webHidden/>
              </w:rPr>
              <w:tab/>
            </w:r>
            <w:r w:rsidR="00001F39">
              <w:rPr>
                <w:noProof/>
                <w:webHidden/>
              </w:rPr>
              <w:fldChar w:fldCharType="begin"/>
            </w:r>
            <w:r w:rsidR="00001F39">
              <w:rPr>
                <w:noProof/>
                <w:webHidden/>
              </w:rPr>
              <w:instrText xml:space="preserve"> PAGEREF _Toc30774619 \h </w:instrText>
            </w:r>
            <w:r w:rsidR="00001F39">
              <w:rPr>
                <w:noProof/>
                <w:webHidden/>
              </w:rPr>
            </w:r>
            <w:r w:rsidR="00001F39">
              <w:rPr>
                <w:noProof/>
                <w:webHidden/>
              </w:rPr>
              <w:fldChar w:fldCharType="separate"/>
            </w:r>
            <w:r w:rsidR="002D104F">
              <w:rPr>
                <w:noProof/>
                <w:webHidden/>
              </w:rPr>
              <w:t>31</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20" w:history="1">
            <w:r w:rsidR="00001F39" w:rsidRPr="00F5040F">
              <w:rPr>
                <w:rStyle w:val="Hipervnculo"/>
                <w:rFonts w:cs="Arial"/>
                <w:b/>
                <w:noProof/>
              </w:rPr>
              <w:t>3.5.5.</w:t>
            </w:r>
            <w:r w:rsidR="00001F39">
              <w:rPr>
                <w:rFonts w:asciiTheme="minorHAnsi" w:eastAsiaTheme="minorEastAsia" w:hAnsiTheme="minorHAnsi"/>
                <w:noProof/>
                <w:sz w:val="22"/>
                <w:lang w:eastAsia="es-CO"/>
              </w:rPr>
              <w:tab/>
            </w:r>
            <w:r w:rsidR="00001F39" w:rsidRPr="00F5040F">
              <w:rPr>
                <w:rStyle w:val="Hipervnculo"/>
                <w:rFonts w:cs="Arial"/>
                <w:b/>
                <w:noProof/>
              </w:rPr>
              <w:t>RELACIONAMIENTO CON ENTES EXTERNOS DE CONTROL</w:t>
            </w:r>
            <w:r w:rsidR="00001F39">
              <w:rPr>
                <w:noProof/>
                <w:webHidden/>
              </w:rPr>
              <w:tab/>
            </w:r>
            <w:r w:rsidR="00001F39">
              <w:rPr>
                <w:noProof/>
                <w:webHidden/>
              </w:rPr>
              <w:fldChar w:fldCharType="begin"/>
            </w:r>
            <w:r w:rsidR="00001F39">
              <w:rPr>
                <w:noProof/>
                <w:webHidden/>
              </w:rPr>
              <w:instrText xml:space="preserve"> PAGEREF _Toc30774620 \h </w:instrText>
            </w:r>
            <w:r w:rsidR="00001F39">
              <w:rPr>
                <w:noProof/>
                <w:webHidden/>
              </w:rPr>
            </w:r>
            <w:r w:rsidR="00001F39">
              <w:rPr>
                <w:noProof/>
                <w:webHidden/>
              </w:rPr>
              <w:fldChar w:fldCharType="separate"/>
            </w:r>
            <w:r w:rsidR="002D104F">
              <w:rPr>
                <w:noProof/>
                <w:webHidden/>
              </w:rPr>
              <w:t>31</w:t>
            </w:r>
            <w:r w:rsidR="00001F39">
              <w:rPr>
                <w:noProof/>
                <w:webHidden/>
              </w:rPr>
              <w:fldChar w:fldCharType="end"/>
            </w:r>
          </w:hyperlink>
        </w:p>
        <w:p w:rsidR="00001F39" w:rsidRDefault="00EF05C5">
          <w:pPr>
            <w:pStyle w:val="TDC2"/>
            <w:rPr>
              <w:rFonts w:asciiTheme="minorHAnsi" w:eastAsiaTheme="minorEastAsia" w:hAnsiTheme="minorHAnsi"/>
              <w:b w:val="0"/>
              <w:sz w:val="22"/>
              <w:lang w:eastAsia="es-CO"/>
            </w:rPr>
          </w:pPr>
          <w:hyperlink w:anchor="_Toc30774621" w:history="1">
            <w:r w:rsidR="00001F39" w:rsidRPr="00F5040F">
              <w:rPr>
                <w:rStyle w:val="Hipervnculo"/>
              </w:rPr>
              <w:t>CAPITULO 4. GESTIÓN JURIDICA</w:t>
            </w:r>
            <w:r w:rsidR="00001F39">
              <w:rPr>
                <w:webHidden/>
              </w:rPr>
              <w:tab/>
            </w:r>
            <w:r w:rsidR="00001F39">
              <w:rPr>
                <w:webHidden/>
              </w:rPr>
              <w:fldChar w:fldCharType="begin"/>
            </w:r>
            <w:r w:rsidR="00001F39">
              <w:rPr>
                <w:webHidden/>
              </w:rPr>
              <w:instrText xml:space="preserve"> PAGEREF _Toc30774621 \h </w:instrText>
            </w:r>
            <w:r w:rsidR="00001F39">
              <w:rPr>
                <w:webHidden/>
              </w:rPr>
            </w:r>
            <w:r w:rsidR="00001F39">
              <w:rPr>
                <w:webHidden/>
              </w:rPr>
              <w:fldChar w:fldCharType="separate"/>
            </w:r>
            <w:r w:rsidR="002D104F">
              <w:rPr>
                <w:webHidden/>
              </w:rPr>
              <w:t>32</w:t>
            </w:r>
            <w:r w:rsidR="00001F39">
              <w:rPr>
                <w:webHidden/>
              </w:rPr>
              <w:fldChar w:fldCharType="end"/>
            </w:r>
          </w:hyperlink>
        </w:p>
        <w:p w:rsidR="00001F39" w:rsidRDefault="00EF05C5">
          <w:pPr>
            <w:pStyle w:val="TDC2"/>
            <w:rPr>
              <w:rFonts w:asciiTheme="minorHAnsi" w:eastAsiaTheme="minorEastAsia" w:hAnsiTheme="minorHAnsi"/>
              <w:b w:val="0"/>
              <w:sz w:val="22"/>
              <w:lang w:eastAsia="es-CO"/>
            </w:rPr>
          </w:pPr>
          <w:hyperlink w:anchor="_Toc30774622" w:history="1">
            <w:r w:rsidR="00001F39" w:rsidRPr="00F5040F">
              <w:rPr>
                <w:rStyle w:val="Hipervnculo"/>
              </w:rPr>
              <w:t>4.1.</w:t>
            </w:r>
            <w:r w:rsidR="00001F39">
              <w:rPr>
                <w:rFonts w:asciiTheme="minorHAnsi" w:eastAsiaTheme="minorEastAsia" w:hAnsiTheme="minorHAnsi"/>
                <w:b w:val="0"/>
                <w:sz w:val="22"/>
                <w:lang w:eastAsia="es-CO"/>
              </w:rPr>
              <w:tab/>
            </w:r>
            <w:r w:rsidR="00001F39" w:rsidRPr="00F5040F">
              <w:rPr>
                <w:rStyle w:val="Hipervnculo"/>
              </w:rPr>
              <w:t>TRANSPARENCIA Y EFICIENCIA CONTRACTUAL</w:t>
            </w:r>
            <w:r w:rsidR="00001F39">
              <w:rPr>
                <w:webHidden/>
              </w:rPr>
              <w:tab/>
            </w:r>
            <w:r w:rsidR="00001F39">
              <w:rPr>
                <w:webHidden/>
              </w:rPr>
              <w:fldChar w:fldCharType="begin"/>
            </w:r>
            <w:r w:rsidR="00001F39">
              <w:rPr>
                <w:webHidden/>
              </w:rPr>
              <w:instrText xml:space="preserve"> PAGEREF _Toc30774622 \h </w:instrText>
            </w:r>
            <w:r w:rsidR="00001F39">
              <w:rPr>
                <w:webHidden/>
              </w:rPr>
            </w:r>
            <w:r w:rsidR="00001F39">
              <w:rPr>
                <w:webHidden/>
              </w:rPr>
              <w:fldChar w:fldCharType="separate"/>
            </w:r>
            <w:r w:rsidR="002D104F">
              <w:rPr>
                <w:webHidden/>
              </w:rPr>
              <w:t>32</w:t>
            </w:r>
            <w:r w:rsidR="00001F39">
              <w:rPr>
                <w:webHidden/>
              </w:rPr>
              <w:fldChar w:fldCharType="end"/>
            </w:r>
          </w:hyperlink>
        </w:p>
        <w:p w:rsidR="00001F39" w:rsidRDefault="00EF05C5">
          <w:pPr>
            <w:pStyle w:val="TDC3"/>
            <w:tabs>
              <w:tab w:val="right" w:leader="dot" w:pos="8828"/>
            </w:tabs>
            <w:rPr>
              <w:rFonts w:asciiTheme="minorHAnsi" w:eastAsiaTheme="minorEastAsia" w:hAnsiTheme="minorHAnsi"/>
              <w:noProof/>
              <w:sz w:val="22"/>
              <w:lang w:eastAsia="es-CO"/>
            </w:rPr>
          </w:pPr>
          <w:hyperlink w:anchor="_Toc30774623" w:history="1">
            <w:r w:rsidR="00001F39" w:rsidRPr="00F5040F">
              <w:rPr>
                <w:rStyle w:val="Hipervnculo"/>
                <w:rFonts w:cs="Arial"/>
                <w:b/>
                <w:noProof/>
              </w:rPr>
              <w:t>4.2.  ESTRATEGIA DE TRANSPARENCIA Y EFICIENCIA EN LA GESTIÓN DEL IDU.</w:t>
            </w:r>
            <w:r w:rsidR="00001F39">
              <w:rPr>
                <w:noProof/>
                <w:webHidden/>
              </w:rPr>
              <w:tab/>
            </w:r>
            <w:r w:rsidR="00001F39">
              <w:rPr>
                <w:noProof/>
                <w:webHidden/>
              </w:rPr>
              <w:fldChar w:fldCharType="begin"/>
            </w:r>
            <w:r w:rsidR="00001F39">
              <w:rPr>
                <w:noProof/>
                <w:webHidden/>
              </w:rPr>
              <w:instrText xml:space="preserve"> PAGEREF _Toc30774623 \h </w:instrText>
            </w:r>
            <w:r w:rsidR="00001F39">
              <w:rPr>
                <w:noProof/>
                <w:webHidden/>
              </w:rPr>
            </w:r>
            <w:r w:rsidR="00001F39">
              <w:rPr>
                <w:noProof/>
                <w:webHidden/>
              </w:rPr>
              <w:fldChar w:fldCharType="separate"/>
            </w:r>
            <w:r w:rsidR="002D104F">
              <w:rPr>
                <w:noProof/>
                <w:webHidden/>
              </w:rPr>
              <w:t>34</w:t>
            </w:r>
            <w:r w:rsidR="00001F39">
              <w:rPr>
                <w:noProof/>
                <w:webHidden/>
              </w:rPr>
              <w:fldChar w:fldCharType="end"/>
            </w:r>
          </w:hyperlink>
        </w:p>
        <w:p w:rsidR="00001F39" w:rsidRDefault="00EF05C5">
          <w:pPr>
            <w:pStyle w:val="TDC2"/>
            <w:rPr>
              <w:rFonts w:asciiTheme="minorHAnsi" w:eastAsiaTheme="minorEastAsia" w:hAnsiTheme="minorHAnsi"/>
              <w:b w:val="0"/>
              <w:sz w:val="22"/>
              <w:lang w:eastAsia="es-CO"/>
            </w:rPr>
          </w:pPr>
          <w:hyperlink w:anchor="_Toc30774624" w:history="1">
            <w:r w:rsidR="00001F39" w:rsidRPr="00F5040F">
              <w:rPr>
                <w:rStyle w:val="Hipervnculo"/>
              </w:rPr>
              <w:t>CAPITULO 5. GESTIÓN DE INFRAESTRUCTURA</w:t>
            </w:r>
            <w:r w:rsidR="00001F39">
              <w:rPr>
                <w:webHidden/>
              </w:rPr>
              <w:tab/>
            </w:r>
            <w:r w:rsidR="00001F39">
              <w:rPr>
                <w:webHidden/>
              </w:rPr>
              <w:fldChar w:fldCharType="begin"/>
            </w:r>
            <w:r w:rsidR="00001F39">
              <w:rPr>
                <w:webHidden/>
              </w:rPr>
              <w:instrText xml:space="preserve"> PAGEREF _Toc30774624 \h </w:instrText>
            </w:r>
            <w:r w:rsidR="00001F39">
              <w:rPr>
                <w:webHidden/>
              </w:rPr>
            </w:r>
            <w:r w:rsidR="00001F39">
              <w:rPr>
                <w:webHidden/>
              </w:rPr>
              <w:fldChar w:fldCharType="separate"/>
            </w:r>
            <w:r w:rsidR="002D104F">
              <w:rPr>
                <w:webHidden/>
              </w:rPr>
              <w:t>39</w:t>
            </w:r>
            <w:r w:rsidR="00001F39">
              <w:rPr>
                <w:webHidden/>
              </w:rPr>
              <w:fldChar w:fldCharType="end"/>
            </w:r>
          </w:hyperlink>
        </w:p>
        <w:p w:rsidR="00001F39" w:rsidRDefault="00EF05C5">
          <w:pPr>
            <w:pStyle w:val="TDC2"/>
            <w:rPr>
              <w:rFonts w:asciiTheme="minorHAnsi" w:eastAsiaTheme="minorEastAsia" w:hAnsiTheme="minorHAnsi"/>
              <w:b w:val="0"/>
              <w:sz w:val="22"/>
              <w:lang w:eastAsia="es-CO"/>
            </w:rPr>
          </w:pPr>
          <w:hyperlink w:anchor="_Toc30774625" w:history="1">
            <w:r w:rsidR="00001F39" w:rsidRPr="00F5040F">
              <w:rPr>
                <w:rStyle w:val="Hipervnculo"/>
                <w:lang w:val="en-US"/>
              </w:rPr>
              <w:t>5.1.</w:t>
            </w:r>
            <w:r w:rsidR="00001F39">
              <w:rPr>
                <w:rFonts w:asciiTheme="minorHAnsi" w:eastAsiaTheme="minorEastAsia" w:hAnsiTheme="minorHAnsi"/>
                <w:b w:val="0"/>
                <w:sz w:val="22"/>
                <w:lang w:eastAsia="es-CO"/>
              </w:rPr>
              <w:tab/>
            </w:r>
            <w:r w:rsidR="00001F39" w:rsidRPr="00F5040F">
              <w:rPr>
                <w:rStyle w:val="Hipervnculo"/>
                <w:lang w:val="en-US"/>
              </w:rPr>
              <w:t>BALANCE PORTAFOLIO DE PROYECTOS 2016-2019</w:t>
            </w:r>
            <w:r w:rsidR="00001F39">
              <w:rPr>
                <w:webHidden/>
              </w:rPr>
              <w:tab/>
            </w:r>
            <w:r w:rsidR="00001F39">
              <w:rPr>
                <w:webHidden/>
              </w:rPr>
              <w:fldChar w:fldCharType="begin"/>
            </w:r>
            <w:r w:rsidR="00001F39">
              <w:rPr>
                <w:webHidden/>
              </w:rPr>
              <w:instrText xml:space="preserve"> PAGEREF _Toc30774625 \h </w:instrText>
            </w:r>
            <w:r w:rsidR="00001F39">
              <w:rPr>
                <w:webHidden/>
              </w:rPr>
            </w:r>
            <w:r w:rsidR="00001F39">
              <w:rPr>
                <w:webHidden/>
              </w:rPr>
              <w:fldChar w:fldCharType="separate"/>
            </w:r>
            <w:r w:rsidR="002D104F">
              <w:rPr>
                <w:webHidden/>
              </w:rPr>
              <w:t>39</w:t>
            </w:r>
            <w:r w:rsidR="00001F39">
              <w:rPr>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26" w:history="1">
            <w:r w:rsidR="00001F39" w:rsidRPr="00F5040F">
              <w:rPr>
                <w:rStyle w:val="Hipervnculo"/>
                <w:rFonts w:cs="Arial"/>
                <w:b/>
                <w:noProof/>
                <w:lang w:val="en-US"/>
              </w:rPr>
              <w:t>5.2.</w:t>
            </w:r>
            <w:r w:rsidR="00001F39">
              <w:rPr>
                <w:rFonts w:asciiTheme="minorHAnsi" w:eastAsiaTheme="minorEastAsia" w:hAnsiTheme="minorHAnsi"/>
                <w:noProof/>
                <w:sz w:val="22"/>
                <w:lang w:eastAsia="es-CO"/>
              </w:rPr>
              <w:tab/>
            </w:r>
            <w:r w:rsidR="00001F39" w:rsidRPr="00F5040F">
              <w:rPr>
                <w:rStyle w:val="Hipervnculo"/>
                <w:rFonts w:cs="Arial"/>
                <w:b/>
                <w:noProof/>
                <w:lang w:val="en-US"/>
              </w:rPr>
              <w:t>PROYECTOS ENTREGADOS</w:t>
            </w:r>
            <w:r w:rsidR="00001F39">
              <w:rPr>
                <w:noProof/>
                <w:webHidden/>
              </w:rPr>
              <w:tab/>
            </w:r>
            <w:r w:rsidR="00001F39">
              <w:rPr>
                <w:noProof/>
                <w:webHidden/>
              </w:rPr>
              <w:fldChar w:fldCharType="begin"/>
            </w:r>
            <w:r w:rsidR="00001F39">
              <w:rPr>
                <w:noProof/>
                <w:webHidden/>
              </w:rPr>
              <w:instrText xml:space="preserve"> PAGEREF _Toc30774626 \h </w:instrText>
            </w:r>
            <w:r w:rsidR="00001F39">
              <w:rPr>
                <w:noProof/>
                <w:webHidden/>
              </w:rPr>
            </w:r>
            <w:r w:rsidR="00001F39">
              <w:rPr>
                <w:noProof/>
                <w:webHidden/>
              </w:rPr>
              <w:fldChar w:fldCharType="separate"/>
            </w:r>
            <w:r w:rsidR="002D104F">
              <w:rPr>
                <w:noProof/>
                <w:webHidden/>
              </w:rPr>
              <w:t>45</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27" w:history="1">
            <w:r w:rsidR="00001F39" w:rsidRPr="00F5040F">
              <w:rPr>
                <w:rStyle w:val="Hipervnculo"/>
                <w:rFonts w:cs="Arial"/>
                <w:b/>
                <w:noProof/>
                <w:lang w:val="en-US"/>
              </w:rPr>
              <w:t>5.3.</w:t>
            </w:r>
            <w:r w:rsidR="00001F39">
              <w:rPr>
                <w:rFonts w:asciiTheme="minorHAnsi" w:eastAsiaTheme="minorEastAsia" w:hAnsiTheme="minorHAnsi"/>
                <w:noProof/>
                <w:sz w:val="22"/>
                <w:lang w:eastAsia="es-CO"/>
              </w:rPr>
              <w:tab/>
            </w:r>
            <w:r w:rsidR="00001F39" w:rsidRPr="00F5040F">
              <w:rPr>
                <w:rStyle w:val="Hipervnculo"/>
                <w:rFonts w:cs="Arial"/>
                <w:b/>
                <w:noProof/>
                <w:lang w:val="en-US"/>
              </w:rPr>
              <w:t>PROYECTOS EN EJECUCIÓN</w:t>
            </w:r>
            <w:r w:rsidR="00001F39">
              <w:rPr>
                <w:noProof/>
                <w:webHidden/>
              </w:rPr>
              <w:tab/>
            </w:r>
            <w:r w:rsidR="00001F39">
              <w:rPr>
                <w:noProof/>
                <w:webHidden/>
              </w:rPr>
              <w:fldChar w:fldCharType="begin"/>
            </w:r>
            <w:r w:rsidR="00001F39">
              <w:rPr>
                <w:noProof/>
                <w:webHidden/>
              </w:rPr>
              <w:instrText xml:space="preserve"> PAGEREF _Toc30774627 \h </w:instrText>
            </w:r>
            <w:r w:rsidR="00001F39">
              <w:rPr>
                <w:noProof/>
                <w:webHidden/>
              </w:rPr>
            </w:r>
            <w:r w:rsidR="00001F39">
              <w:rPr>
                <w:noProof/>
                <w:webHidden/>
              </w:rPr>
              <w:fldChar w:fldCharType="separate"/>
            </w:r>
            <w:r w:rsidR="002D104F">
              <w:rPr>
                <w:noProof/>
                <w:webHidden/>
              </w:rPr>
              <w:t>46</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28" w:history="1">
            <w:r w:rsidR="00001F39" w:rsidRPr="00F5040F">
              <w:rPr>
                <w:rStyle w:val="Hipervnculo"/>
                <w:rFonts w:cs="Arial"/>
                <w:b/>
                <w:noProof/>
              </w:rPr>
              <w:t>5.5.</w:t>
            </w:r>
            <w:r w:rsidR="00001F39">
              <w:rPr>
                <w:rFonts w:asciiTheme="minorHAnsi" w:eastAsiaTheme="minorEastAsia" w:hAnsiTheme="minorHAnsi"/>
                <w:noProof/>
                <w:sz w:val="22"/>
                <w:lang w:eastAsia="es-CO"/>
              </w:rPr>
              <w:tab/>
            </w:r>
            <w:r w:rsidR="00001F39" w:rsidRPr="00F5040F">
              <w:rPr>
                <w:rStyle w:val="Hipervnculo"/>
                <w:rFonts w:cs="Arial"/>
                <w:b/>
                <w:noProof/>
              </w:rPr>
              <w:t>PROYECTOS CON PROCESOS DE SELECCIÓN EN CURSO</w:t>
            </w:r>
            <w:r w:rsidR="00001F39">
              <w:rPr>
                <w:noProof/>
                <w:webHidden/>
              </w:rPr>
              <w:tab/>
            </w:r>
            <w:r w:rsidR="00001F39">
              <w:rPr>
                <w:noProof/>
                <w:webHidden/>
              </w:rPr>
              <w:fldChar w:fldCharType="begin"/>
            </w:r>
            <w:r w:rsidR="00001F39">
              <w:rPr>
                <w:noProof/>
                <w:webHidden/>
              </w:rPr>
              <w:instrText xml:space="preserve"> PAGEREF _Toc30774628 \h </w:instrText>
            </w:r>
            <w:r w:rsidR="00001F39">
              <w:rPr>
                <w:noProof/>
                <w:webHidden/>
              </w:rPr>
            </w:r>
            <w:r w:rsidR="00001F39">
              <w:rPr>
                <w:noProof/>
                <w:webHidden/>
              </w:rPr>
              <w:fldChar w:fldCharType="separate"/>
            </w:r>
            <w:r w:rsidR="002D104F">
              <w:rPr>
                <w:noProof/>
                <w:webHidden/>
              </w:rPr>
              <w:t>49</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29" w:history="1">
            <w:r w:rsidR="00001F39" w:rsidRPr="00F5040F">
              <w:rPr>
                <w:rStyle w:val="Hipervnculo"/>
                <w:rFonts w:cs="Arial"/>
                <w:b/>
                <w:noProof/>
              </w:rPr>
              <w:t>5.6.</w:t>
            </w:r>
            <w:r w:rsidR="00001F39">
              <w:rPr>
                <w:rFonts w:asciiTheme="minorHAnsi" w:eastAsiaTheme="minorEastAsia" w:hAnsiTheme="minorHAnsi"/>
                <w:noProof/>
                <w:sz w:val="22"/>
                <w:lang w:eastAsia="es-CO"/>
              </w:rPr>
              <w:tab/>
            </w:r>
            <w:r w:rsidR="00001F39" w:rsidRPr="00F5040F">
              <w:rPr>
                <w:rStyle w:val="Hipervnculo"/>
                <w:rFonts w:cs="Arial"/>
                <w:b/>
                <w:noProof/>
              </w:rPr>
              <w:t>PROYECTOS CON ESTUDIOS Y DISEÑOS FASE II Y FASE III</w:t>
            </w:r>
            <w:r w:rsidR="00001F39">
              <w:rPr>
                <w:noProof/>
                <w:webHidden/>
              </w:rPr>
              <w:tab/>
            </w:r>
            <w:r w:rsidR="00001F39">
              <w:rPr>
                <w:noProof/>
                <w:webHidden/>
              </w:rPr>
              <w:fldChar w:fldCharType="begin"/>
            </w:r>
            <w:r w:rsidR="00001F39">
              <w:rPr>
                <w:noProof/>
                <w:webHidden/>
              </w:rPr>
              <w:instrText xml:space="preserve"> PAGEREF _Toc30774629 \h </w:instrText>
            </w:r>
            <w:r w:rsidR="00001F39">
              <w:rPr>
                <w:noProof/>
                <w:webHidden/>
              </w:rPr>
            </w:r>
            <w:r w:rsidR="00001F39">
              <w:rPr>
                <w:noProof/>
                <w:webHidden/>
              </w:rPr>
              <w:fldChar w:fldCharType="separate"/>
            </w:r>
            <w:r w:rsidR="002D104F">
              <w:rPr>
                <w:noProof/>
                <w:webHidden/>
              </w:rPr>
              <w:t>49</w:t>
            </w:r>
            <w:r w:rsidR="00001F39">
              <w:rPr>
                <w:noProof/>
                <w:webHidden/>
              </w:rPr>
              <w:fldChar w:fldCharType="end"/>
            </w:r>
          </w:hyperlink>
        </w:p>
        <w:p w:rsidR="00001F39" w:rsidRDefault="00EF05C5">
          <w:pPr>
            <w:pStyle w:val="TDC2"/>
            <w:rPr>
              <w:rFonts w:asciiTheme="minorHAnsi" w:eastAsiaTheme="minorEastAsia" w:hAnsiTheme="minorHAnsi"/>
              <w:b w:val="0"/>
              <w:sz w:val="22"/>
              <w:lang w:eastAsia="es-CO"/>
            </w:rPr>
          </w:pPr>
          <w:hyperlink w:anchor="_Toc30774630" w:history="1">
            <w:r w:rsidR="00001F39" w:rsidRPr="00F5040F">
              <w:rPr>
                <w:rStyle w:val="Hipervnculo"/>
              </w:rPr>
              <w:t>CAPITULO 6. GESTIÓN AMBIENTAL DE LOS PROYECTOS IDU</w:t>
            </w:r>
            <w:r w:rsidR="00001F39">
              <w:rPr>
                <w:webHidden/>
              </w:rPr>
              <w:tab/>
            </w:r>
            <w:r w:rsidR="00001F39">
              <w:rPr>
                <w:webHidden/>
              </w:rPr>
              <w:fldChar w:fldCharType="begin"/>
            </w:r>
            <w:r w:rsidR="00001F39">
              <w:rPr>
                <w:webHidden/>
              </w:rPr>
              <w:instrText xml:space="preserve"> PAGEREF _Toc30774630 \h </w:instrText>
            </w:r>
            <w:r w:rsidR="00001F39">
              <w:rPr>
                <w:webHidden/>
              </w:rPr>
            </w:r>
            <w:r w:rsidR="00001F39">
              <w:rPr>
                <w:webHidden/>
              </w:rPr>
              <w:fldChar w:fldCharType="separate"/>
            </w:r>
            <w:r w:rsidR="002D104F">
              <w:rPr>
                <w:webHidden/>
              </w:rPr>
              <w:t>52</w:t>
            </w:r>
            <w:r w:rsidR="00001F39">
              <w:rPr>
                <w:webHidden/>
              </w:rPr>
              <w:fldChar w:fldCharType="end"/>
            </w:r>
          </w:hyperlink>
        </w:p>
        <w:p w:rsidR="00001F39" w:rsidRDefault="00EF05C5">
          <w:pPr>
            <w:pStyle w:val="TDC3"/>
            <w:tabs>
              <w:tab w:val="right" w:leader="dot" w:pos="8828"/>
            </w:tabs>
            <w:rPr>
              <w:rFonts w:asciiTheme="minorHAnsi" w:eastAsiaTheme="minorEastAsia" w:hAnsiTheme="minorHAnsi"/>
              <w:noProof/>
              <w:sz w:val="22"/>
              <w:lang w:eastAsia="es-CO"/>
            </w:rPr>
          </w:pPr>
          <w:hyperlink w:anchor="_Toc30774631" w:history="1">
            <w:r w:rsidR="00001F39" w:rsidRPr="00F5040F">
              <w:rPr>
                <w:rStyle w:val="Hipervnculo"/>
                <w:rFonts w:cs="Arial"/>
                <w:b/>
                <w:noProof/>
              </w:rPr>
              <w:t>6.1.  ÁMBITO INTERNO</w:t>
            </w:r>
            <w:r w:rsidR="00001F39">
              <w:rPr>
                <w:noProof/>
                <w:webHidden/>
              </w:rPr>
              <w:tab/>
            </w:r>
            <w:r w:rsidR="00001F39">
              <w:rPr>
                <w:noProof/>
                <w:webHidden/>
              </w:rPr>
              <w:fldChar w:fldCharType="begin"/>
            </w:r>
            <w:r w:rsidR="00001F39">
              <w:rPr>
                <w:noProof/>
                <w:webHidden/>
              </w:rPr>
              <w:instrText xml:space="preserve"> PAGEREF _Toc30774631 \h </w:instrText>
            </w:r>
            <w:r w:rsidR="00001F39">
              <w:rPr>
                <w:noProof/>
                <w:webHidden/>
              </w:rPr>
            </w:r>
            <w:r w:rsidR="00001F39">
              <w:rPr>
                <w:noProof/>
                <w:webHidden/>
              </w:rPr>
              <w:fldChar w:fldCharType="separate"/>
            </w:r>
            <w:r w:rsidR="002D104F">
              <w:rPr>
                <w:noProof/>
                <w:webHidden/>
              </w:rPr>
              <w:t>53</w:t>
            </w:r>
            <w:r w:rsidR="00001F39">
              <w:rPr>
                <w:noProof/>
                <w:webHidden/>
              </w:rPr>
              <w:fldChar w:fldCharType="end"/>
            </w:r>
          </w:hyperlink>
        </w:p>
        <w:p w:rsidR="00001F39" w:rsidRDefault="00EF05C5">
          <w:pPr>
            <w:pStyle w:val="TDC3"/>
            <w:tabs>
              <w:tab w:val="right" w:leader="dot" w:pos="8828"/>
            </w:tabs>
            <w:rPr>
              <w:rFonts w:asciiTheme="minorHAnsi" w:eastAsiaTheme="minorEastAsia" w:hAnsiTheme="minorHAnsi"/>
              <w:noProof/>
              <w:sz w:val="22"/>
              <w:lang w:eastAsia="es-CO"/>
            </w:rPr>
          </w:pPr>
          <w:hyperlink w:anchor="_Toc30774632" w:history="1">
            <w:r w:rsidR="00001F39" w:rsidRPr="00F5040F">
              <w:rPr>
                <w:rStyle w:val="Hipervnculo"/>
                <w:rFonts w:cs="Arial"/>
                <w:b/>
                <w:noProof/>
              </w:rPr>
              <w:t>6.2.  ÁMBITO EXTERNO</w:t>
            </w:r>
            <w:r w:rsidR="00001F39">
              <w:rPr>
                <w:noProof/>
                <w:webHidden/>
              </w:rPr>
              <w:tab/>
            </w:r>
            <w:r w:rsidR="00001F39">
              <w:rPr>
                <w:noProof/>
                <w:webHidden/>
              </w:rPr>
              <w:fldChar w:fldCharType="begin"/>
            </w:r>
            <w:r w:rsidR="00001F39">
              <w:rPr>
                <w:noProof/>
                <w:webHidden/>
              </w:rPr>
              <w:instrText xml:space="preserve"> PAGEREF _Toc30774632 \h </w:instrText>
            </w:r>
            <w:r w:rsidR="00001F39">
              <w:rPr>
                <w:noProof/>
                <w:webHidden/>
              </w:rPr>
            </w:r>
            <w:r w:rsidR="00001F39">
              <w:rPr>
                <w:noProof/>
                <w:webHidden/>
              </w:rPr>
              <w:fldChar w:fldCharType="separate"/>
            </w:r>
            <w:r w:rsidR="002D104F">
              <w:rPr>
                <w:noProof/>
                <w:webHidden/>
              </w:rPr>
              <w:t>54</w:t>
            </w:r>
            <w:r w:rsidR="00001F39">
              <w:rPr>
                <w:noProof/>
                <w:webHidden/>
              </w:rPr>
              <w:fldChar w:fldCharType="end"/>
            </w:r>
          </w:hyperlink>
        </w:p>
        <w:p w:rsidR="00001F39" w:rsidRDefault="00EF05C5">
          <w:pPr>
            <w:pStyle w:val="TDC3"/>
            <w:tabs>
              <w:tab w:val="right" w:leader="dot" w:pos="8828"/>
            </w:tabs>
            <w:rPr>
              <w:rFonts w:asciiTheme="minorHAnsi" w:eastAsiaTheme="minorEastAsia" w:hAnsiTheme="minorHAnsi"/>
              <w:noProof/>
              <w:sz w:val="22"/>
              <w:lang w:eastAsia="es-CO"/>
            </w:rPr>
          </w:pPr>
          <w:hyperlink w:anchor="_Toc30774633" w:history="1">
            <w:r w:rsidR="00001F39" w:rsidRPr="00F5040F">
              <w:rPr>
                <w:rStyle w:val="Hipervnculo"/>
                <w:rFonts w:cs="Arial"/>
                <w:b/>
                <w:noProof/>
              </w:rPr>
              <w:t>6.3. MANEJO DE RESIDUOS DE CONSTRUCCIÓN Y DEMOLICIÓN –RCD-</w:t>
            </w:r>
            <w:r w:rsidR="00001F39">
              <w:rPr>
                <w:noProof/>
                <w:webHidden/>
              </w:rPr>
              <w:tab/>
            </w:r>
            <w:r w:rsidR="00001F39">
              <w:rPr>
                <w:noProof/>
                <w:webHidden/>
              </w:rPr>
              <w:fldChar w:fldCharType="begin"/>
            </w:r>
            <w:r w:rsidR="00001F39">
              <w:rPr>
                <w:noProof/>
                <w:webHidden/>
              </w:rPr>
              <w:instrText xml:space="preserve"> PAGEREF _Toc30774633 \h </w:instrText>
            </w:r>
            <w:r w:rsidR="00001F39">
              <w:rPr>
                <w:noProof/>
                <w:webHidden/>
              </w:rPr>
            </w:r>
            <w:r w:rsidR="00001F39">
              <w:rPr>
                <w:noProof/>
                <w:webHidden/>
              </w:rPr>
              <w:fldChar w:fldCharType="separate"/>
            </w:r>
            <w:r w:rsidR="002D104F">
              <w:rPr>
                <w:noProof/>
                <w:webHidden/>
              </w:rPr>
              <w:t>54</w:t>
            </w:r>
            <w:r w:rsidR="00001F39">
              <w:rPr>
                <w:noProof/>
                <w:webHidden/>
              </w:rPr>
              <w:fldChar w:fldCharType="end"/>
            </w:r>
          </w:hyperlink>
        </w:p>
        <w:p w:rsidR="00001F39" w:rsidRDefault="00EF05C5">
          <w:pPr>
            <w:pStyle w:val="TDC2"/>
            <w:rPr>
              <w:rFonts w:asciiTheme="minorHAnsi" w:eastAsiaTheme="minorEastAsia" w:hAnsiTheme="minorHAnsi"/>
              <w:b w:val="0"/>
              <w:sz w:val="22"/>
              <w:lang w:eastAsia="es-CO"/>
            </w:rPr>
          </w:pPr>
          <w:hyperlink w:anchor="_Toc30774634" w:history="1">
            <w:r w:rsidR="00001F39" w:rsidRPr="00F5040F">
              <w:rPr>
                <w:rStyle w:val="Hipervnculo"/>
              </w:rPr>
              <w:t>CAPITULO 7.  SISTEMA DE GESTIÓN INTEGRAL DE PROYECTOS – ZIPA</w:t>
            </w:r>
            <w:r w:rsidR="00001F39">
              <w:rPr>
                <w:webHidden/>
              </w:rPr>
              <w:tab/>
            </w:r>
            <w:r w:rsidR="00001F39">
              <w:rPr>
                <w:webHidden/>
              </w:rPr>
              <w:fldChar w:fldCharType="begin"/>
            </w:r>
            <w:r w:rsidR="00001F39">
              <w:rPr>
                <w:webHidden/>
              </w:rPr>
              <w:instrText xml:space="preserve"> PAGEREF _Toc30774634 \h </w:instrText>
            </w:r>
            <w:r w:rsidR="00001F39">
              <w:rPr>
                <w:webHidden/>
              </w:rPr>
            </w:r>
            <w:r w:rsidR="00001F39">
              <w:rPr>
                <w:webHidden/>
              </w:rPr>
              <w:fldChar w:fldCharType="separate"/>
            </w:r>
            <w:r w:rsidR="002D104F">
              <w:rPr>
                <w:webHidden/>
              </w:rPr>
              <w:t>56</w:t>
            </w:r>
            <w:r w:rsidR="00001F39">
              <w:rPr>
                <w:webHidden/>
              </w:rPr>
              <w:fldChar w:fldCharType="end"/>
            </w:r>
          </w:hyperlink>
        </w:p>
        <w:p w:rsidR="00001F39" w:rsidRDefault="00EF05C5">
          <w:pPr>
            <w:pStyle w:val="TDC2"/>
            <w:rPr>
              <w:rFonts w:asciiTheme="minorHAnsi" w:eastAsiaTheme="minorEastAsia" w:hAnsiTheme="minorHAnsi"/>
              <w:b w:val="0"/>
              <w:sz w:val="22"/>
              <w:lang w:eastAsia="es-CO"/>
            </w:rPr>
          </w:pPr>
          <w:hyperlink w:anchor="_Toc30774635" w:history="1">
            <w:r w:rsidR="00001F39" w:rsidRPr="00F5040F">
              <w:rPr>
                <w:rStyle w:val="Hipervnculo"/>
              </w:rPr>
              <w:t>CAPITULO 8. GESTIÓN DEL DESARROLLO URBANO</w:t>
            </w:r>
            <w:r w:rsidR="00001F39">
              <w:rPr>
                <w:webHidden/>
              </w:rPr>
              <w:tab/>
            </w:r>
            <w:r w:rsidR="00001F39">
              <w:rPr>
                <w:webHidden/>
              </w:rPr>
              <w:fldChar w:fldCharType="begin"/>
            </w:r>
            <w:r w:rsidR="00001F39">
              <w:rPr>
                <w:webHidden/>
              </w:rPr>
              <w:instrText xml:space="preserve"> PAGEREF _Toc30774635 \h </w:instrText>
            </w:r>
            <w:r w:rsidR="00001F39">
              <w:rPr>
                <w:webHidden/>
              </w:rPr>
            </w:r>
            <w:r w:rsidR="00001F39">
              <w:rPr>
                <w:webHidden/>
              </w:rPr>
              <w:fldChar w:fldCharType="separate"/>
            </w:r>
            <w:r w:rsidR="002D104F">
              <w:rPr>
                <w:webHidden/>
              </w:rPr>
              <w:t>62</w:t>
            </w:r>
            <w:r w:rsidR="00001F39">
              <w:rPr>
                <w:webHidden/>
              </w:rPr>
              <w:fldChar w:fldCharType="end"/>
            </w:r>
          </w:hyperlink>
        </w:p>
        <w:p w:rsidR="00001F39" w:rsidRDefault="00EF05C5">
          <w:pPr>
            <w:pStyle w:val="TDC2"/>
            <w:rPr>
              <w:rFonts w:asciiTheme="minorHAnsi" w:eastAsiaTheme="minorEastAsia" w:hAnsiTheme="minorHAnsi"/>
              <w:b w:val="0"/>
              <w:sz w:val="22"/>
              <w:lang w:eastAsia="es-CO"/>
            </w:rPr>
          </w:pPr>
          <w:hyperlink w:anchor="_Toc30774636" w:history="1">
            <w:r w:rsidR="00001F39" w:rsidRPr="00F5040F">
              <w:rPr>
                <w:rStyle w:val="Hipervnculo"/>
              </w:rPr>
              <w:t>8.2.</w:t>
            </w:r>
            <w:r w:rsidR="00001F39">
              <w:rPr>
                <w:rFonts w:asciiTheme="minorHAnsi" w:eastAsiaTheme="minorEastAsia" w:hAnsiTheme="minorHAnsi"/>
                <w:b w:val="0"/>
                <w:sz w:val="22"/>
                <w:lang w:eastAsia="es-CO"/>
              </w:rPr>
              <w:tab/>
            </w:r>
            <w:r w:rsidR="00001F39" w:rsidRPr="00F5040F">
              <w:rPr>
                <w:rStyle w:val="Hipervnculo"/>
              </w:rPr>
              <w:t>ADMINISTRACIÓN DE LA INFRAESTRUCTURA</w:t>
            </w:r>
            <w:r w:rsidR="00001F39">
              <w:rPr>
                <w:webHidden/>
              </w:rPr>
              <w:tab/>
            </w:r>
            <w:r w:rsidR="00001F39">
              <w:rPr>
                <w:webHidden/>
              </w:rPr>
              <w:fldChar w:fldCharType="begin"/>
            </w:r>
            <w:r w:rsidR="00001F39">
              <w:rPr>
                <w:webHidden/>
              </w:rPr>
              <w:instrText xml:space="preserve"> PAGEREF _Toc30774636 \h </w:instrText>
            </w:r>
            <w:r w:rsidR="00001F39">
              <w:rPr>
                <w:webHidden/>
              </w:rPr>
            </w:r>
            <w:r w:rsidR="00001F39">
              <w:rPr>
                <w:webHidden/>
              </w:rPr>
              <w:fldChar w:fldCharType="separate"/>
            </w:r>
            <w:r w:rsidR="002D104F">
              <w:rPr>
                <w:webHidden/>
              </w:rPr>
              <w:t>72</w:t>
            </w:r>
            <w:r w:rsidR="00001F39">
              <w:rPr>
                <w:webHidden/>
              </w:rPr>
              <w:fldChar w:fldCharType="end"/>
            </w:r>
          </w:hyperlink>
        </w:p>
        <w:p w:rsidR="00001F39" w:rsidRDefault="00EF05C5">
          <w:pPr>
            <w:pStyle w:val="TDC3"/>
            <w:tabs>
              <w:tab w:val="right" w:leader="dot" w:pos="8828"/>
            </w:tabs>
            <w:rPr>
              <w:rFonts w:asciiTheme="minorHAnsi" w:eastAsiaTheme="minorEastAsia" w:hAnsiTheme="minorHAnsi"/>
              <w:noProof/>
              <w:sz w:val="22"/>
              <w:lang w:eastAsia="es-CO"/>
            </w:rPr>
          </w:pPr>
          <w:hyperlink w:anchor="_Toc30774637" w:history="1">
            <w:r w:rsidR="00001F39" w:rsidRPr="00F5040F">
              <w:rPr>
                <w:rStyle w:val="Hipervnculo"/>
                <w:rFonts w:cs="Arial"/>
                <w:b/>
                <w:noProof/>
              </w:rPr>
              <w:t>8.2.1. SEGUIMIENTO A LA ESTABILIDAD Y CALIDAD DE LAS OBRAS CON PÓLIZA VIGENTE</w:t>
            </w:r>
            <w:r w:rsidR="00001F39">
              <w:rPr>
                <w:noProof/>
                <w:webHidden/>
              </w:rPr>
              <w:tab/>
            </w:r>
            <w:r w:rsidR="00001F39">
              <w:rPr>
                <w:noProof/>
                <w:webHidden/>
              </w:rPr>
              <w:fldChar w:fldCharType="begin"/>
            </w:r>
            <w:r w:rsidR="00001F39">
              <w:rPr>
                <w:noProof/>
                <w:webHidden/>
              </w:rPr>
              <w:instrText xml:space="preserve"> PAGEREF _Toc30774637 \h </w:instrText>
            </w:r>
            <w:r w:rsidR="00001F39">
              <w:rPr>
                <w:noProof/>
                <w:webHidden/>
              </w:rPr>
            </w:r>
            <w:r w:rsidR="00001F39">
              <w:rPr>
                <w:noProof/>
                <w:webHidden/>
              </w:rPr>
              <w:fldChar w:fldCharType="separate"/>
            </w:r>
            <w:r w:rsidR="002D104F">
              <w:rPr>
                <w:noProof/>
                <w:webHidden/>
              </w:rPr>
              <w:t>72</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38" w:history="1">
            <w:r w:rsidR="00001F39" w:rsidRPr="00F5040F">
              <w:rPr>
                <w:rStyle w:val="Hipervnculo"/>
                <w:rFonts w:cs="Arial"/>
                <w:b/>
                <w:noProof/>
                <w:lang w:val="es-ES"/>
              </w:rPr>
              <w:t>8.2.2</w:t>
            </w:r>
            <w:r w:rsidR="00001F39">
              <w:rPr>
                <w:rFonts w:asciiTheme="minorHAnsi" w:eastAsiaTheme="minorEastAsia" w:hAnsiTheme="minorHAnsi"/>
                <w:noProof/>
                <w:sz w:val="22"/>
                <w:lang w:eastAsia="es-CO"/>
              </w:rPr>
              <w:tab/>
            </w:r>
            <w:r w:rsidR="00001F39" w:rsidRPr="00F5040F">
              <w:rPr>
                <w:rStyle w:val="Hipervnculo"/>
                <w:rFonts w:cs="Arial"/>
                <w:b/>
                <w:noProof/>
              </w:rPr>
              <w:t>EXPEDICIÓN Y RECIBO DE LICENCIAS DE EXCAVACIÓN</w:t>
            </w:r>
            <w:r w:rsidR="00001F39">
              <w:rPr>
                <w:noProof/>
                <w:webHidden/>
              </w:rPr>
              <w:tab/>
            </w:r>
            <w:r w:rsidR="00001F39">
              <w:rPr>
                <w:noProof/>
                <w:webHidden/>
              </w:rPr>
              <w:fldChar w:fldCharType="begin"/>
            </w:r>
            <w:r w:rsidR="00001F39">
              <w:rPr>
                <w:noProof/>
                <w:webHidden/>
              </w:rPr>
              <w:instrText xml:space="preserve"> PAGEREF _Toc30774638 \h </w:instrText>
            </w:r>
            <w:r w:rsidR="00001F39">
              <w:rPr>
                <w:noProof/>
                <w:webHidden/>
              </w:rPr>
            </w:r>
            <w:r w:rsidR="00001F39">
              <w:rPr>
                <w:noProof/>
                <w:webHidden/>
              </w:rPr>
              <w:fldChar w:fldCharType="separate"/>
            </w:r>
            <w:r w:rsidR="002D104F">
              <w:rPr>
                <w:noProof/>
                <w:webHidden/>
              </w:rPr>
              <w:t>74</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39" w:history="1">
            <w:r w:rsidR="00001F39" w:rsidRPr="00F5040F">
              <w:rPr>
                <w:rStyle w:val="Hipervnculo"/>
                <w:rFonts w:cs="Arial"/>
                <w:b/>
                <w:noProof/>
                <w:lang w:val="es-ES"/>
              </w:rPr>
              <w:t>8.2.3.</w:t>
            </w:r>
            <w:r w:rsidR="00001F39">
              <w:rPr>
                <w:rFonts w:asciiTheme="minorHAnsi" w:eastAsiaTheme="minorEastAsia" w:hAnsiTheme="minorHAnsi"/>
                <w:noProof/>
                <w:sz w:val="22"/>
                <w:lang w:eastAsia="es-CO"/>
              </w:rPr>
              <w:tab/>
            </w:r>
            <w:r w:rsidR="00001F39" w:rsidRPr="00F5040F">
              <w:rPr>
                <w:rStyle w:val="Hipervnculo"/>
                <w:rFonts w:cs="Arial"/>
                <w:b/>
                <w:noProof/>
              </w:rPr>
              <w:t>INTERVENCIÓN DE URBANIZADORES Y/O TERCEROS</w:t>
            </w:r>
            <w:r w:rsidR="00001F39">
              <w:rPr>
                <w:noProof/>
                <w:webHidden/>
              </w:rPr>
              <w:tab/>
            </w:r>
            <w:r w:rsidR="00001F39">
              <w:rPr>
                <w:noProof/>
                <w:webHidden/>
              </w:rPr>
              <w:fldChar w:fldCharType="begin"/>
            </w:r>
            <w:r w:rsidR="00001F39">
              <w:rPr>
                <w:noProof/>
                <w:webHidden/>
              </w:rPr>
              <w:instrText xml:space="preserve"> PAGEREF _Toc30774639 \h </w:instrText>
            </w:r>
            <w:r w:rsidR="00001F39">
              <w:rPr>
                <w:noProof/>
                <w:webHidden/>
              </w:rPr>
            </w:r>
            <w:r w:rsidR="00001F39">
              <w:rPr>
                <w:noProof/>
                <w:webHidden/>
              </w:rPr>
              <w:fldChar w:fldCharType="separate"/>
            </w:r>
            <w:r w:rsidR="002D104F">
              <w:rPr>
                <w:noProof/>
                <w:webHidden/>
              </w:rPr>
              <w:t>75</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40" w:history="1">
            <w:r w:rsidR="00001F39" w:rsidRPr="00F5040F">
              <w:rPr>
                <w:rStyle w:val="Hipervnculo"/>
                <w:rFonts w:cs="Arial"/>
                <w:b/>
                <w:noProof/>
                <w:lang w:val="es-ES"/>
              </w:rPr>
              <w:t>8.2.4.</w:t>
            </w:r>
            <w:r w:rsidR="00001F39">
              <w:rPr>
                <w:rFonts w:asciiTheme="minorHAnsi" w:eastAsiaTheme="minorEastAsia" w:hAnsiTheme="minorHAnsi"/>
                <w:noProof/>
                <w:sz w:val="22"/>
                <w:lang w:eastAsia="es-CO"/>
              </w:rPr>
              <w:tab/>
            </w:r>
            <w:r w:rsidR="00001F39" w:rsidRPr="00F5040F">
              <w:rPr>
                <w:rStyle w:val="Hipervnculo"/>
                <w:rFonts w:cs="Arial"/>
                <w:b/>
                <w:noProof/>
              </w:rPr>
              <w:t>USO Y APROVECHAMIENTO DEL ESPACIO PÚBLICO A CARGO DE LA ENTIDAD</w:t>
            </w:r>
            <w:r w:rsidR="00001F39">
              <w:rPr>
                <w:noProof/>
                <w:webHidden/>
              </w:rPr>
              <w:tab/>
            </w:r>
            <w:r w:rsidR="00001F39">
              <w:rPr>
                <w:noProof/>
                <w:webHidden/>
              </w:rPr>
              <w:fldChar w:fldCharType="begin"/>
            </w:r>
            <w:r w:rsidR="00001F39">
              <w:rPr>
                <w:noProof/>
                <w:webHidden/>
              </w:rPr>
              <w:instrText xml:space="preserve"> PAGEREF _Toc30774640 \h </w:instrText>
            </w:r>
            <w:r w:rsidR="00001F39">
              <w:rPr>
                <w:noProof/>
                <w:webHidden/>
              </w:rPr>
            </w:r>
            <w:r w:rsidR="00001F39">
              <w:rPr>
                <w:noProof/>
                <w:webHidden/>
              </w:rPr>
              <w:fldChar w:fldCharType="separate"/>
            </w:r>
            <w:r w:rsidR="002D104F">
              <w:rPr>
                <w:noProof/>
                <w:webHidden/>
              </w:rPr>
              <w:t>77</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41" w:history="1">
            <w:r w:rsidR="00001F39" w:rsidRPr="00F5040F">
              <w:rPr>
                <w:rStyle w:val="Hipervnculo"/>
                <w:rFonts w:cs="Arial"/>
                <w:b/>
                <w:noProof/>
                <w:lang w:val="es-ES"/>
              </w:rPr>
              <w:t>8.3.</w:t>
            </w:r>
            <w:r w:rsidR="00001F39">
              <w:rPr>
                <w:rFonts w:asciiTheme="minorHAnsi" w:eastAsiaTheme="minorEastAsia" w:hAnsiTheme="minorHAnsi"/>
                <w:noProof/>
                <w:sz w:val="22"/>
                <w:lang w:eastAsia="es-CO"/>
              </w:rPr>
              <w:tab/>
            </w:r>
            <w:r w:rsidR="00001F39" w:rsidRPr="00F5040F">
              <w:rPr>
                <w:rStyle w:val="Hipervnculo"/>
                <w:rFonts w:cs="Arial"/>
                <w:b/>
                <w:noProof/>
              </w:rPr>
              <w:t>ADMINISTRACIÓN DE PARQUEADEROS A CARGO DE LA ENTIDAD</w:t>
            </w:r>
            <w:r w:rsidR="00001F39">
              <w:rPr>
                <w:noProof/>
                <w:webHidden/>
              </w:rPr>
              <w:tab/>
            </w:r>
            <w:r w:rsidR="00001F39">
              <w:rPr>
                <w:noProof/>
                <w:webHidden/>
              </w:rPr>
              <w:fldChar w:fldCharType="begin"/>
            </w:r>
            <w:r w:rsidR="00001F39">
              <w:rPr>
                <w:noProof/>
                <w:webHidden/>
              </w:rPr>
              <w:instrText xml:space="preserve"> PAGEREF _Toc30774641 \h </w:instrText>
            </w:r>
            <w:r w:rsidR="00001F39">
              <w:rPr>
                <w:noProof/>
                <w:webHidden/>
              </w:rPr>
            </w:r>
            <w:r w:rsidR="00001F39">
              <w:rPr>
                <w:noProof/>
                <w:webHidden/>
              </w:rPr>
              <w:fldChar w:fldCharType="separate"/>
            </w:r>
            <w:r w:rsidR="002D104F">
              <w:rPr>
                <w:noProof/>
                <w:webHidden/>
              </w:rPr>
              <w:t>80</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42" w:history="1">
            <w:r w:rsidR="00001F39" w:rsidRPr="00F5040F">
              <w:rPr>
                <w:rStyle w:val="Hipervnculo"/>
                <w:rFonts w:cs="Arial"/>
                <w:b/>
                <w:noProof/>
              </w:rPr>
              <w:t>8.4.</w:t>
            </w:r>
            <w:r w:rsidR="00001F39">
              <w:rPr>
                <w:rFonts w:asciiTheme="minorHAnsi" w:eastAsiaTheme="minorEastAsia" w:hAnsiTheme="minorHAnsi"/>
                <w:noProof/>
                <w:sz w:val="22"/>
                <w:lang w:eastAsia="es-CO"/>
              </w:rPr>
              <w:tab/>
            </w:r>
            <w:r w:rsidR="00001F39" w:rsidRPr="00F5040F">
              <w:rPr>
                <w:rStyle w:val="Hipervnculo"/>
                <w:rFonts w:cs="Arial"/>
                <w:b/>
                <w:noProof/>
              </w:rPr>
              <w:t>CRUCE DE CUENTAS CON E.S.P.</w:t>
            </w:r>
            <w:r w:rsidR="00001F39">
              <w:rPr>
                <w:noProof/>
                <w:webHidden/>
              </w:rPr>
              <w:tab/>
            </w:r>
            <w:r w:rsidR="00001F39">
              <w:rPr>
                <w:noProof/>
                <w:webHidden/>
              </w:rPr>
              <w:fldChar w:fldCharType="begin"/>
            </w:r>
            <w:r w:rsidR="00001F39">
              <w:rPr>
                <w:noProof/>
                <w:webHidden/>
              </w:rPr>
              <w:instrText xml:space="preserve"> PAGEREF _Toc30774642 \h </w:instrText>
            </w:r>
            <w:r w:rsidR="00001F39">
              <w:rPr>
                <w:noProof/>
                <w:webHidden/>
              </w:rPr>
            </w:r>
            <w:r w:rsidR="00001F39">
              <w:rPr>
                <w:noProof/>
                <w:webHidden/>
              </w:rPr>
              <w:fldChar w:fldCharType="separate"/>
            </w:r>
            <w:r w:rsidR="002D104F">
              <w:rPr>
                <w:noProof/>
                <w:webHidden/>
              </w:rPr>
              <w:t>82</w:t>
            </w:r>
            <w:r w:rsidR="00001F39">
              <w:rPr>
                <w:noProof/>
                <w:webHidden/>
              </w:rPr>
              <w:fldChar w:fldCharType="end"/>
            </w:r>
          </w:hyperlink>
        </w:p>
        <w:p w:rsidR="00001F39" w:rsidRDefault="00EF05C5">
          <w:pPr>
            <w:pStyle w:val="TDC2"/>
            <w:rPr>
              <w:rFonts w:asciiTheme="minorHAnsi" w:eastAsiaTheme="minorEastAsia" w:hAnsiTheme="minorHAnsi"/>
              <w:b w:val="0"/>
              <w:sz w:val="22"/>
              <w:lang w:eastAsia="es-CO"/>
            </w:rPr>
          </w:pPr>
          <w:hyperlink w:anchor="_Toc30774643" w:history="1">
            <w:r w:rsidR="00001F39" w:rsidRPr="00F5040F">
              <w:rPr>
                <w:rStyle w:val="Hipervnculo"/>
              </w:rPr>
              <w:t>CAPITULO 9. GESTIÓN CORPORATIVA</w:t>
            </w:r>
            <w:r w:rsidR="00001F39">
              <w:rPr>
                <w:webHidden/>
              </w:rPr>
              <w:tab/>
            </w:r>
            <w:r w:rsidR="00001F39">
              <w:rPr>
                <w:webHidden/>
              </w:rPr>
              <w:fldChar w:fldCharType="begin"/>
            </w:r>
            <w:r w:rsidR="00001F39">
              <w:rPr>
                <w:webHidden/>
              </w:rPr>
              <w:instrText xml:space="preserve"> PAGEREF _Toc30774643 \h </w:instrText>
            </w:r>
            <w:r w:rsidR="00001F39">
              <w:rPr>
                <w:webHidden/>
              </w:rPr>
            </w:r>
            <w:r w:rsidR="00001F39">
              <w:rPr>
                <w:webHidden/>
              </w:rPr>
              <w:fldChar w:fldCharType="separate"/>
            </w:r>
            <w:r w:rsidR="002D104F">
              <w:rPr>
                <w:webHidden/>
              </w:rPr>
              <w:t>85</w:t>
            </w:r>
            <w:r w:rsidR="00001F39">
              <w:rPr>
                <w:webHidden/>
              </w:rPr>
              <w:fldChar w:fldCharType="end"/>
            </w:r>
          </w:hyperlink>
        </w:p>
        <w:p w:rsidR="00001F39" w:rsidRDefault="00EF05C5">
          <w:pPr>
            <w:pStyle w:val="TDC2"/>
            <w:rPr>
              <w:rFonts w:asciiTheme="minorHAnsi" w:eastAsiaTheme="minorEastAsia" w:hAnsiTheme="minorHAnsi"/>
              <w:b w:val="0"/>
              <w:sz w:val="22"/>
              <w:lang w:eastAsia="es-CO"/>
            </w:rPr>
          </w:pPr>
          <w:hyperlink w:anchor="_Toc30774644" w:history="1">
            <w:r w:rsidR="00001F39" w:rsidRPr="00F5040F">
              <w:rPr>
                <w:rStyle w:val="Hipervnculo"/>
              </w:rPr>
              <w:t>9.1.</w:t>
            </w:r>
            <w:r w:rsidR="00001F39">
              <w:rPr>
                <w:rFonts w:asciiTheme="minorHAnsi" w:eastAsiaTheme="minorEastAsia" w:hAnsiTheme="minorHAnsi"/>
                <w:b w:val="0"/>
                <w:sz w:val="22"/>
                <w:lang w:eastAsia="es-CO"/>
              </w:rPr>
              <w:tab/>
            </w:r>
            <w:r w:rsidR="00001F39" w:rsidRPr="00F5040F">
              <w:rPr>
                <w:rStyle w:val="Hipervnculo"/>
              </w:rPr>
              <w:t>RECURSOS FINANCIEROS</w:t>
            </w:r>
            <w:r w:rsidR="00001F39">
              <w:rPr>
                <w:webHidden/>
              </w:rPr>
              <w:tab/>
            </w:r>
            <w:r w:rsidR="00001F39">
              <w:rPr>
                <w:webHidden/>
              </w:rPr>
              <w:fldChar w:fldCharType="begin"/>
            </w:r>
            <w:r w:rsidR="00001F39">
              <w:rPr>
                <w:webHidden/>
              </w:rPr>
              <w:instrText xml:space="preserve"> PAGEREF _Toc30774644 \h </w:instrText>
            </w:r>
            <w:r w:rsidR="00001F39">
              <w:rPr>
                <w:webHidden/>
              </w:rPr>
            </w:r>
            <w:r w:rsidR="00001F39">
              <w:rPr>
                <w:webHidden/>
              </w:rPr>
              <w:fldChar w:fldCharType="separate"/>
            </w:r>
            <w:r w:rsidR="002D104F">
              <w:rPr>
                <w:webHidden/>
              </w:rPr>
              <w:t>85</w:t>
            </w:r>
            <w:r w:rsidR="00001F39">
              <w:rPr>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45" w:history="1">
            <w:r w:rsidR="00001F39" w:rsidRPr="00F5040F">
              <w:rPr>
                <w:rStyle w:val="Hipervnculo"/>
                <w:rFonts w:cs="Arial"/>
                <w:b/>
                <w:noProof/>
              </w:rPr>
              <w:t>9.1.1.</w:t>
            </w:r>
            <w:r w:rsidR="00001F39">
              <w:rPr>
                <w:rFonts w:asciiTheme="minorHAnsi" w:eastAsiaTheme="minorEastAsia" w:hAnsiTheme="minorHAnsi"/>
                <w:noProof/>
                <w:sz w:val="22"/>
                <w:lang w:eastAsia="es-CO"/>
              </w:rPr>
              <w:tab/>
            </w:r>
            <w:r w:rsidR="00001F39" w:rsidRPr="00F5040F">
              <w:rPr>
                <w:rStyle w:val="Hipervnculo"/>
                <w:rFonts w:cs="Arial"/>
                <w:b/>
                <w:noProof/>
              </w:rPr>
              <w:t>GESTIÓN FINANCIERA</w:t>
            </w:r>
            <w:r w:rsidR="00001F39">
              <w:rPr>
                <w:noProof/>
                <w:webHidden/>
              </w:rPr>
              <w:tab/>
            </w:r>
            <w:r w:rsidR="00001F39">
              <w:rPr>
                <w:noProof/>
                <w:webHidden/>
              </w:rPr>
              <w:fldChar w:fldCharType="begin"/>
            </w:r>
            <w:r w:rsidR="00001F39">
              <w:rPr>
                <w:noProof/>
                <w:webHidden/>
              </w:rPr>
              <w:instrText xml:space="preserve"> PAGEREF _Toc30774645 \h </w:instrText>
            </w:r>
            <w:r w:rsidR="00001F39">
              <w:rPr>
                <w:noProof/>
                <w:webHidden/>
              </w:rPr>
            </w:r>
            <w:r w:rsidR="00001F39">
              <w:rPr>
                <w:noProof/>
                <w:webHidden/>
              </w:rPr>
              <w:fldChar w:fldCharType="separate"/>
            </w:r>
            <w:r w:rsidR="002D104F">
              <w:rPr>
                <w:noProof/>
                <w:webHidden/>
              </w:rPr>
              <w:t>85</w:t>
            </w:r>
            <w:r w:rsidR="00001F39">
              <w:rPr>
                <w:noProof/>
                <w:webHidden/>
              </w:rPr>
              <w:fldChar w:fldCharType="end"/>
            </w:r>
          </w:hyperlink>
        </w:p>
        <w:p w:rsidR="00001F39" w:rsidRDefault="00EF05C5">
          <w:pPr>
            <w:pStyle w:val="TDC2"/>
            <w:rPr>
              <w:rFonts w:asciiTheme="minorHAnsi" w:eastAsiaTheme="minorEastAsia" w:hAnsiTheme="minorHAnsi"/>
              <w:b w:val="0"/>
              <w:sz w:val="22"/>
              <w:lang w:eastAsia="es-CO"/>
            </w:rPr>
          </w:pPr>
          <w:hyperlink w:anchor="_Toc30774646" w:history="1">
            <w:r w:rsidR="00001F39" w:rsidRPr="00F5040F">
              <w:rPr>
                <w:rStyle w:val="Hipervnculo"/>
              </w:rPr>
              <w:t>9.2.</w:t>
            </w:r>
            <w:r w:rsidR="00001F39">
              <w:rPr>
                <w:rFonts w:asciiTheme="minorHAnsi" w:eastAsiaTheme="minorEastAsia" w:hAnsiTheme="minorHAnsi"/>
                <w:b w:val="0"/>
                <w:sz w:val="22"/>
                <w:lang w:eastAsia="es-CO"/>
              </w:rPr>
              <w:tab/>
            </w:r>
            <w:r w:rsidR="00001F39" w:rsidRPr="00F5040F">
              <w:rPr>
                <w:rStyle w:val="Hipervnculo"/>
              </w:rPr>
              <w:t>SITUACIÓN CONTABLE</w:t>
            </w:r>
            <w:r w:rsidR="00001F39">
              <w:rPr>
                <w:webHidden/>
              </w:rPr>
              <w:tab/>
            </w:r>
            <w:r w:rsidR="00001F39">
              <w:rPr>
                <w:webHidden/>
              </w:rPr>
              <w:fldChar w:fldCharType="begin"/>
            </w:r>
            <w:r w:rsidR="00001F39">
              <w:rPr>
                <w:webHidden/>
              </w:rPr>
              <w:instrText xml:space="preserve"> PAGEREF _Toc30774646 \h </w:instrText>
            </w:r>
            <w:r w:rsidR="00001F39">
              <w:rPr>
                <w:webHidden/>
              </w:rPr>
            </w:r>
            <w:r w:rsidR="00001F39">
              <w:rPr>
                <w:webHidden/>
              </w:rPr>
              <w:fldChar w:fldCharType="separate"/>
            </w:r>
            <w:r w:rsidR="002D104F">
              <w:rPr>
                <w:webHidden/>
              </w:rPr>
              <w:t>92</w:t>
            </w:r>
            <w:r w:rsidR="00001F39">
              <w:rPr>
                <w:webHidden/>
              </w:rPr>
              <w:fldChar w:fldCharType="end"/>
            </w:r>
          </w:hyperlink>
        </w:p>
        <w:p w:rsidR="00001F39" w:rsidRDefault="00EF05C5">
          <w:pPr>
            <w:pStyle w:val="TDC2"/>
            <w:rPr>
              <w:rFonts w:asciiTheme="minorHAnsi" w:eastAsiaTheme="minorEastAsia" w:hAnsiTheme="minorHAnsi"/>
              <w:b w:val="0"/>
              <w:sz w:val="22"/>
              <w:lang w:eastAsia="es-CO"/>
            </w:rPr>
          </w:pPr>
          <w:hyperlink w:anchor="_Toc30774647" w:history="1">
            <w:r w:rsidR="00001F39" w:rsidRPr="00F5040F">
              <w:rPr>
                <w:rStyle w:val="Hipervnculo"/>
              </w:rPr>
              <w:t>9.3.</w:t>
            </w:r>
            <w:r w:rsidR="00001F39">
              <w:rPr>
                <w:rFonts w:asciiTheme="minorHAnsi" w:eastAsiaTheme="minorEastAsia" w:hAnsiTheme="minorHAnsi"/>
                <w:b w:val="0"/>
                <w:sz w:val="22"/>
                <w:lang w:eastAsia="es-CO"/>
              </w:rPr>
              <w:tab/>
            </w:r>
            <w:r w:rsidR="00001F39" w:rsidRPr="00F5040F">
              <w:rPr>
                <w:rStyle w:val="Hipervnculo"/>
              </w:rPr>
              <w:t>RECURSOS FÍSICOS</w:t>
            </w:r>
            <w:r w:rsidR="00001F39">
              <w:rPr>
                <w:webHidden/>
              </w:rPr>
              <w:tab/>
            </w:r>
            <w:r w:rsidR="00001F39">
              <w:rPr>
                <w:webHidden/>
              </w:rPr>
              <w:fldChar w:fldCharType="begin"/>
            </w:r>
            <w:r w:rsidR="00001F39">
              <w:rPr>
                <w:webHidden/>
              </w:rPr>
              <w:instrText xml:space="preserve"> PAGEREF _Toc30774647 \h </w:instrText>
            </w:r>
            <w:r w:rsidR="00001F39">
              <w:rPr>
                <w:webHidden/>
              </w:rPr>
            </w:r>
            <w:r w:rsidR="00001F39">
              <w:rPr>
                <w:webHidden/>
              </w:rPr>
              <w:fldChar w:fldCharType="separate"/>
            </w:r>
            <w:r w:rsidR="002D104F">
              <w:rPr>
                <w:webHidden/>
              </w:rPr>
              <w:t>95</w:t>
            </w:r>
            <w:r w:rsidR="00001F39">
              <w:rPr>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48" w:history="1">
            <w:r w:rsidR="00001F39" w:rsidRPr="00F5040F">
              <w:rPr>
                <w:rStyle w:val="Hipervnculo"/>
                <w:rFonts w:cs="Arial"/>
                <w:b/>
                <w:noProof/>
              </w:rPr>
              <w:t>9.3.1.</w:t>
            </w:r>
            <w:r w:rsidR="00001F39">
              <w:rPr>
                <w:rFonts w:asciiTheme="minorHAnsi" w:eastAsiaTheme="minorEastAsia" w:hAnsiTheme="minorHAnsi"/>
                <w:noProof/>
                <w:sz w:val="22"/>
                <w:lang w:eastAsia="es-CO"/>
              </w:rPr>
              <w:tab/>
            </w:r>
            <w:r w:rsidR="00001F39" w:rsidRPr="00F5040F">
              <w:rPr>
                <w:rStyle w:val="Hipervnculo"/>
                <w:rFonts w:cs="Arial"/>
                <w:b/>
                <w:noProof/>
              </w:rPr>
              <w:t>SEDES DEL IDU</w:t>
            </w:r>
            <w:r w:rsidR="00001F39">
              <w:rPr>
                <w:noProof/>
                <w:webHidden/>
              </w:rPr>
              <w:tab/>
            </w:r>
            <w:r w:rsidR="00001F39">
              <w:rPr>
                <w:noProof/>
                <w:webHidden/>
              </w:rPr>
              <w:fldChar w:fldCharType="begin"/>
            </w:r>
            <w:r w:rsidR="00001F39">
              <w:rPr>
                <w:noProof/>
                <w:webHidden/>
              </w:rPr>
              <w:instrText xml:space="preserve"> PAGEREF _Toc30774648 \h </w:instrText>
            </w:r>
            <w:r w:rsidR="00001F39">
              <w:rPr>
                <w:noProof/>
                <w:webHidden/>
              </w:rPr>
            </w:r>
            <w:r w:rsidR="00001F39">
              <w:rPr>
                <w:noProof/>
                <w:webHidden/>
              </w:rPr>
              <w:fldChar w:fldCharType="separate"/>
            </w:r>
            <w:r w:rsidR="002D104F">
              <w:rPr>
                <w:noProof/>
                <w:webHidden/>
              </w:rPr>
              <w:t>96</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49" w:history="1">
            <w:r w:rsidR="00001F39" w:rsidRPr="00F5040F">
              <w:rPr>
                <w:rStyle w:val="Hipervnculo"/>
                <w:rFonts w:cs="Arial"/>
                <w:b/>
                <w:noProof/>
                <w:lang w:val="es-ES"/>
              </w:rPr>
              <w:t>9.4.</w:t>
            </w:r>
            <w:r w:rsidR="00001F39">
              <w:rPr>
                <w:rFonts w:asciiTheme="minorHAnsi" w:eastAsiaTheme="minorEastAsia" w:hAnsiTheme="minorHAnsi"/>
                <w:noProof/>
                <w:sz w:val="22"/>
                <w:lang w:eastAsia="es-CO"/>
              </w:rPr>
              <w:tab/>
            </w:r>
            <w:r w:rsidR="00001F39" w:rsidRPr="00F5040F">
              <w:rPr>
                <w:rStyle w:val="Hipervnculo"/>
                <w:rFonts w:cs="Arial"/>
                <w:b/>
                <w:noProof/>
                <w:lang w:val="es-ES"/>
              </w:rPr>
              <w:t>ALMACÉN E INVENTARIOS</w:t>
            </w:r>
            <w:r w:rsidR="00001F39">
              <w:rPr>
                <w:noProof/>
                <w:webHidden/>
              </w:rPr>
              <w:tab/>
            </w:r>
            <w:r w:rsidR="00001F39">
              <w:rPr>
                <w:noProof/>
                <w:webHidden/>
              </w:rPr>
              <w:fldChar w:fldCharType="begin"/>
            </w:r>
            <w:r w:rsidR="00001F39">
              <w:rPr>
                <w:noProof/>
                <w:webHidden/>
              </w:rPr>
              <w:instrText xml:space="preserve"> PAGEREF _Toc30774649 \h </w:instrText>
            </w:r>
            <w:r w:rsidR="00001F39">
              <w:rPr>
                <w:noProof/>
                <w:webHidden/>
              </w:rPr>
            </w:r>
            <w:r w:rsidR="00001F39">
              <w:rPr>
                <w:noProof/>
                <w:webHidden/>
              </w:rPr>
              <w:fldChar w:fldCharType="separate"/>
            </w:r>
            <w:r w:rsidR="002D104F">
              <w:rPr>
                <w:noProof/>
                <w:webHidden/>
              </w:rPr>
              <w:t>99</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50" w:history="1">
            <w:r w:rsidR="00001F39" w:rsidRPr="00F5040F">
              <w:rPr>
                <w:rStyle w:val="Hipervnculo"/>
                <w:rFonts w:cs="Arial"/>
                <w:b/>
                <w:noProof/>
                <w:lang w:val="es-ES"/>
              </w:rPr>
              <w:t>9.5.</w:t>
            </w:r>
            <w:r w:rsidR="00001F39">
              <w:rPr>
                <w:rFonts w:asciiTheme="minorHAnsi" w:eastAsiaTheme="minorEastAsia" w:hAnsiTheme="minorHAnsi"/>
                <w:noProof/>
                <w:sz w:val="22"/>
                <w:lang w:eastAsia="es-CO"/>
              </w:rPr>
              <w:tab/>
            </w:r>
            <w:r w:rsidR="00001F39" w:rsidRPr="00F5040F">
              <w:rPr>
                <w:rStyle w:val="Hipervnculo"/>
                <w:rFonts w:cs="Arial"/>
                <w:b/>
                <w:noProof/>
                <w:lang w:val="es-ES"/>
              </w:rPr>
              <w:t>MANTENIMIENTO DE INFRAESTRUCTURA FÍSICA</w:t>
            </w:r>
            <w:r w:rsidR="00001F39">
              <w:rPr>
                <w:noProof/>
                <w:webHidden/>
              </w:rPr>
              <w:tab/>
            </w:r>
            <w:r w:rsidR="00001F39">
              <w:rPr>
                <w:noProof/>
                <w:webHidden/>
              </w:rPr>
              <w:fldChar w:fldCharType="begin"/>
            </w:r>
            <w:r w:rsidR="00001F39">
              <w:rPr>
                <w:noProof/>
                <w:webHidden/>
              </w:rPr>
              <w:instrText xml:space="preserve"> PAGEREF _Toc30774650 \h </w:instrText>
            </w:r>
            <w:r w:rsidR="00001F39">
              <w:rPr>
                <w:noProof/>
                <w:webHidden/>
              </w:rPr>
            </w:r>
            <w:r w:rsidR="00001F39">
              <w:rPr>
                <w:noProof/>
                <w:webHidden/>
              </w:rPr>
              <w:fldChar w:fldCharType="separate"/>
            </w:r>
            <w:r w:rsidR="002D104F">
              <w:rPr>
                <w:noProof/>
                <w:webHidden/>
              </w:rPr>
              <w:t>101</w:t>
            </w:r>
            <w:r w:rsidR="00001F39">
              <w:rPr>
                <w:noProof/>
                <w:webHidden/>
              </w:rPr>
              <w:fldChar w:fldCharType="end"/>
            </w:r>
          </w:hyperlink>
        </w:p>
        <w:p w:rsidR="00001F39" w:rsidRDefault="00EF05C5">
          <w:pPr>
            <w:pStyle w:val="TDC2"/>
            <w:rPr>
              <w:rFonts w:asciiTheme="minorHAnsi" w:eastAsiaTheme="minorEastAsia" w:hAnsiTheme="minorHAnsi"/>
              <w:b w:val="0"/>
              <w:sz w:val="22"/>
              <w:lang w:eastAsia="es-CO"/>
            </w:rPr>
          </w:pPr>
          <w:hyperlink w:anchor="_Toc30774651" w:history="1">
            <w:r w:rsidR="00001F39" w:rsidRPr="00F5040F">
              <w:rPr>
                <w:rStyle w:val="Hipervnculo"/>
              </w:rPr>
              <w:t>9.6.</w:t>
            </w:r>
            <w:r w:rsidR="00001F39">
              <w:rPr>
                <w:rFonts w:asciiTheme="minorHAnsi" w:eastAsiaTheme="minorEastAsia" w:hAnsiTheme="minorHAnsi"/>
                <w:b w:val="0"/>
                <w:sz w:val="22"/>
                <w:lang w:eastAsia="es-CO"/>
              </w:rPr>
              <w:tab/>
            </w:r>
            <w:r w:rsidR="00001F39" w:rsidRPr="00F5040F">
              <w:rPr>
                <w:rStyle w:val="Hipervnculo"/>
              </w:rPr>
              <w:t>RECURSOS TECNOLÓGICOS</w:t>
            </w:r>
            <w:r w:rsidR="00001F39">
              <w:rPr>
                <w:webHidden/>
              </w:rPr>
              <w:tab/>
            </w:r>
            <w:r w:rsidR="00001F39">
              <w:rPr>
                <w:webHidden/>
              </w:rPr>
              <w:fldChar w:fldCharType="begin"/>
            </w:r>
            <w:r w:rsidR="00001F39">
              <w:rPr>
                <w:webHidden/>
              </w:rPr>
              <w:instrText xml:space="preserve"> PAGEREF _Toc30774651 \h </w:instrText>
            </w:r>
            <w:r w:rsidR="00001F39">
              <w:rPr>
                <w:webHidden/>
              </w:rPr>
            </w:r>
            <w:r w:rsidR="00001F39">
              <w:rPr>
                <w:webHidden/>
              </w:rPr>
              <w:fldChar w:fldCharType="separate"/>
            </w:r>
            <w:r w:rsidR="002D104F">
              <w:rPr>
                <w:webHidden/>
              </w:rPr>
              <w:t>109</w:t>
            </w:r>
            <w:r w:rsidR="00001F39">
              <w:rPr>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52" w:history="1">
            <w:r w:rsidR="00001F39" w:rsidRPr="00F5040F">
              <w:rPr>
                <w:rStyle w:val="Hipervnculo"/>
                <w:rFonts w:cs="Arial"/>
                <w:b/>
                <w:noProof/>
              </w:rPr>
              <w:t>9.6.1.</w:t>
            </w:r>
            <w:r w:rsidR="00001F39">
              <w:rPr>
                <w:rFonts w:asciiTheme="minorHAnsi" w:eastAsiaTheme="minorEastAsia" w:hAnsiTheme="minorHAnsi"/>
                <w:noProof/>
                <w:sz w:val="22"/>
                <w:lang w:eastAsia="es-CO"/>
              </w:rPr>
              <w:tab/>
            </w:r>
            <w:r w:rsidR="00001F39" w:rsidRPr="00F5040F">
              <w:rPr>
                <w:rStyle w:val="Hipervnculo"/>
                <w:rFonts w:cs="Arial"/>
                <w:b/>
                <w:noProof/>
              </w:rPr>
              <w:t>Actividades Estratégicas</w:t>
            </w:r>
            <w:r w:rsidR="00001F39">
              <w:rPr>
                <w:noProof/>
                <w:webHidden/>
              </w:rPr>
              <w:tab/>
            </w:r>
            <w:r w:rsidR="00001F39">
              <w:rPr>
                <w:noProof/>
                <w:webHidden/>
              </w:rPr>
              <w:fldChar w:fldCharType="begin"/>
            </w:r>
            <w:r w:rsidR="00001F39">
              <w:rPr>
                <w:noProof/>
                <w:webHidden/>
              </w:rPr>
              <w:instrText xml:space="preserve"> PAGEREF _Toc30774652 \h </w:instrText>
            </w:r>
            <w:r w:rsidR="00001F39">
              <w:rPr>
                <w:noProof/>
                <w:webHidden/>
              </w:rPr>
            </w:r>
            <w:r w:rsidR="00001F39">
              <w:rPr>
                <w:noProof/>
                <w:webHidden/>
              </w:rPr>
              <w:fldChar w:fldCharType="separate"/>
            </w:r>
            <w:r w:rsidR="002D104F">
              <w:rPr>
                <w:noProof/>
                <w:webHidden/>
              </w:rPr>
              <w:t>110</w:t>
            </w:r>
            <w:r w:rsidR="00001F39">
              <w:rPr>
                <w:noProof/>
                <w:webHidden/>
              </w:rPr>
              <w:fldChar w:fldCharType="end"/>
            </w:r>
          </w:hyperlink>
        </w:p>
        <w:p w:rsidR="00001F39" w:rsidRDefault="00EF05C5">
          <w:pPr>
            <w:pStyle w:val="TDC3"/>
            <w:tabs>
              <w:tab w:val="left" w:pos="1320"/>
              <w:tab w:val="right" w:leader="dot" w:pos="8828"/>
            </w:tabs>
            <w:rPr>
              <w:rFonts w:asciiTheme="minorHAnsi" w:eastAsiaTheme="minorEastAsia" w:hAnsiTheme="minorHAnsi"/>
              <w:noProof/>
              <w:sz w:val="22"/>
              <w:lang w:eastAsia="es-CO"/>
            </w:rPr>
          </w:pPr>
          <w:hyperlink w:anchor="_Toc30774653" w:history="1">
            <w:r w:rsidR="00001F39" w:rsidRPr="00F5040F">
              <w:rPr>
                <w:rStyle w:val="Hipervnculo"/>
                <w:rFonts w:cs="Arial"/>
                <w:b/>
                <w:noProof/>
              </w:rPr>
              <w:t>9.6.2.</w:t>
            </w:r>
            <w:r w:rsidR="00001F39">
              <w:rPr>
                <w:rFonts w:asciiTheme="minorHAnsi" w:eastAsiaTheme="minorEastAsia" w:hAnsiTheme="minorHAnsi"/>
                <w:noProof/>
                <w:sz w:val="22"/>
                <w:lang w:eastAsia="es-CO"/>
              </w:rPr>
              <w:tab/>
            </w:r>
            <w:r w:rsidR="00001F39" w:rsidRPr="00F5040F">
              <w:rPr>
                <w:rStyle w:val="Hipervnculo"/>
                <w:rFonts w:cs="Arial"/>
                <w:b/>
                <w:noProof/>
              </w:rPr>
              <w:t>Sistemas de Información</w:t>
            </w:r>
            <w:r w:rsidR="00001F39">
              <w:rPr>
                <w:noProof/>
                <w:webHidden/>
              </w:rPr>
              <w:tab/>
            </w:r>
            <w:r w:rsidR="00001F39">
              <w:rPr>
                <w:noProof/>
                <w:webHidden/>
              </w:rPr>
              <w:fldChar w:fldCharType="begin"/>
            </w:r>
            <w:r w:rsidR="00001F39">
              <w:rPr>
                <w:noProof/>
                <w:webHidden/>
              </w:rPr>
              <w:instrText xml:space="preserve"> PAGEREF _Toc30774653 \h </w:instrText>
            </w:r>
            <w:r w:rsidR="00001F39">
              <w:rPr>
                <w:noProof/>
                <w:webHidden/>
              </w:rPr>
            </w:r>
            <w:r w:rsidR="00001F39">
              <w:rPr>
                <w:noProof/>
                <w:webHidden/>
              </w:rPr>
              <w:fldChar w:fldCharType="separate"/>
            </w:r>
            <w:r w:rsidR="002D104F">
              <w:rPr>
                <w:noProof/>
                <w:webHidden/>
              </w:rPr>
              <w:t>111</w:t>
            </w:r>
            <w:r w:rsidR="00001F39">
              <w:rPr>
                <w:noProof/>
                <w:webHidden/>
              </w:rPr>
              <w:fldChar w:fldCharType="end"/>
            </w:r>
          </w:hyperlink>
        </w:p>
        <w:p w:rsidR="00001F39" w:rsidRDefault="00EF05C5">
          <w:pPr>
            <w:pStyle w:val="TDC3"/>
            <w:tabs>
              <w:tab w:val="right" w:leader="dot" w:pos="8828"/>
            </w:tabs>
            <w:rPr>
              <w:rFonts w:asciiTheme="minorHAnsi" w:eastAsiaTheme="minorEastAsia" w:hAnsiTheme="minorHAnsi"/>
              <w:noProof/>
              <w:sz w:val="22"/>
              <w:lang w:eastAsia="es-CO"/>
            </w:rPr>
          </w:pPr>
          <w:hyperlink w:anchor="_Toc30774654" w:history="1">
            <w:r w:rsidR="00001F39" w:rsidRPr="00F5040F">
              <w:rPr>
                <w:rStyle w:val="Hipervnculo"/>
                <w:rFonts w:cs="Arial"/>
                <w:b/>
                <w:noProof/>
              </w:rPr>
              <w:t>CONCLUSIÓN</w:t>
            </w:r>
            <w:r w:rsidR="00001F39">
              <w:rPr>
                <w:noProof/>
                <w:webHidden/>
              </w:rPr>
              <w:tab/>
            </w:r>
            <w:r w:rsidR="00001F39">
              <w:rPr>
                <w:noProof/>
                <w:webHidden/>
              </w:rPr>
              <w:fldChar w:fldCharType="begin"/>
            </w:r>
            <w:r w:rsidR="00001F39">
              <w:rPr>
                <w:noProof/>
                <w:webHidden/>
              </w:rPr>
              <w:instrText xml:space="preserve"> PAGEREF _Toc30774654 \h </w:instrText>
            </w:r>
            <w:r w:rsidR="00001F39">
              <w:rPr>
                <w:noProof/>
                <w:webHidden/>
              </w:rPr>
            </w:r>
            <w:r w:rsidR="00001F39">
              <w:rPr>
                <w:noProof/>
                <w:webHidden/>
              </w:rPr>
              <w:fldChar w:fldCharType="separate"/>
            </w:r>
            <w:r w:rsidR="002D104F">
              <w:rPr>
                <w:noProof/>
                <w:webHidden/>
              </w:rPr>
              <w:t>114</w:t>
            </w:r>
            <w:r w:rsidR="00001F39">
              <w:rPr>
                <w:noProof/>
                <w:webHidden/>
              </w:rPr>
              <w:fldChar w:fldCharType="end"/>
            </w:r>
          </w:hyperlink>
        </w:p>
        <w:p w:rsidR="00001F39" w:rsidRDefault="00001F39">
          <w:r>
            <w:rPr>
              <w:b/>
              <w:bCs/>
              <w:lang w:val="es-ES"/>
            </w:rPr>
            <w:fldChar w:fldCharType="end"/>
          </w:r>
        </w:p>
      </w:sdtContent>
    </w:sdt>
    <w:p w:rsidR="00595F27" w:rsidRPr="00B85448" w:rsidRDefault="00480635" w:rsidP="00B85448">
      <w:pPr>
        <w:pStyle w:val="Ttulo2"/>
        <w:numPr>
          <w:ilvl w:val="0"/>
          <w:numId w:val="0"/>
        </w:numPr>
        <w:ind w:left="1428" w:hanging="360"/>
        <w:jc w:val="center"/>
        <w:rPr>
          <w:sz w:val="24"/>
          <w:szCs w:val="24"/>
        </w:rPr>
      </w:pPr>
      <w:bookmarkStart w:id="0" w:name="_Toc30774593"/>
      <w:r w:rsidRPr="00B85448">
        <w:rPr>
          <w:sz w:val="24"/>
          <w:szCs w:val="24"/>
        </w:rPr>
        <w:t>INTRODUCCIÓN</w:t>
      </w:r>
      <w:bookmarkEnd w:id="0"/>
    </w:p>
    <w:p w:rsidR="001B522E" w:rsidRPr="002934A7" w:rsidRDefault="001B522E" w:rsidP="00480635">
      <w:pPr>
        <w:jc w:val="center"/>
        <w:rPr>
          <w:rFonts w:ascii="Arial" w:hAnsi="Arial" w:cs="Arial"/>
          <w:b/>
        </w:rPr>
      </w:pPr>
    </w:p>
    <w:p w:rsidR="00A530C1" w:rsidRDefault="0053582F" w:rsidP="0053582F">
      <w:pPr>
        <w:jc w:val="both"/>
        <w:rPr>
          <w:rFonts w:ascii="Arial" w:hAnsi="Arial" w:cs="Arial"/>
        </w:rPr>
      </w:pPr>
      <w:r w:rsidRPr="002934A7">
        <w:rPr>
          <w:rFonts w:ascii="Arial" w:hAnsi="Arial" w:cs="Arial"/>
        </w:rPr>
        <w:lastRenderedPageBreak/>
        <w:t>El Instituto de Desarrollo Urbano -IDU- es una entidad del orden Distrital, descentralizada, adscrita al sector movilidad, encargada de atender la ejecución integral y el mantenimiento de los proyectos de infraestructura de los sistemas de movilidad y espacio público construido del Distrito Capital, contemplados dentro del Plan de ordenamiento Territorial, el Plan de Desarrollo Económico y Social y de Obra</w:t>
      </w:r>
      <w:r w:rsidR="00EB2667">
        <w:rPr>
          <w:rFonts w:ascii="Arial" w:hAnsi="Arial" w:cs="Arial"/>
        </w:rPr>
        <w:t xml:space="preserve">s Públicas del Distrito Capital </w:t>
      </w:r>
      <w:r w:rsidRPr="002934A7">
        <w:rPr>
          <w:rFonts w:ascii="Arial" w:hAnsi="Arial" w:cs="Arial"/>
        </w:rPr>
        <w:t xml:space="preserve">y los planes y programas sectoriales, así como de las operaciones necesarias para la distribución, asignación y cobro de las contribuciones de la valorización. </w:t>
      </w:r>
    </w:p>
    <w:p w:rsidR="004876DC" w:rsidRPr="002934A7" w:rsidRDefault="004876DC" w:rsidP="0053582F">
      <w:pPr>
        <w:jc w:val="both"/>
        <w:rPr>
          <w:rFonts w:ascii="Arial" w:hAnsi="Arial" w:cs="Arial"/>
        </w:rPr>
      </w:pPr>
    </w:p>
    <w:p w:rsidR="00A530C1" w:rsidRDefault="0053582F" w:rsidP="0053582F">
      <w:pPr>
        <w:jc w:val="both"/>
        <w:rPr>
          <w:rFonts w:ascii="Arial" w:hAnsi="Arial" w:cs="Arial"/>
        </w:rPr>
      </w:pPr>
      <w:r w:rsidRPr="002934A7">
        <w:rPr>
          <w:rFonts w:ascii="Arial" w:hAnsi="Arial" w:cs="Arial"/>
        </w:rPr>
        <w:t xml:space="preserve">Lo anterior, orientado principalmente a disminuir los costos sociales de la población, entendidos estos como los costos de operación vehicular, tiempos de viaje, costos ambientales y costos por accidentes. Para lograr este objetivo, se dispone de información del estado de la infraestructura administrada por la Entidad, así como de la formulación, por personal especializado, de programas de mantenimiento que permitan la prevención y corrección de deterioros oportunamente. </w:t>
      </w:r>
    </w:p>
    <w:p w:rsidR="004876DC" w:rsidRPr="002934A7" w:rsidRDefault="004876DC" w:rsidP="0053582F">
      <w:pPr>
        <w:jc w:val="both"/>
        <w:rPr>
          <w:rFonts w:ascii="Arial" w:hAnsi="Arial" w:cs="Arial"/>
        </w:rPr>
      </w:pPr>
    </w:p>
    <w:p w:rsidR="00A530C1" w:rsidRDefault="0053582F" w:rsidP="0053582F">
      <w:pPr>
        <w:jc w:val="both"/>
        <w:rPr>
          <w:rFonts w:ascii="Arial" w:hAnsi="Arial" w:cs="Arial"/>
        </w:rPr>
      </w:pPr>
      <w:r w:rsidRPr="002934A7">
        <w:rPr>
          <w:rFonts w:ascii="Arial" w:hAnsi="Arial" w:cs="Arial"/>
        </w:rPr>
        <w:t>Con el desarrollo de las obras que ejecuta el IDU, se plantea que la ciudad tenga una mayor capacidad en su movilidad</w:t>
      </w:r>
      <w:r w:rsidR="00EB2667">
        <w:rPr>
          <w:rFonts w:ascii="Arial" w:hAnsi="Arial" w:cs="Arial"/>
        </w:rPr>
        <w:t>,</w:t>
      </w:r>
      <w:r w:rsidRPr="002934A7">
        <w:rPr>
          <w:rFonts w:ascii="Arial" w:hAnsi="Arial" w:cs="Arial"/>
        </w:rPr>
        <w:t xml:space="preserve"> mejorando de manera considerable la calidad de vida de los capitalinos. Bogotá está encaminada a ser un escenario similar a las grandes ciudades a nivel internacional con vías amplias y corredores estratégicos para agilizar los desplazamientos y así quedó planeado en el Plan de Desarrollo “Bogotá Mejor Para Todos” 2016 – 2020. </w:t>
      </w:r>
    </w:p>
    <w:p w:rsidR="004876DC" w:rsidRPr="002934A7" w:rsidRDefault="004876DC" w:rsidP="0053582F">
      <w:pPr>
        <w:jc w:val="both"/>
        <w:rPr>
          <w:rFonts w:ascii="Arial" w:hAnsi="Arial" w:cs="Arial"/>
        </w:rPr>
      </w:pPr>
    </w:p>
    <w:p w:rsidR="0053582F" w:rsidRDefault="0053582F" w:rsidP="0053582F">
      <w:pPr>
        <w:jc w:val="both"/>
        <w:rPr>
          <w:rFonts w:ascii="Arial" w:hAnsi="Arial" w:cs="Arial"/>
        </w:rPr>
      </w:pPr>
      <w:r w:rsidRPr="002934A7">
        <w:rPr>
          <w:rFonts w:ascii="Arial" w:hAnsi="Arial" w:cs="Arial"/>
        </w:rPr>
        <w:t>Nuestra misión institucional es generar bienestar a los habitantes de la ciudad, mejorando la calidad de vida, mediante el desarrollo de infraestructura y hacia este objetivo hemos estado constantemente orientados, mostrando resultados con grandes proyectos viales y de espacio público que la presente administración en su último año de gobierno pretende dejar a la Ciudad.</w:t>
      </w:r>
    </w:p>
    <w:p w:rsidR="004876DC" w:rsidRDefault="004876DC" w:rsidP="0053582F">
      <w:pPr>
        <w:jc w:val="both"/>
        <w:rPr>
          <w:rFonts w:ascii="Arial" w:hAnsi="Arial" w:cs="Arial"/>
        </w:rPr>
      </w:pPr>
    </w:p>
    <w:p w:rsidR="0051573F" w:rsidRPr="0051573F" w:rsidRDefault="0051573F" w:rsidP="0051573F">
      <w:pPr>
        <w:spacing w:line="276" w:lineRule="auto"/>
        <w:jc w:val="both"/>
        <w:rPr>
          <w:rFonts w:ascii="Arial" w:hAnsi="Arial" w:cs="Arial"/>
        </w:rPr>
      </w:pPr>
      <w:r>
        <w:rPr>
          <w:rFonts w:ascii="Arial" w:hAnsi="Arial" w:cs="Arial"/>
        </w:rPr>
        <w:t xml:space="preserve">Teniendo en cuenta lo </w:t>
      </w:r>
      <w:r w:rsidR="00E423EA">
        <w:rPr>
          <w:rFonts w:ascii="Arial" w:hAnsi="Arial" w:cs="Arial"/>
        </w:rPr>
        <w:t>descrito</w:t>
      </w:r>
      <w:r>
        <w:rPr>
          <w:rFonts w:ascii="Arial" w:hAnsi="Arial" w:cs="Arial"/>
        </w:rPr>
        <w:t xml:space="preserve"> u</w:t>
      </w:r>
      <w:r w:rsidRPr="0051573F">
        <w:rPr>
          <w:rFonts w:ascii="Arial" w:hAnsi="Arial" w:cs="Arial"/>
        </w:rPr>
        <w:t xml:space="preserve">na de las grandes apuestas del Plan de Desarrollo “Bogotá Mejor Para Todos” fue la de superar el rezago en el que se encontraba la ciudad al momento de formular el Plan de Desarrollo, especialmente lo relacionado con la infraestructura del Sistema Transmilenio, dado que al 2015 Sistema debería contar con 388 kilómetros de troncales operando, es decir, solamente en kilómetros de troncales el rezago era de 273 kilómetros. Pero la apuesta del Plan de Desarrollo no solo se basó en la ampliación de la red de troncales, sino en general fue la de incrementar el espacio público, el espacio peatonal y la infraestructura pública disponible para los habitantes y visitantes de Bogotá. </w:t>
      </w:r>
    </w:p>
    <w:p w:rsidR="0051573F" w:rsidRDefault="0051573F" w:rsidP="0051573F">
      <w:pPr>
        <w:tabs>
          <w:tab w:val="center" w:pos="4419"/>
        </w:tabs>
        <w:spacing w:line="276" w:lineRule="auto"/>
        <w:jc w:val="both"/>
        <w:rPr>
          <w:rFonts w:ascii="Arial" w:hAnsi="Arial" w:cs="Arial"/>
          <w:szCs w:val="24"/>
        </w:rPr>
      </w:pPr>
      <w:r w:rsidRPr="0051573F">
        <w:rPr>
          <w:rFonts w:ascii="Arial" w:hAnsi="Arial" w:cs="Arial"/>
        </w:rPr>
        <w:t xml:space="preserve">Esta gran apuesta incluida en el Plan de Desarrollo del Alcalde Enrique Peñalosa, se transformó en el </w:t>
      </w:r>
      <w:r w:rsidRPr="0051573F">
        <w:rPr>
          <w:rFonts w:ascii="Arial" w:hAnsi="Arial" w:cs="Arial"/>
          <w:szCs w:val="24"/>
        </w:rPr>
        <w:t>más ambicioso, técnico e integral plan de obras visto en los últimos tiempos en Instituto, el cual se desarrolló con tres enfoques principales:</w:t>
      </w:r>
    </w:p>
    <w:p w:rsidR="004876DC" w:rsidRPr="0051573F" w:rsidRDefault="004876DC" w:rsidP="0051573F">
      <w:pPr>
        <w:tabs>
          <w:tab w:val="center" w:pos="4419"/>
        </w:tabs>
        <w:spacing w:line="276" w:lineRule="auto"/>
        <w:jc w:val="both"/>
        <w:rPr>
          <w:rFonts w:ascii="Arial" w:hAnsi="Arial" w:cs="Arial"/>
          <w:szCs w:val="24"/>
        </w:rPr>
      </w:pPr>
    </w:p>
    <w:p w:rsidR="0051573F" w:rsidRPr="0051573F" w:rsidRDefault="0051573F" w:rsidP="00D0183B">
      <w:pPr>
        <w:pStyle w:val="Prrafodelista"/>
        <w:numPr>
          <w:ilvl w:val="0"/>
          <w:numId w:val="7"/>
        </w:numPr>
        <w:tabs>
          <w:tab w:val="center" w:pos="4419"/>
        </w:tabs>
        <w:spacing w:after="0" w:line="276" w:lineRule="auto"/>
        <w:ind w:left="567" w:hanging="283"/>
        <w:jc w:val="both"/>
        <w:rPr>
          <w:rFonts w:ascii="Arial" w:hAnsi="Arial" w:cs="Arial"/>
          <w:szCs w:val="24"/>
        </w:rPr>
      </w:pPr>
      <w:r w:rsidRPr="0051573F">
        <w:rPr>
          <w:rFonts w:ascii="Arial" w:hAnsi="Arial" w:cs="Arial"/>
          <w:szCs w:val="24"/>
        </w:rPr>
        <w:t>Obras que unen a Bogotá con el resto del país</w:t>
      </w:r>
    </w:p>
    <w:p w:rsidR="0051573F" w:rsidRPr="0051573F" w:rsidRDefault="0051573F" w:rsidP="00D0183B">
      <w:pPr>
        <w:pStyle w:val="Prrafodelista"/>
        <w:numPr>
          <w:ilvl w:val="0"/>
          <w:numId w:val="7"/>
        </w:numPr>
        <w:tabs>
          <w:tab w:val="center" w:pos="4419"/>
        </w:tabs>
        <w:spacing w:after="0" w:line="276" w:lineRule="auto"/>
        <w:ind w:left="567" w:hanging="283"/>
        <w:jc w:val="both"/>
        <w:rPr>
          <w:rFonts w:ascii="Arial" w:hAnsi="Arial" w:cs="Arial"/>
          <w:szCs w:val="24"/>
        </w:rPr>
      </w:pPr>
      <w:r w:rsidRPr="0051573F">
        <w:rPr>
          <w:rFonts w:ascii="Arial" w:hAnsi="Arial" w:cs="Arial"/>
          <w:szCs w:val="24"/>
        </w:rPr>
        <w:t>Obras que mejoran la conectividad del transporte público</w:t>
      </w:r>
    </w:p>
    <w:p w:rsidR="0051573F" w:rsidRPr="0051573F" w:rsidRDefault="0051573F" w:rsidP="00D0183B">
      <w:pPr>
        <w:pStyle w:val="Prrafodelista"/>
        <w:numPr>
          <w:ilvl w:val="0"/>
          <w:numId w:val="7"/>
        </w:numPr>
        <w:tabs>
          <w:tab w:val="center" w:pos="4419"/>
        </w:tabs>
        <w:spacing w:after="0" w:line="276" w:lineRule="auto"/>
        <w:ind w:left="567" w:hanging="283"/>
        <w:jc w:val="both"/>
        <w:rPr>
          <w:rFonts w:ascii="Arial" w:hAnsi="Arial" w:cs="Arial"/>
          <w:szCs w:val="24"/>
        </w:rPr>
      </w:pPr>
      <w:r w:rsidRPr="0051573F">
        <w:rPr>
          <w:rFonts w:ascii="Arial" w:hAnsi="Arial" w:cs="Arial"/>
          <w:szCs w:val="24"/>
        </w:rPr>
        <w:t>Obras que democratizan el espacio público de los bogotanos.</w:t>
      </w:r>
    </w:p>
    <w:p w:rsidR="0051573F" w:rsidRPr="0051573F" w:rsidRDefault="0051573F" w:rsidP="0051573F">
      <w:pPr>
        <w:spacing w:line="276" w:lineRule="auto"/>
        <w:jc w:val="both"/>
        <w:rPr>
          <w:rFonts w:ascii="Arial" w:hAnsi="Arial" w:cs="Arial"/>
        </w:rPr>
      </w:pPr>
    </w:p>
    <w:p w:rsidR="0051573F" w:rsidRDefault="0051573F" w:rsidP="0051573F">
      <w:pPr>
        <w:spacing w:line="276" w:lineRule="auto"/>
        <w:jc w:val="both"/>
        <w:rPr>
          <w:rFonts w:ascii="Arial" w:hAnsi="Arial" w:cs="Arial"/>
          <w:szCs w:val="24"/>
        </w:rPr>
      </w:pPr>
      <w:r w:rsidRPr="0051573F">
        <w:rPr>
          <w:rFonts w:ascii="Arial" w:hAnsi="Arial" w:cs="Arial"/>
          <w:szCs w:val="24"/>
        </w:rPr>
        <w:t xml:space="preserve">El trabajo comprometido en equipo ha permitido a la fecha cumplir con 9 logros fundamentales, que sin duda han contribuido a la construcción de una ciudad mejor para los bogotanos, y a la transformación rotunda de la infraestructura para la movilidad en la capital el país. </w:t>
      </w:r>
      <w:r w:rsidRPr="0051573F">
        <w:rPr>
          <w:rFonts w:ascii="Arial" w:hAnsi="Arial" w:cs="Arial"/>
          <w:lang w:val="es-ES"/>
        </w:rPr>
        <w:t xml:space="preserve">Este plan de obras ha generado un boom de infraestructura en la Ciudad y un enorme impacto en la vida de los bogotanos. </w:t>
      </w:r>
      <w:r w:rsidRPr="0051573F">
        <w:rPr>
          <w:rFonts w:ascii="Arial" w:hAnsi="Arial" w:cs="Arial"/>
          <w:szCs w:val="24"/>
        </w:rPr>
        <w:t xml:space="preserve">Los logros principales son: </w:t>
      </w:r>
    </w:p>
    <w:p w:rsidR="0051573F" w:rsidRPr="0051573F" w:rsidRDefault="0051573F" w:rsidP="0051573F">
      <w:pPr>
        <w:spacing w:line="276" w:lineRule="auto"/>
        <w:jc w:val="both"/>
        <w:rPr>
          <w:rFonts w:ascii="Arial" w:hAnsi="Arial" w:cs="Arial"/>
          <w:lang w:val="es-ES"/>
        </w:rPr>
      </w:pPr>
    </w:p>
    <w:p w:rsidR="0051573F" w:rsidRPr="0051573F" w:rsidRDefault="0051573F" w:rsidP="00D0183B">
      <w:pPr>
        <w:pStyle w:val="Prrafodelista"/>
        <w:numPr>
          <w:ilvl w:val="0"/>
          <w:numId w:val="8"/>
        </w:numPr>
        <w:tabs>
          <w:tab w:val="center" w:pos="4419"/>
        </w:tabs>
        <w:spacing w:after="0" w:line="276" w:lineRule="auto"/>
        <w:ind w:left="567" w:hanging="283"/>
        <w:jc w:val="both"/>
        <w:rPr>
          <w:rFonts w:ascii="Arial" w:hAnsi="Arial" w:cs="Arial"/>
          <w:szCs w:val="24"/>
        </w:rPr>
      </w:pPr>
      <w:r w:rsidRPr="0051573F">
        <w:rPr>
          <w:rFonts w:ascii="Arial" w:hAnsi="Arial" w:cs="Arial"/>
          <w:b/>
          <w:szCs w:val="24"/>
        </w:rPr>
        <w:t>Destrabar y sacar adelante</w:t>
      </w:r>
      <w:r w:rsidRPr="0051573F">
        <w:rPr>
          <w:rFonts w:ascii="Arial" w:hAnsi="Arial" w:cs="Arial"/>
          <w:szCs w:val="24"/>
        </w:rPr>
        <w:t xml:space="preserve"> la construcción de </w:t>
      </w:r>
      <w:r w:rsidRPr="0051573F">
        <w:rPr>
          <w:rFonts w:ascii="Arial" w:hAnsi="Arial" w:cs="Arial"/>
          <w:b/>
          <w:szCs w:val="24"/>
        </w:rPr>
        <w:t>28 grandes obras de infraestructura</w:t>
      </w:r>
      <w:r w:rsidRPr="0051573F">
        <w:rPr>
          <w:rFonts w:ascii="Arial" w:hAnsi="Arial" w:cs="Arial"/>
          <w:szCs w:val="24"/>
        </w:rPr>
        <w:t xml:space="preserve">, entre los que se destacan el Transmicable de Ciudad Bolívar, y las Avenidas Bosa, Cali y Guayacanes, que transformaron la cara del sur de Bogotá. </w:t>
      </w:r>
    </w:p>
    <w:p w:rsidR="0051573F" w:rsidRPr="0051573F" w:rsidRDefault="0051573F" w:rsidP="0051573F">
      <w:pPr>
        <w:tabs>
          <w:tab w:val="center" w:pos="4419"/>
        </w:tabs>
        <w:spacing w:line="276" w:lineRule="auto"/>
        <w:jc w:val="both"/>
        <w:rPr>
          <w:rFonts w:ascii="Arial" w:hAnsi="Arial" w:cs="Arial"/>
          <w:szCs w:val="24"/>
        </w:rPr>
      </w:pPr>
    </w:p>
    <w:p w:rsidR="0051573F" w:rsidRPr="0051573F" w:rsidRDefault="0051573F" w:rsidP="00D0183B">
      <w:pPr>
        <w:pStyle w:val="Prrafodelista"/>
        <w:numPr>
          <w:ilvl w:val="0"/>
          <w:numId w:val="8"/>
        </w:numPr>
        <w:tabs>
          <w:tab w:val="center" w:pos="4419"/>
        </w:tabs>
        <w:spacing w:after="0" w:line="276" w:lineRule="auto"/>
        <w:ind w:left="567" w:hanging="283"/>
        <w:jc w:val="both"/>
        <w:rPr>
          <w:rFonts w:ascii="Arial" w:hAnsi="Arial" w:cs="Arial"/>
          <w:szCs w:val="24"/>
        </w:rPr>
      </w:pPr>
      <w:r w:rsidRPr="0051573F">
        <w:rPr>
          <w:rFonts w:ascii="Arial" w:hAnsi="Arial" w:cs="Arial"/>
          <w:szCs w:val="24"/>
        </w:rPr>
        <w:t xml:space="preserve">La gestión del </w:t>
      </w:r>
      <w:r w:rsidRPr="0051573F">
        <w:rPr>
          <w:rFonts w:ascii="Arial" w:hAnsi="Arial" w:cs="Arial"/>
          <w:b/>
          <w:szCs w:val="24"/>
        </w:rPr>
        <w:t xml:space="preserve">diseño y estructuración </w:t>
      </w:r>
      <w:r w:rsidRPr="0051573F">
        <w:rPr>
          <w:rFonts w:ascii="Arial" w:hAnsi="Arial" w:cs="Arial"/>
          <w:szCs w:val="24"/>
        </w:rPr>
        <w:t xml:space="preserve">de las primeras </w:t>
      </w:r>
      <w:r w:rsidRPr="0051573F">
        <w:rPr>
          <w:rFonts w:ascii="Arial" w:hAnsi="Arial" w:cs="Arial"/>
          <w:b/>
          <w:szCs w:val="24"/>
        </w:rPr>
        <w:t>Alianzas Público Privadas (APP)</w:t>
      </w:r>
      <w:r w:rsidRPr="0051573F">
        <w:rPr>
          <w:rFonts w:ascii="Arial" w:hAnsi="Arial" w:cs="Arial"/>
          <w:szCs w:val="24"/>
        </w:rPr>
        <w:t xml:space="preserve"> de la capital, para grandes proyectos viales como la ALO SUR, la Calle 13, y la ampliación de la Autopista Norte y la Carrera Séptima. Obras que quedarán contratadas este año.</w:t>
      </w:r>
    </w:p>
    <w:p w:rsidR="0051573F" w:rsidRPr="0051573F" w:rsidRDefault="0051573F" w:rsidP="0051573F">
      <w:pPr>
        <w:pStyle w:val="Prrafodelista"/>
        <w:spacing w:line="276" w:lineRule="auto"/>
        <w:ind w:left="567" w:hanging="283"/>
        <w:jc w:val="both"/>
        <w:rPr>
          <w:rFonts w:ascii="Arial" w:hAnsi="Arial" w:cs="Arial"/>
          <w:szCs w:val="24"/>
        </w:rPr>
      </w:pPr>
    </w:p>
    <w:p w:rsidR="0051573F" w:rsidRPr="0051573F" w:rsidRDefault="0051573F" w:rsidP="00D0183B">
      <w:pPr>
        <w:pStyle w:val="Prrafodelista"/>
        <w:numPr>
          <w:ilvl w:val="0"/>
          <w:numId w:val="8"/>
        </w:numPr>
        <w:tabs>
          <w:tab w:val="center" w:pos="4419"/>
        </w:tabs>
        <w:spacing w:after="0" w:line="276" w:lineRule="auto"/>
        <w:ind w:left="567" w:hanging="283"/>
        <w:jc w:val="both"/>
        <w:rPr>
          <w:rFonts w:ascii="Arial" w:hAnsi="Arial" w:cs="Arial"/>
          <w:szCs w:val="24"/>
        </w:rPr>
      </w:pPr>
      <w:r w:rsidRPr="0051573F">
        <w:rPr>
          <w:rFonts w:ascii="Arial" w:hAnsi="Arial" w:cs="Arial"/>
          <w:b/>
          <w:szCs w:val="24"/>
        </w:rPr>
        <w:t>Poner al día</w:t>
      </w:r>
      <w:r w:rsidRPr="0051573F">
        <w:rPr>
          <w:rFonts w:ascii="Arial" w:hAnsi="Arial" w:cs="Arial"/>
          <w:szCs w:val="24"/>
        </w:rPr>
        <w:t xml:space="preserve"> las obras de </w:t>
      </w:r>
      <w:r w:rsidRPr="0051573F">
        <w:rPr>
          <w:rFonts w:ascii="Arial" w:hAnsi="Arial" w:cs="Arial"/>
          <w:b/>
          <w:szCs w:val="24"/>
        </w:rPr>
        <w:t>valorización y cupo de endeudamiento</w:t>
      </w:r>
      <w:r w:rsidRPr="0051573F">
        <w:rPr>
          <w:rFonts w:ascii="Arial" w:hAnsi="Arial" w:cs="Arial"/>
          <w:szCs w:val="24"/>
        </w:rPr>
        <w:t xml:space="preserve"> que tenían más de 10 años de retraso, y un déficit de 1.5 billones de pesos. Todo esto sin cobrarle un peso más a los bogotanos.</w:t>
      </w:r>
    </w:p>
    <w:p w:rsidR="0051573F" w:rsidRPr="0051573F" w:rsidRDefault="0051573F" w:rsidP="0051573F">
      <w:pPr>
        <w:pStyle w:val="Prrafodelista"/>
        <w:spacing w:line="276" w:lineRule="auto"/>
        <w:ind w:left="567" w:hanging="283"/>
        <w:jc w:val="both"/>
        <w:rPr>
          <w:rFonts w:ascii="Arial" w:hAnsi="Arial" w:cs="Arial"/>
          <w:szCs w:val="24"/>
        </w:rPr>
      </w:pPr>
    </w:p>
    <w:p w:rsidR="0051573F" w:rsidRPr="0051573F" w:rsidRDefault="0051573F" w:rsidP="00D0183B">
      <w:pPr>
        <w:pStyle w:val="Prrafodelista"/>
        <w:numPr>
          <w:ilvl w:val="0"/>
          <w:numId w:val="8"/>
        </w:numPr>
        <w:tabs>
          <w:tab w:val="center" w:pos="4419"/>
        </w:tabs>
        <w:spacing w:after="0" w:line="276" w:lineRule="auto"/>
        <w:ind w:left="567" w:hanging="283"/>
        <w:jc w:val="both"/>
        <w:rPr>
          <w:rFonts w:ascii="Arial" w:hAnsi="Arial" w:cs="Arial"/>
          <w:szCs w:val="24"/>
        </w:rPr>
      </w:pPr>
      <w:r w:rsidRPr="0051573F">
        <w:rPr>
          <w:rFonts w:ascii="Arial" w:hAnsi="Arial" w:cs="Arial"/>
          <w:szCs w:val="24"/>
        </w:rPr>
        <w:t xml:space="preserve">La </w:t>
      </w:r>
      <w:r w:rsidRPr="0051573F">
        <w:rPr>
          <w:rFonts w:ascii="Arial" w:hAnsi="Arial" w:cs="Arial"/>
          <w:b/>
          <w:szCs w:val="24"/>
        </w:rPr>
        <w:t>contratación y ejecución</w:t>
      </w:r>
      <w:r w:rsidRPr="0051573F">
        <w:rPr>
          <w:rFonts w:ascii="Arial" w:hAnsi="Arial" w:cs="Arial"/>
          <w:szCs w:val="24"/>
        </w:rPr>
        <w:t xml:space="preserve"> de </w:t>
      </w:r>
      <w:r w:rsidRPr="0051573F">
        <w:rPr>
          <w:rFonts w:ascii="Arial" w:hAnsi="Arial" w:cs="Arial"/>
          <w:b/>
          <w:szCs w:val="24"/>
        </w:rPr>
        <w:t>71</w:t>
      </w:r>
      <w:r w:rsidRPr="0051573F">
        <w:rPr>
          <w:rFonts w:ascii="Arial" w:hAnsi="Arial" w:cs="Arial"/>
          <w:szCs w:val="24"/>
        </w:rPr>
        <w:t xml:space="preserve"> </w:t>
      </w:r>
      <w:r w:rsidRPr="0051573F">
        <w:rPr>
          <w:rFonts w:ascii="Arial" w:hAnsi="Arial" w:cs="Arial"/>
          <w:b/>
          <w:szCs w:val="24"/>
        </w:rPr>
        <w:t>obras</w:t>
      </w:r>
      <w:r w:rsidRPr="0051573F">
        <w:rPr>
          <w:rFonts w:ascii="Arial" w:hAnsi="Arial" w:cs="Arial"/>
          <w:szCs w:val="24"/>
        </w:rPr>
        <w:t xml:space="preserve"> que transformarán la movilidad de la ciudad en los próximos 20 años.</w:t>
      </w:r>
    </w:p>
    <w:p w:rsidR="0051573F" w:rsidRPr="0051573F" w:rsidRDefault="0051573F" w:rsidP="0051573F">
      <w:pPr>
        <w:pStyle w:val="Prrafodelista"/>
        <w:spacing w:line="276" w:lineRule="auto"/>
        <w:ind w:left="567" w:hanging="283"/>
        <w:jc w:val="both"/>
        <w:rPr>
          <w:rFonts w:ascii="Arial" w:hAnsi="Arial" w:cs="Arial"/>
          <w:szCs w:val="24"/>
        </w:rPr>
      </w:pPr>
    </w:p>
    <w:p w:rsidR="0051573F" w:rsidRPr="0051573F" w:rsidRDefault="0051573F" w:rsidP="00D0183B">
      <w:pPr>
        <w:pStyle w:val="Prrafodelista"/>
        <w:numPr>
          <w:ilvl w:val="0"/>
          <w:numId w:val="8"/>
        </w:numPr>
        <w:tabs>
          <w:tab w:val="center" w:pos="4419"/>
        </w:tabs>
        <w:spacing w:after="0" w:line="276" w:lineRule="auto"/>
        <w:ind w:left="567" w:hanging="283"/>
        <w:jc w:val="both"/>
        <w:rPr>
          <w:rFonts w:ascii="Arial" w:hAnsi="Arial" w:cs="Arial"/>
          <w:szCs w:val="24"/>
        </w:rPr>
      </w:pPr>
      <w:r w:rsidRPr="0051573F">
        <w:rPr>
          <w:rFonts w:ascii="Arial" w:hAnsi="Arial" w:cs="Arial"/>
          <w:szCs w:val="24"/>
        </w:rPr>
        <w:t xml:space="preserve">La </w:t>
      </w:r>
      <w:r w:rsidRPr="0051573F">
        <w:rPr>
          <w:rFonts w:ascii="Arial" w:hAnsi="Arial" w:cs="Arial"/>
          <w:b/>
          <w:szCs w:val="24"/>
        </w:rPr>
        <w:t>financiación y desarrollo</w:t>
      </w:r>
      <w:r w:rsidRPr="0051573F">
        <w:rPr>
          <w:rFonts w:ascii="Arial" w:hAnsi="Arial" w:cs="Arial"/>
          <w:szCs w:val="24"/>
        </w:rPr>
        <w:t xml:space="preserve"> de </w:t>
      </w:r>
      <w:r w:rsidRPr="0051573F">
        <w:rPr>
          <w:rFonts w:ascii="Arial" w:hAnsi="Arial" w:cs="Arial"/>
          <w:b/>
          <w:szCs w:val="24"/>
        </w:rPr>
        <w:t>38 diseños de mega obras</w:t>
      </w:r>
      <w:r w:rsidRPr="0051573F">
        <w:rPr>
          <w:rFonts w:ascii="Arial" w:hAnsi="Arial" w:cs="Arial"/>
          <w:szCs w:val="24"/>
        </w:rPr>
        <w:t>, entre las que se encuentran 4 troncales de TransMilenio, vías regionales, y casi 140 kilómetros nuevos de ciclorruta.</w:t>
      </w:r>
    </w:p>
    <w:p w:rsidR="0051573F" w:rsidRPr="0051573F" w:rsidRDefault="0051573F" w:rsidP="0051573F">
      <w:pPr>
        <w:pStyle w:val="Prrafodelista"/>
        <w:spacing w:line="276" w:lineRule="auto"/>
        <w:ind w:left="567" w:hanging="283"/>
        <w:jc w:val="both"/>
        <w:rPr>
          <w:rFonts w:ascii="Arial" w:hAnsi="Arial" w:cs="Arial"/>
          <w:szCs w:val="24"/>
        </w:rPr>
      </w:pPr>
    </w:p>
    <w:p w:rsidR="0051573F" w:rsidRPr="0051573F" w:rsidRDefault="0051573F" w:rsidP="00D0183B">
      <w:pPr>
        <w:pStyle w:val="Prrafodelista"/>
        <w:numPr>
          <w:ilvl w:val="0"/>
          <w:numId w:val="8"/>
        </w:numPr>
        <w:tabs>
          <w:tab w:val="center" w:pos="4419"/>
        </w:tabs>
        <w:spacing w:after="0" w:line="276" w:lineRule="auto"/>
        <w:ind w:left="567" w:hanging="283"/>
        <w:jc w:val="both"/>
        <w:rPr>
          <w:rFonts w:ascii="Arial" w:hAnsi="Arial" w:cs="Arial"/>
          <w:szCs w:val="24"/>
        </w:rPr>
      </w:pPr>
      <w:r w:rsidRPr="0051573F">
        <w:rPr>
          <w:rFonts w:ascii="Arial" w:hAnsi="Arial" w:cs="Arial"/>
          <w:szCs w:val="24"/>
        </w:rPr>
        <w:t xml:space="preserve">La realización de un </w:t>
      </w:r>
      <w:r w:rsidRPr="0051573F">
        <w:rPr>
          <w:rFonts w:ascii="Arial" w:hAnsi="Arial" w:cs="Arial"/>
          <w:b/>
          <w:szCs w:val="24"/>
        </w:rPr>
        <w:t>diagnóstico total</w:t>
      </w:r>
      <w:r w:rsidRPr="0051573F">
        <w:rPr>
          <w:rFonts w:ascii="Arial" w:hAnsi="Arial" w:cs="Arial"/>
          <w:szCs w:val="24"/>
        </w:rPr>
        <w:t xml:space="preserve"> de la malla vial de la ciudad, lo que ha permitido tapar más de </w:t>
      </w:r>
      <w:r w:rsidRPr="0051573F">
        <w:rPr>
          <w:rFonts w:ascii="Arial" w:hAnsi="Arial" w:cs="Arial"/>
          <w:b/>
          <w:szCs w:val="24"/>
        </w:rPr>
        <w:t>400 mil huecos</w:t>
      </w:r>
      <w:r w:rsidRPr="0051573F">
        <w:rPr>
          <w:rFonts w:ascii="Arial" w:hAnsi="Arial" w:cs="Arial"/>
          <w:szCs w:val="24"/>
        </w:rPr>
        <w:t xml:space="preserve">, priorizando vías donde hay colegios, hospitales y equipamientos públicos. Además inició con un </w:t>
      </w:r>
      <w:r w:rsidRPr="0051573F">
        <w:rPr>
          <w:rFonts w:ascii="Arial" w:hAnsi="Arial" w:cs="Arial"/>
          <w:b/>
          <w:szCs w:val="24"/>
        </w:rPr>
        <w:t>mantenimiento integral</w:t>
      </w:r>
      <w:r w:rsidRPr="0051573F">
        <w:rPr>
          <w:rFonts w:ascii="Arial" w:hAnsi="Arial" w:cs="Arial"/>
          <w:szCs w:val="24"/>
        </w:rPr>
        <w:t xml:space="preserve"> de corredores completos en toda Bogotá. </w:t>
      </w:r>
    </w:p>
    <w:p w:rsidR="0051573F" w:rsidRPr="0051573F" w:rsidRDefault="0051573F" w:rsidP="0051573F">
      <w:pPr>
        <w:pStyle w:val="Prrafodelista"/>
        <w:spacing w:line="276" w:lineRule="auto"/>
        <w:ind w:left="567" w:hanging="283"/>
        <w:jc w:val="both"/>
        <w:rPr>
          <w:rFonts w:ascii="Arial" w:hAnsi="Arial" w:cs="Arial"/>
          <w:szCs w:val="24"/>
        </w:rPr>
      </w:pPr>
    </w:p>
    <w:p w:rsidR="0051573F" w:rsidRPr="0051573F" w:rsidRDefault="0051573F" w:rsidP="00D0183B">
      <w:pPr>
        <w:pStyle w:val="Prrafodelista"/>
        <w:numPr>
          <w:ilvl w:val="0"/>
          <w:numId w:val="8"/>
        </w:numPr>
        <w:tabs>
          <w:tab w:val="center" w:pos="4419"/>
        </w:tabs>
        <w:spacing w:after="0" w:line="276" w:lineRule="auto"/>
        <w:ind w:left="567" w:hanging="283"/>
        <w:jc w:val="both"/>
        <w:rPr>
          <w:rFonts w:ascii="Arial" w:hAnsi="Arial" w:cs="Arial"/>
          <w:szCs w:val="24"/>
        </w:rPr>
      </w:pPr>
      <w:r w:rsidRPr="0051573F">
        <w:rPr>
          <w:rFonts w:ascii="Arial" w:hAnsi="Arial" w:cs="Arial"/>
          <w:szCs w:val="24"/>
        </w:rPr>
        <w:t xml:space="preserve">La </w:t>
      </w:r>
      <w:r w:rsidRPr="0051573F">
        <w:rPr>
          <w:rFonts w:ascii="Arial" w:hAnsi="Arial" w:cs="Arial"/>
          <w:b/>
          <w:szCs w:val="24"/>
        </w:rPr>
        <w:t>transformación de los modelos de contratación</w:t>
      </w:r>
      <w:r w:rsidRPr="0051573F">
        <w:rPr>
          <w:rFonts w:ascii="Arial" w:hAnsi="Arial" w:cs="Arial"/>
          <w:szCs w:val="24"/>
        </w:rPr>
        <w:t xml:space="preserve"> en el IDU, permitiendo gestionar más de </w:t>
      </w:r>
      <w:r w:rsidRPr="0051573F">
        <w:rPr>
          <w:rFonts w:ascii="Arial" w:hAnsi="Arial" w:cs="Arial"/>
          <w:b/>
          <w:szCs w:val="24"/>
        </w:rPr>
        <w:t>15 billones de pesos</w:t>
      </w:r>
      <w:r w:rsidRPr="0051573F">
        <w:rPr>
          <w:rFonts w:ascii="Arial" w:hAnsi="Arial" w:cs="Arial"/>
          <w:szCs w:val="24"/>
        </w:rPr>
        <w:t xml:space="preserve"> de forma transparente convirtiéndose en modelo para el Gobierno Nacional.</w:t>
      </w:r>
    </w:p>
    <w:p w:rsidR="0051573F" w:rsidRPr="0051573F" w:rsidRDefault="0051573F" w:rsidP="0051573F">
      <w:pPr>
        <w:pStyle w:val="Prrafodelista"/>
        <w:spacing w:line="276" w:lineRule="auto"/>
        <w:ind w:left="567" w:hanging="283"/>
        <w:jc w:val="both"/>
        <w:rPr>
          <w:rFonts w:ascii="Arial" w:hAnsi="Arial" w:cs="Arial"/>
          <w:szCs w:val="24"/>
        </w:rPr>
      </w:pPr>
    </w:p>
    <w:p w:rsidR="0051573F" w:rsidRPr="0051573F" w:rsidRDefault="0051573F" w:rsidP="00D0183B">
      <w:pPr>
        <w:pStyle w:val="Prrafodelista"/>
        <w:numPr>
          <w:ilvl w:val="0"/>
          <w:numId w:val="8"/>
        </w:numPr>
        <w:tabs>
          <w:tab w:val="center" w:pos="4419"/>
        </w:tabs>
        <w:spacing w:after="0" w:line="276" w:lineRule="auto"/>
        <w:ind w:left="567" w:hanging="283"/>
        <w:jc w:val="both"/>
        <w:rPr>
          <w:rFonts w:ascii="Arial" w:hAnsi="Arial" w:cs="Arial"/>
          <w:szCs w:val="24"/>
        </w:rPr>
      </w:pPr>
      <w:r w:rsidRPr="0051573F">
        <w:rPr>
          <w:rFonts w:ascii="Arial" w:hAnsi="Arial" w:cs="Arial"/>
          <w:szCs w:val="24"/>
        </w:rPr>
        <w:lastRenderedPageBreak/>
        <w:t xml:space="preserve">El </w:t>
      </w:r>
      <w:r w:rsidRPr="0051573F">
        <w:rPr>
          <w:rFonts w:ascii="Arial" w:hAnsi="Arial" w:cs="Arial"/>
          <w:b/>
          <w:szCs w:val="24"/>
        </w:rPr>
        <w:t>posicionamiento de IDU</w:t>
      </w:r>
      <w:r w:rsidRPr="0051573F">
        <w:rPr>
          <w:rFonts w:ascii="Arial" w:hAnsi="Arial" w:cs="Arial"/>
          <w:szCs w:val="24"/>
        </w:rPr>
        <w:t xml:space="preserve"> como la entidad más </w:t>
      </w:r>
      <w:r w:rsidRPr="0051573F">
        <w:rPr>
          <w:rFonts w:ascii="Arial" w:hAnsi="Arial" w:cs="Arial"/>
          <w:b/>
          <w:szCs w:val="24"/>
        </w:rPr>
        <w:t>transparente</w:t>
      </w:r>
      <w:r w:rsidRPr="0051573F">
        <w:rPr>
          <w:rFonts w:ascii="Arial" w:hAnsi="Arial" w:cs="Arial"/>
          <w:szCs w:val="24"/>
        </w:rPr>
        <w:t xml:space="preserve"> en contratación de la ciudad, y una de las 3 en todo el país. Recibió múltiples reconocimientos del Banco Interamericano de Desarrollo (BID) del Banco Mundial, la Cámara Colombiana de la Infraestructura (CCI) y la Sociedad Colombiana de Ingenieros entre otros.</w:t>
      </w:r>
    </w:p>
    <w:p w:rsidR="0051573F" w:rsidRPr="0051573F" w:rsidRDefault="0051573F" w:rsidP="0051573F">
      <w:pPr>
        <w:pStyle w:val="Prrafodelista"/>
        <w:spacing w:line="276" w:lineRule="auto"/>
        <w:ind w:left="567" w:hanging="283"/>
        <w:jc w:val="both"/>
        <w:rPr>
          <w:rFonts w:ascii="Arial" w:hAnsi="Arial" w:cs="Arial"/>
          <w:szCs w:val="24"/>
        </w:rPr>
      </w:pPr>
    </w:p>
    <w:p w:rsidR="0051573F" w:rsidRPr="0051573F" w:rsidRDefault="0051573F" w:rsidP="00D0183B">
      <w:pPr>
        <w:pStyle w:val="Prrafodelista"/>
        <w:numPr>
          <w:ilvl w:val="0"/>
          <w:numId w:val="8"/>
        </w:numPr>
        <w:tabs>
          <w:tab w:val="center" w:pos="4419"/>
        </w:tabs>
        <w:spacing w:after="0" w:line="276" w:lineRule="auto"/>
        <w:ind w:left="567" w:hanging="283"/>
        <w:jc w:val="both"/>
        <w:rPr>
          <w:rFonts w:ascii="Arial" w:hAnsi="Arial" w:cs="Arial"/>
          <w:szCs w:val="24"/>
        </w:rPr>
      </w:pPr>
      <w:r w:rsidRPr="0051573F">
        <w:rPr>
          <w:rFonts w:ascii="Arial" w:hAnsi="Arial" w:cs="Arial"/>
          <w:szCs w:val="24"/>
        </w:rPr>
        <w:t xml:space="preserve">La </w:t>
      </w:r>
      <w:r w:rsidRPr="0051573F">
        <w:rPr>
          <w:rFonts w:ascii="Arial" w:hAnsi="Arial" w:cs="Arial"/>
          <w:b/>
          <w:szCs w:val="24"/>
        </w:rPr>
        <w:t>redefinición de la gestión social</w:t>
      </w:r>
      <w:r w:rsidRPr="0051573F">
        <w:rPr>
          <w:rFonts w:ascii="Arial" w:hAnsi="Arial" w:cs="Arial"/>
          <w:szCs w:val="24"/>
        </w:rPr>
        <w:t xml:space="preserve">, para permitir que las comunidades se involucren en las obras a través del </w:t>
      </w:r>
      <w:r w:rsidRPr="0051573F">
        <w:rPr>
          <w:rFonts w:ascii="Arial" w:hAnsi="Arial" w:cs="Arial"/>
          <w:b/>
          <w:szCs w:val="24"/>
        </w:rPr>
        <w:t>diálogo y la participación activa</w:t>
      </w:r>
      <w:r w:rsidRPr="0051573F">
        <w:rPr>
          <w:rFonts w:ascii="Arial" w:hAnsi="Arial" w:cs="Arial"/>
          <w:szCs w:val="24"/>
        </w:rPr>
        <w:t xml:space="preserve">. </w:t>
      </w:r>
    </w:p>
    <w:p w:rsidR="0051573F" w:rsidRPr="0051573F" w:rsidRDefault="0051573F" w:rsidP="0051573F">
      <w:pPr>
        <w:pStyle w:val="Prrafodelista"/>
        <w:spacing w:line="276" w:lineRule="auto"/>
        <w:jc w:val="both"/>
        <w:rPr>
          <w:rFonts w:ascii="Arial" w:hAnsi="Arial" w:cs="Arial"/>
          <w:szCs w:val="24"/>
        </w:rPr>
      </w:pPr>
    </w:p>
    <w:p w:rsidR="0051573F" w:rsidRDefault="0051573F" w:rsidP="0051573F">
      <w:pPr>
        <w:tabs>
          <w:tab w:val="center" w:pos="4419"/>
        </w:tabs>
        <w:spacing w:line="276" w:lineRule="auto"/>
        <w:jc w:val="both"/>
        <w:rPr>
          <w:rFonts w:ascii="Arial" w:hAnsi="Arial" w:cs="Arial"/>
          <w:szCs w:val="24"/>
        </w:rPr>
      </w:pPr>
      <w:r w:rsidRPr="0051573F">
        <w:rPr>
          <w:rFonts w:ascii="Arial" w:hAnsi="Arial" w:cs="Arial"/>
          <w:szCs w:val="24"/>
        </w:rPr>
        <w:t>Sin embargo, para llevar a buen puerto este ambicioso plan, fue necesario ejecutar unas políticas generales al interior del Instituto que garantizaran en primer lugar, la correcta inversión de los recursos a ser administrados en el cuatrienio y que adicionalmente contarán con las aceptación y participación activa de las comunidades que serían beneficiarias directas de cada una de los proyectos a desarrollar por el Insti</w:t>
      </w:r>
      <w:r w:rsidR="00E423EA">
        <w:rPr>
          <w:rFonts w:ascii="Arial" w:hAnsi="Arial" w:cs="Arial"/>
          <w:szCs w:val="24"/>
        </w:rPr>
        <w:t xml:space="preserve">tuto de Desarrollo Urbano, por tal razón el presente informe de gestión pretende dar una mirada a lo realizado durante estos cuatro años de ejecución del Plan de Desarrollo “Bogotá Mejor Para Todos” 2016-2019. </w:t>
      </w:r>
    </w:p>
    <w:p w:rsidR="0053582F" w:rsidRPr="00370591" w:rsidRDefault="00370591" w:rsidP="00370591">
      <w:pPr>
        <w:tabs>
          <w:tab w:val="center" w:pos="4419"/>
        </w:tabs>
        <w:spacing w:line="276" w:lineRule="auto"/>
        <w:jc w:val="both"/>
        <w:rPr>
          <w:rFonts w:ascii="Arial" w:hAnsi="Arial" w:cs="Arial"/>
          <w:szCs w:val="24"/>
        </w:rPr>
      </w:pPr>
      <w:r>
        <w:rPr>
          <w:rFonts w:ascii="Arial" w:hAnsi="Arial" w:cs="Arial"/>
          <w:szCs w:val="24"/>
        </w:rPr>
        <w:t>Cordialmente,</w:t>
      </w:r>
    </w:p>
    <w:p w:rsidR="0053582F" w:rsidRDefault="00370591" w:rsidP="00370591">
      <w:pPr>
        <w:jc w:val="center"/>
        <w:rPr>
          <w:rFonts w:ascii="Arial" w:hAnsi="Arial" w:cs="Arial"/>
          <w:b/>
          <w:lang w:val="es-ES"/>
        </w:rPr>
      </w:pPr>
      <w:r>
        <w:rPr>
          <w:noProof/>
          <w:lang w:eastAsia="es-CO"/>
        </w:rPr>
        <w:drawing>
          <wp:inline distT="0" distB="0" distL="0" distR="0" wp14:anchorId="77475159" wp14:editId="39C24E81">
            <wp:extent cx="2722164" cy="867040"/>
            <wp:effectExtent l="0" t="0" r="254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97098" cy="890907"/>
                    </a:xfrm>
                    <a:prstGeom prst="rect">
                      <a:avLst/>
                    </a:prstGeom>
                  </pic:spPr>
                </pic:pic>
              </a:graphicData>
            </a:graphic>
          </wp:inline>
        </w:drawing>
      </w:r>
    </w:p>
    <w:p w:rsidR="001F2135" w:rsidRDefault="00370591" w:rsidP="00370591">
      <w:pPr>
        <w:jc w:val="center"/>
        <w:rPr>
          <w:rFonts w:ascii="Arial" w:hAnsi="Arial" w:cs="Arial"/>
          <w:b/>
          <w:lang w:val="es-ES"/>
        </w:rPr>
      </w:pPr>
      <w:r>
        <w:rPr>
          <w:rFonts w:ascii="Arial" w:hAnsi="Arial" w:cs="Arial"/>
          <w:b/>
          <w:lang w:val="es-ES"/>
        </w:rPr>
        <w:t>ISAURO CABRERA VEGA</w:t>
      </w:r>
    </w:p>
    <w:p w:rsidR="00370591" w:rsidRDefault="00370591" w:rsidP="00370591">
      <w:pPr>
        <w:jc w:val="center"/>
        <w:rPr>
          <w:rFonts w:ascii="Arial" w:hAnsi="Arial" w:cs="Arial"/>
          <w:b/>
          <w:lang w:val="es-ES"/>
        </w:rPr>
      </w:pPr>
      <w:r>
        <w:rPr>
          <w:rFonts w:ascii="Arial" w:hAnsi="Arial" w:cs="Arial"/>
          <w:b/>
          <w:lang w:val="es-ES"/>
        </w:rPr>
        <w:t>Director General (E)</w:t>
      </w:r>
    </w:p>
    <w:p w:rsidR="001F2135" w:rsidRDefault="001F2135" w:rsidP="001B522E">
      <w:pPr>
        <w:rPr>
          <w:rFonts w:ascii="Arial" w:hAnsi="Arial" w:cs="Arial"/>
          <w:b/>
          <w:lang w:val="es-ES"/>
        </w:rPr>
      </w:pPr>
    </w:p>
    <w:p w:rsidR="001F2135" w:rsidRDefault="001F2135" w:rsidP="001B522E">
      <w:pPr>
        <w:rPr>
          <w:rFonts w:ascii="Arial" w:hAnsi="Arial" w:cs="Arial"/>
          <w:b/>
          <w:lang w:val="es-ES"/>
        </w:rPr>
      </w:pPr>
    </w:p>
    <w:p w:rsidR="001F2135" w:rsidRDefault="001F2135" w:rsidP="001B522E">
      <w:pPr>
        <w:rPr>
          <w:rFonts w:ascii="Arial" w:hAnsi="Arial" w:cs="Arial"/>
          <w:b/>
          <w:lang w:val="es-ES"/>
        </w:rPr>
      </w:pPr>
    </w:p>
    <w:p w:rsidR="001F2135" w:rsidRDefault="001F2135" w:rsidP="001B522E">
      <w:pPr>
        <w:rPr>
          <w:rFonts w:ascii="Arial" w:hAnsi="Arial" w:cs="Arial"/>
          <w:b/>
          <w:lang w:val="es-ES"/>
        </w:rPr>
      </w:pPr>
    </w:p>
    <w:p w:rsidR="001F2135" w:rsidRDefault="001F2135" w:rsidP="001B522E">
      <w:pPr>
        <w:rPr>
          <w:rFonts w:ascii="Arial" w:hAnsi="Arial" w:cs="Arial"/>
          <w:b/>
          <w:lang w:val="es-ES"/>
        </w:rPr>
      </w:pPr>
    </w:p>
    <w:p w:rsidR="001F2135" w:rsidRDefault="001F2135" w:rsidP="001B522E">
      <w:pPr>
        <w:rPr>
          <w:rFonts w:ascii="Arial" w:hAnsi="Arial" w:cs="Arial"/>
          <w:b/>
          <w:lang w:val="es-ES"/>
        </w:rPr>
      </w:pPr>
    </w:p>
    <w:p w:rsidR="001F2135" w:rsidRDefault="001F2135" w:rsidP="001B522E">
      <w:pPr>
        <w:rPr>
          <w:rFonts w:ascii="Arial" w:hAnsi="Arial" w:cs="Arial"/>
          <w:b/>
          <w:lang w:val="es-ES"/>
        </w:rPr>
      </w:pPr>
    </w:p>
    <w:p w:rsidR="00D74D9B" w:rsidRDefault="00D74D9B" w:rsidP="001B522E">
      <w:pPr>
        <w:rPr>
          <w:rFonts w:ascii="Arial" w:hAnsi="Arial" w:cs="Arial"/>
          <w:b/>
          <w:lang w:val="es-ES"/>
        </w:rPr>
      </w:pPr>
    </w:p>
    <w:p w:rsidR="00D74D9B" w:rsidRDefault="00D74D9B" w:rsidP="001B522E">
      <w:pPr>
        <w:rPr>
          <w:rFonts w:ascii="Arial" w:hAnsi="Arial" w:cs="Arial"/>
          <w:b/>
          <w:lang w:val="es-ES"/>
        </w:rPr>
      </w:pPr>
      <w:bookmarkStart w:id="1" w:name="_GoBack"/>
      <w:bookmarkEnd w:id="1"/>
    </w:p>
    <w:p w:rsidR="001F2135" w:rsidRDefault="001F2135" w:rsidP="001B522E">
      <w:pPr>
        <w:rPr>
          <w:rFonts w:ascii="Arial" w:hAnsi="Arial" w:cs="Arial"/>
          <w:b/>
          <w:lang w:val="es-ES"/>
        </w:rPr>
      </w:pPr>
    </w:p>
    <w:p w:rsidR="0051573F" w:rsidRDefault="0051573F" w:rsidP="001B522E">
      <w:pPr>
        <w:rPr>
          <w:rFonts w:ascii="Arial" w:hAnsi="Arial" w:cs="Arial"/>
          <w:b/>
          <w:lang w:val="es-ES"/>
        </w:rPr>
      </w:pPr>
    </w:p>
    <w:p w:rsidR="007D4345" w:rsidRPr="001F2135" w:rsidRDefault="007D4345" w:rsidP="001F2135">
      <w:pPr>
        <w:pStyle w:val="Ttulo2"/>
        <w:numPr>
          <w:ilvl w:val="0"/>
          <w:numId w:val="0"/>
        </w:numPr>
        <w:ind w:left="1428" w:hanging="360"/>
        <w:jc w:val="center"/>
        <w:rPr>
          <w:sz w:val="24"/>
          <w:szCs w:val="24"/>
        </w:rPr>
      </w:pPr>
      <w:bookmarkStart w:id="2" w:name="_Toc30774594"/>
      <w:r w:rsidRPr="001F2135">
        <w:rPr>
          <w:sz w:val="24"/>
          <w:szCs w:val="24"/>
        </w:rPr>
        <w:lastRenderedPageBreak/>
        <w:t>CAPITULO I. GENERALIDADES DE LA ENTIDAD</w:t>
      </w:r>
      <w:bookmarkEnd w:id="2"/>
    </w:p>
    <w:p w:rsidR="007D4345" w:rsidRPr="002934A7" w:rsidRDefault="007D4345" w:rsidP="007D4345">
      <w:pPr>
        <w:autoSpaceDE w:val="0"/>
        <w:autoSpaceDN w:val="0"/>
        <w:adjustRightInd w:val="0"/>
        <w:spacing w:after="0" w:line="240" w:lineRule="auto"/>
        <w:jc w:val="center"/>
        <w:rPr>
          <w:rFonts w:ascii="Arial" w:hAnsi="Arial" w:cs="Arial"/>
          <w:b/>
          <w:bCs/>
        </w:rPr>
      </w:pPr>
    </w:p>
    <w:p w:rsidR="007D4345" w:rsidRPr="001F2135" w:rsidRDefault="007D4345" w:rsidP="00D0183B">
      <w:pPr>
        <w:pStyle w:val="Ttulo2"/>
        <w:numPr>
          <w:ilvl w:val="1"/>
          <w:numId w:val="57"/>
        </w:numPr>
        <w:jc w:val="both"/>
        <w:rPr>
          <w:sz w:val="24"/>
          <w:szCs w:val="24"/>
        </w:rPr>
      </w:pPr>
      <w:bookmarkStart w:id="3" w:name="_Toc30774595"/>
      <w:r w:rsidRPr="001F2135">
        <w:rPr>
          <w:sz w:val="24"/>
          <w:szCs w:val="24"/>
        </w:rPr>
        <w:t>FUNCIONES GENERALES DE LA ENTIDAD</w:t>
      </w:r>
      <w:bookmarkEnd w:id="3"/>
    </w:p>
    <w:p w:rsidR="007D4345" w:rsidRPr="002934A7" w:rsidRDefault="007D4345" w:rsidP="007D4345">
      <w:pPr>
        <w:pStyle w:val="Prrafodelista"/>
        <w:autoSpaceDE w:val="0"/>
        <w:autoSpaceDN w:val="0"/>
        <w:adjustRightInd w:val="0"/>
        <w:spacing w:after="0" w:line="240" w:lineRule="auto"/>
        <w:ind w:left="360"/>
        <w:rPr>
          <w:rFonts w:ascii="Arial" w:hAnsi="Arial" w:cs="Arial"/>
          <w:b/>
          <w:bCs/>
        </w:rPr>
      </w:pPr>
    </w:p>
    <w:p w:rsidR="008F4174" w:rsidRPr="002934A7" w:rsidRDefault="007D4345" w:rsidP="008F4174">
      <w:pPr>
        <w:autoSpaceDE w:val="0"/>
        <w:autoSpaceDN w:val="0"/>
        <w:adjustRightInd w:val="0"/>
        <w:spacing w:after="0" w:line="240" w:lineRule="auto"/>
        <w:jc w:val="both"/>
        <w:rPr>
          <w:rFonts w:ascii="Arial" w:hAnsi="Arial" w:cs="Arial"/>
        </w:rPr>
      </w:pPr>
      <w:r w:rsidRPr="002934A7">
        <w:rPr>
          <w:rFonts w:ascii="Arial" w:hAnsi="Arial" w:cs="Arial"/>
        </w:rPr>
        <w:t>En el Acuerdo No. 001 de febrero 03 de 2009 del Consejo Directivo, por el cual se expiden los</w:t>
      </w:r>
      <w:r w:rsidR="008F4174" w:rsidRPr="002934A7">
        <w:rPr>
          <w:rFonts w:ascii="Arial" w:hAnsi="Arial" w:cs="Arial"/>
        </w:rPr>
        <w:t xml:space="preserve"> </w:t>
      </w:r>
      <w:r w:rsidRPr="002934A7">
        <w:rPr>
          <w:rFonts w:ascii="Arial" w:hAnsi="Arial" w:cs="Arial"/>
        </w:rPr>
        <w:t>estatutos del Instituto de Desarrollo Urbano –IDU, se establece que el objeto social de la entidad es</w:t>
      </w:r>
      <w:r w:rsidR="008F4174" w:rsidRPr="002934A7">
        <w:rPr>
          <w:rFonts w:ascii="Arial" w:hAnsi="Arial" w:cs="Arial"/>
        </w:rPr>
        <w:t xml:space="preserve"> </w:t>
      </w:r>
      <w:r w:rsidRPr="002934A7">
        <w:rPr>
          <w:rFonts w:ascii="Arial" w:hAnsi="Arial" w:cs="Arial"/>
        </w:rPr>
        <w:t>atender en el ámbito de sus competencias la ejecución integral y el mantenimiento de los proyectos</w:t>
      </w:r>
      <w:r w:rsidR="008F4174" w:rsidRPr="002934A7">
        <w:rPr>
          <w:rFonts w:ascii="Arial" w:hAnsi="Arial" w:cs="Arial"/>
        </w:rPr>
        <w:t xml:space="preserve"> </w:t>
      </w:r>
      <w:r w:rsidRPr="002934A7">
        <w:rPr>
          <w:rFonts w:ascii="Arial" w:hAnsi="Arial" w:cs="Arial"/>
        </w:rPr>
        <w:t>de infraestructura de los sistemas de movilidad y espacio público construido del distrito capital,</w:t>
      </w:r>
      <w:r w:rsidR="008F4174" w:rsidRPr="002934A7">
        <w:rPr>
          <w:rFonts w:ascii="Arial" w:hAnsi="Arial" w:cs="Arial"/>
        </w:rPr>
        <w:t xml:space="preserve"> </w:t>
      </w:r>
      <w:r w:rsidRPr="002934A7">
        <w:rPr>
          <w:rFonts w:ascii="Arial" w:hAnsi="Arial" w:cs="Arial"/>
        </w:rPr>
        <w:t>contemplados dentro del plan de ordenamiento territorial, el plan de desarrollo económico y social y</w:t>
      </w:r>
      <w:r w:rsidR="008F4174" w:rsidRPr="002934A7">
        <w:rPr>
          <w:rFonts w:ascii="Arial" w:hAnsi="Arial" w:cs="Arial"/>
        </w:rPr>
        <w:t xml:space="preserve"> </w:t>
      </w:r>
      <w:r w:rsidRPr="002934A7">
        <w:rPr>
          <w:rFonts w:ascii="Arial" w:hAnsi="Arial" w:cs="Arial"/>
        </w:rPr>
        <w:t>de obras públicas del distrito capital y los planes y programas sectoriales, así como las operaciones</w:t>
      </w:r>
      <w:r w:rsidR="008F4174" w:rsidRPr="002934A7">
        <w:rPr>
          <w:rFonts w:ascii="Arial" w:hAnsi="Arial" w:cs="Arial"/>
        </w:rPr>
        <w:t xml:space="preserve"> </w:t>
      </w:r>
      <w:r w:rsidRPr="002934A7">
        <w:rPr>
          <w:rFonts w:ascii="Arial" w:hAnsi="Arial" w:cs="Arial"/>
        </w:rPr>
        <w:t>necesarias para la distribución, asignación y cobro de las contribuciones de valorización y de</w:t>
      </w:r>
      <w:r w:rsidR="008F4174" w:rsidRPr="002934A7">
        <w:rPr>
          <w:rFonts w:ascii="Arial" w:hAnsi="Arial" w:cs="Arial"/>
        </w:rPr>
        <w:t xml:space="preserve"> </w:t>
      </w:r>
      <w:r w:rsidRPr="002934A7">
        <w:rPr>
          <w:rFonts w:ascii="Arial" w:hAnsi="Arial" w:cs="Arial"/>
        </w:rPr>
        <w:t xml:space="preserve">pavimentación. </w:t>
      </w:r>
    </w:p>
    <w:p w:rsidR="008F4174" w:rsidRPr="002934A7" w:rsidRDefault="008F4174" w:rsidP="008F4174">
      <w:pPr>
        <w:autoSpaceDE w:val="0"/>
        <w:autoSpaceDN w:val="0"/>
        <w:adjustRightInd w:val="0"/>
        <w:spacing w:after="0" w:line="240" w:lineRule="auto"/>
        <w:jc w:val="both"/>
        <w:rPr>
          <w:rFonts w:ascii="Arial" w:hAnsi="Arial" w:cs="Arial"/>
        </w:rPr>
      </w:pPr>
    </w:p>
    <w:p w:rsidR="007D4345" w:rsidRPr="002934A7" w:rsidRDefault="007D4345" w:rsidP="00A47F75">
      <w:pPr>
        <w:autoSpaceDE w:val="0"/>
        <w:autoSpaceDN w:val="0"/>
        <w:adjustRightInd w:val="0"/>
        <w:spacing w:after="0" w:line="240" w:lineRule="auto"/>
        <w:jc w:val="both"/>
        <w:rPr>
          <w:rFonts w:ascii="Arial" w:hAnsi="Arial" w:cs="Arial"/>
        </w:rPr>
      </w:pPr>
      <w:r w:rsidRPr="002934A7">
        <w:rPr>
          <w:rFonts w:ascii="Arial" w:hAnsi="Arial" w:cs="Arial"/>
        </w:rPr>
        <w:t>Además se indica</w:t>
      </w:r>
      <w:r w:rsidR="007C1B71">
        <w:rPr>
          <w:rFonts w:ascii="Arial" w:hAnsi="Arial" w:cs="Arial"/>
        </w:rPr>
        <w:t>n</w:t>
      </w:r>
      <w:r w:rsidRPr="002934A7">
        <w:rPr>
          <w:rFonts w:ascii="Arial" w:hAnsi="Arial" w:cs="Arial"/>
        </w:rPr>
        <w:t xml:space="preserve"> las funciones generales del Instituto que son:</w:t>
      </w:r>
    </w:p>
    <w:p w:rsidR="008F4174" w:rsidRPr="002934A7" w:rsidRDefault="008F4174" w:rsidP="00A47F75">
      <w:pPr>
        <w:autoSpaceDE w:val="0"/>
        <w:autoSpaceDN w:val="0"/>
        <w:adjustRightInd w:val="0"/>
        <w:spacing w:after="0" w:line="240" w:lineRule="auto"/>
        <w:jc w:val="both"/>
        <w:rPr>
          <w:rFonts w:ascii="Arial" w:hAnsi="Arial" w:cs="Arial"/>
        </w:rPr>
      </w:pPr>
    </w:p>
    <w:p w:rsidR="007D4345" w:rsidRPr="00FF1E27" w:rsidRDefault="007D4345" w:rsidP="00D0183B">
      <w:pPr>
        <w:pStyle w:val="Prrafodelista"/>
        <w:numPr>
          <w:ilvl w:val="0"/>
          <w:numId w:val="4"/>
        </w:numPr>
        <w:autoSpaceDE w:val="0"/>
        <w:autoSpaceDN w:val="0"/>
        <w:adjustRightInd w:val="0"/>
        <w:spacing w:after="0" w:line="240" w:lineRule="auto"/>
        <w:jc w:val="both"/>
        <w:rPr>
          <w:rFonts w:ascii="Arial" w:hAnsi="Arial" w:cs="Arial"/>
        </w:rPr>
      </w:pPr>
      <w:r w:rsidRPr="00FF1E27">
        <w:rPr>
          <w:rFonts w:ascii="Arial" w:hAnsi="Arial" w:cs="Arial"/>
        </w:rPr>
        <w:t>Proponer en el marco de sus competencias a la Secretaria Distrital de Movilidad, como líder del</w:t>
      </w:r>
      <w:r w:rsidR="008F4174" w:rsidRPr="00FF1E27">
        <w:rPr>
          <w:rFonts w:ascii="Arial" w:hAnsi="Arial" w:cs="Arial"/>
        </w:rPr>
        <w:t xml:space="preserve"> </w:t>
      </w:r>
      <w:r w:rsidRPr="00FF1E27">
        <w:rPr>
          <w:rFonts w:ascii="Arial" w:hAnsi="Arial" w:cs="Arial"/>
        </w:rPr>
        <w:t>comité sectorial de movilidad, la adopción de políticas sectoriales.</w:t>
      </w:r>
    </w:p>
    <w:p w:rsidR="007D4345" w:rsidRPr="00FF1E27" w:rsidRDefault="007D4345" w:rsidP="00D0183B">
      <w:pPr>
        <w:pStyle w:val="Prrafodelista"/>
        <w:numPr>
          <w:ilvl w:val="0"/>
          <w:numId w:val="4"/>
        </w:numPr>
        <w:autoSpaceDE w:val="0"/>
        <w:autoSpaceDN w:val="0"/>
        <w:adjustRightInd w:val="0"/>
        <w:spacing w:after="0" w:line="240" w:lineRule="auto"/>
        <w:jc w:val="both"/>
        <w:rPr>
          <w:rFonts w:ascii="Arial" w:hAnsi="Arial" w:cs="Arial"/>
        </w:rPr>
      </w:pPr>
      <w:r w:rsidRPr="00FF1E27">
        <w:rPr>
          <w:rFonts w:ascii="Arial" w:hAnsi="Arial" w:cs="Arial"/>
        </w:rPr>
        <w:t>Diseñar estrategias, planes, programas y proyectos de infraestructura de los sistemas de</w:t>
      </w:r>
      <w:r w:rsidR="008F4174" w:rsidRPr="00FF1E27">
        <w:rPr>
          <w:rFonts w:ascii="Arial" w:hAnsi="Arial" w:cs="Arial"/>
        </w:rPr>
        <w:t xml:space="preserve"> </w:t>
      </w:r>
      <w:r w:rsidRPr="00FF1E27">
        <w:rPr>
          <w:rFonts w:ascii="Arial" w:hAnsi="Arial" w:cs="Arial"/>
        </w:rPr>
        <w:t>movilidad y de espacio público construido, de parqueaderos públicos y de operaciones urbanas</w:t>
      </w:r>
      <w:r w:rsidR="008F4174" w:rsidRPr="00FF1E27">
        <w:rPr>
          <w:rFonts w:ascii="Arial" w:hAnsi="Arial" w:cs="Arial"/>
        </w:rPr>
        <w:t xml:space="preserve"> </w:t>
      </w:r>
      <w:r w:rsidRPr="00FF1E27">
        <w:rPr>
          <w:rFonts w:ascii="Arial" w:hAnsi="Arial" w:cs="Arial"/>
        </w:rPr>
        <w:t>a cargo de la entidad.</w:t>
      </w:r>
    </w:p>
    <w:p w:rsidR="007D4345" w:rsidRPr="00FF1E27" w:rsidRDefault="007D4345" w:rsidP="00D0183B">
      <w:pPr>
        <w:pStyle w:val="Prrafodelista"/>
        <w:numPr>
          <w:ilvl w:val="0"/>
          <w:numId w:val="4"/>
        </w:numPr>
        <w:autoSpaceDE w:val="0"/>
        <w:autoSpaceDN w:val="0"/>
        <w:adjustRightInd w:val="0"/>
        <w:spacing w:after="0" w:line="240" w:lineRule="auto"/>
        <w:jc w:val="both"/>
        <w:rPr>
          <w:rFonts w:ascii="Arial" w:hAnsi="Arial" w:cs="Arial"/>
        </w:rPr>
      </w:pPr>
      <w:r w:rsidRPr="00FF1E27">
        <w:rPr>
          <w:rFonts w:ascii="Arial" w:hAnsi="Arial" w:cs="Arial"/>
        </w:rPr>
        <w:t>Ejecutar la construcción y mantenimiento de los proyectos de los sistemas de movilidad y de</w:t>
      </w:r>
      <w:r w:rsidR="008F4174" w:rsidRPr="00FF1E27">
        <w:rPr>
          <w:rFonts w:ascii="Arial" w:hAnsi="Arial" w:cs="Arial"/>
        </w:rPr>
        <w:t xml:space="preserve"> </w:t>
      </w:r>
      <w:r w:rsidRPr="00FF1E27">
        <w:rPr>
          <w:rFonts w:ascii="Arial" w:hAnsi="Arial" w:cs="Arial"/>
        </w:rPr>
        <w:t>espacio público construido, de operaciones urbanas y de parqueaderos públicos a cargo de la</w:t>
      </w:r>
      <w:r w:rsidR="008F4174" w:rsidRPr="00FF1E27">
        <w:rPr>
          <w:rFonts w:ascii="Arial" w:hAnsi="Arial" w:cs="Arial"/>
        </w:rPr>
        <w:t xml:space="preserve"> </w:t>
      </w:r>
      <w:r w:rsidRPr="00FF1E27">
        <w:rPr>
          <w:rFonts w:ascii="Arial" w:hAnsi="Arial" w:cs="Arial"/>
        </w:rPr>
        <w:t>entidad.</w:t>
      </w:r>
    </w:p>
    <w:p w:rsidR="007D4345" w:rsidRPr="00FF1E27" w:rsidRDefault="007D4345" w:rsidP="00D0183B">
      <w:pPr>
        <w:pStyle w:val="Prrafodelista"/>
        <w:numPr>
          <w:ilvl w:val="0"/>
          <w:numId w:val="4"/>
        </w:numPr>
        <w:autoSpaceDE w:val="0"/>
        <w:autoSpaceDN w:val="0"/>
        <w:adjustRightInd w:val="0"/>
        <w:spacing w:after="0" w:line="240" w:lineRule="auto"/>
        <w:jc w:val="both"/>
        <w:rPr>
          <w:rFonts w:ascii="Arial" w:hAnsi="Arial" w:cs="Arial"/>
        </w:rPr>
      </w:pPr>
      <w:r w:rsidRPr="00FF1E27">
        <w:rPr>
          <w:rFonts w:ascii="Arial" w:hAnsi="Arial" w:cs="Arial"/>
        </w:rPr>
        <w:t>Realizar, conforme a las disposiciones vigentes, las operaciones administrativas de cálculo,</w:t>
      </w:r>
      <w:r w:rsidR="00572E8D">
        <w:rPr>
          <w:rFonts w:ascii="Arial" w:hAnsi="Arial" w:cs="Arial"/>
        </w:rPr>
        <w:t xml:space="preserve"> </w:t>
      </w:r>
      <w:r w:rsidRPr="00FF1E27">
        <w:rPr>
          <w:rFonts w:ascii="Arial" w:hAnsi="Arial" w:cs="Arial"/>
        </w:rPr>
        <w:t>liquidación, distribución, asignación y cobro de la contribución de valorización.</w:t>
      </w:r>
    </w:p>
    <w:p w:rsidR="007D4345" w:rsidRPr="00FF1E27" w:rsidRDefault="007D4345" w:rsidP="00D0183B">
      <w:pPr>
        <w:pStyle w:val="Prrafodelista"/>
        <w:numPr>
          <w:ilvl w:val="0"/>
          <w:numId w:val="4"/>
        </w:numPr>
        <w:autoSpaceDE w:val="0"/>
        <w:autoSpaceDN w:val="0"/>
        <w:adjustRightInd w:val="0"/>
        <w:spacing w:after="0" w:line="240" w:lineRule="auto"/>
        <w:jc w:val="both"/>
        <w:rPr>
          <w:rFonts w:ascii="Arial" w:hAnsi="Arial" w:cs="Arial"/>
        </w:rPr>
      </w:pPr>
      <w:r w:rsidRPr="00FF1E27">
        <w:rPr>
          <w:rFonts w:ascii="Arial" w:hAnsi="Arial" w:cs="Arial"/>
        </w:rPr>
        <w:t>Realizar el seguimiento y control de la estabilidad de las obras.</w:t>
      </w:r>
    </w:p>
    <w:p w:rsidR="007D4345" w:rsidRPr="00FF1E27" w:rsidRDefault="007D4345" w:rsidP="00D0183B">
      <w:pPr>
        <w:pStyle w:val="Prrafodelista"/>
        <w:numPr>
          <w:ilvl w:val="0"/>
          <w:numId w:val="4"/>
        </w:numPr>
        <w:autoSpaceDE w:val="0"/>
        <w:autoSpaceDN w:val="0"/>
        <w:adjustRightInd w:val="0"/>
        <w:spacing w:after="0" w:line="240" w:lineRule="auto"/>
        <w:jc w:val="both"/>
        <w:rPr>
          <w:rFonts w:ascii="Arial" w:hAnsi="Arial" w:cs="Arial"/>
        </w:rPr>
      </w:pPr>
      <w:r w:rsidRPr="00FF1E27">
        <w:rPr>
          <w:rFonts w:ascii="Arial" w:hAnsi="Arial" w:cs="Arial"/>
        </w:rPr>
        <w:t>Realizar la supervisión, seguimiento y recibo de las obras y proyectos de infraestructura vial y</w:t>
      </w:r>
      <w:r w:rsidR="008F4174" w:rsidRPr="00FF1E27">
        <w:rPr>
          <w:rFonts w:ascii="Arial" w:hAnsi="Arial" w:cs="Arial"/>
        </w:rPr>
        <w:t xml:space="preserve"> </w:t>
      </w:r>
      <w:r w:rsidRPr="00FF1E27">
        <w:rPr>
          <w:rFonts w:ascii="Arial" w:hAnsi="Arial" w:cs="Arial"/>
        </w:rPr>
        <w:t>del espacio público realizados en zonas a desarrollar por urbanizadores y/o terceros particulares</w:t>
      </w:r>
      <w:r w:rsidR="008F4174" w:rsidRPr="00FF1E27">
        <w:rPr>
          <w:rFonts w:ascii="Arial" w:hAnsi="Arial" w:cs="Arial"/>
        </w:rPr>
        <w:t xml:space="preserve"> </w:t>
      </w:r>
      <w:r w:rsidRPr="00FF1E27">
        <w:rPr>
          <w:rFonts w:ascii="Arial" w:hAnsi="Arial" w:cs="Arial"/>
        </w:rPr>
        <w:t>o públicos.</w:t>
      </w:r>
    </w:p>
    <w:p w:rsidR="007D4345" w:rsidRPr="00FF1E27" w:rsidRDefault="007D4345" w:rsidP="00D0183B">
      <w:pPr>
        <w:pStyle w:val="Prrafodelista"/>
        <w:numPr>
          <w:ilvl w:val="0"/>
          <w:numId w:val="4"/>
        </w:numPr>
        <w:autoSpaceDE w:val="0"/>
        <w:autoSpaceDN w:val="0"/>
        <w:adjustRightInd w:val="0"/>
        <w:spacing w:after="0" w:line="240" w:lineRule="auto"/>
        <w:jc w:val="both"/>
        <w:rPr>
          <w:rFonts w:ascii="Arial" w:hAnsi="Arial" w:cs="Arial"/>
        </w:rPr>
      </w:pPr>
      <w:r w:rsidRPr="00FF1E27">
        <w:rPr>
          <w:rFonts w:ascii="Arial" w:hAnsi="Arial" w:cs="Arial"/>
        </w:rPr>
        <w:t>Actualizar y administrar el sistema de información de los sistemas de movilidad y de espacio</w:t>
      </w:r>
      <w:r w:rsidR="008F4174" w:rsidRPr="00FF1E27">
        <w:rPr>
          <w:rFonts w:ascii="Arial" w:hAnsi="Arial" w:cs="Arial"/>
        </w:rPr>
        <w:t xml:space="preserve"> </w:t>
      </w:r>
      <w:r w:rsidRPr="00FF1E27">
        <w:rPr>
          <w:rFonts w:ascii="Arial" w:hAnsi="Arial" w:cs="Arial"/>
        </w:rPr>
        <w:t>público construido, definidos en el plan de ordenamiento territorial.</w:t>
      </w:r>
    </w:p>
    <w:p w:rsidR="007D4345" w:rsidRPr="00FF1E27" w:rsidRDefault="007D4345" w:rsidP="00D0183B">
      <w:pPr>
        <w:pStyle w:val="Prrafodelista"/>
        <w:numPr>
          <w:ilvl w:val="0"/>
          <w:numId w:val="4"/>
        </w:numPr>
        <w:autoSpaceDE w:val="0"/>
        <w:autoSpaceDN w:val="0"/>
        <w:adjustRightInd w:val="0"/>
        <w:spacing w:after="0" w:line="240" w:lineRule="auto"/>
        <w:jc w:val="both"/>
        <w:rPr>
          <w:rFonts w:ascii="Arial" w:hAnsi="Arial" w:cs="Arial"/>
        </w:rPr>
      </w:pPr>
      <w:r w:rsidRPr="00FF1E27">
        <w:rPr>
          <w:rFonts w:ascii="Arial" w:hAnsi="Arial" w:cs="Arial"/>
        </w:rPr>
        <w:t>Realizar la investigación constante de nuevas tecnologías, técnicas y normas en materia de</w:t>
      </w:r>
      <w:r w:rsidR="008F4174" w:rsidRPr="00FF1E27">
        <w:rPr>
          <w:rFonts w:ascii="Arial" w:hAnsi="Arial" w:cs="Arial"/>
        </w:rPr>
        <w:t xml:space="preserve"> </w:t>
      </w:r>
      <w:r w:rsidRPr="00FF1E27">
        <w:rPr>
          <w:rFonts w:ascii="Arial" w:hAnsi="Arial" w:cs="Arial"/>
        </w:rPr>
        <w:t>gestión y desarrollo de la infraestructura para los sistemas de movilidad y de espacio público</w:t>
      </w:r>
      <w:r w:rsidR="008F4174" w:rsidRPr="00FF1E27">
        <w:rPr>
          <w:rFonts w:ascii="Arial" w:hAnsi="Arial" w:cs="Arial"/>
        </w:rPr>
        <w:t xml:space="preserve"> </w:t>
      </w:r>
      <w:r w:rsidRPr="00FF1E27">
        <w:rPr>
          <w:rFonts w:ascii="Arial" w:hAnsi="Arial" w:cs="Arial"/>
        </w:rPr>
        <w:t>construido.</w:t>
      </w:r>
    </w:p>
    <w:p w:rsidR="007D4345" w:rsidRPr="00FF1E27" w:rsidRDefault="007D4345" w:rsidP="00D0183B">
      <w:pPr>
        <w:pStyle w:val="Prrafodelista"/>
        <w:numPr>
          <w:ilvl w:val="0"/>
          <w:numId w:val="4"/>
        </w:numPr>
        <w:autoSpaceDE w:val="0"/>
        <w:autoSpaceDN w:val="0"/>
        <w:adjustRightInd w:val="0"/>
        <w:spacing w:after="0" w:line="240" w:lineRule="auto"/>
        <w:jc w:val="both"/>
        <w:rPr>
          <w:rFonts w:ascii="Arial" w:hAnsi="Arial" w:cs="Arial"/>
        </w:rPr>
      </w:pPr>
      <w:r w:rsidRPr="00FF1E27">
        <w:rPr>
          <w:rFonts w:ascii="Arial" w:hAnsi="Arial" w:cs="Arial"/>
        </w:rPr>
        <w:t>Desarrollar e implementar el plan de administración, mantenimiento, dotación, preservación y</w:t>
      </w:r>
      <w:r w:rsidR="008F4174" w:rsidRPr="00FF1E27">
        <w:rPr>
          <w:rFonts w:ascii="Arial" w:hAnsi="Arial" w:cs="Arial"/>
        </w:rPr>
        <w:t xml:space="preserve"> </w:t>
      </w:r>
      <w:r w:rsidRPr="00FF1E27">
        <w:rPr>
          <w:rFonts w:ascii="Arial" w:hAnsi="Arial" w:cs="Arial"/>
        </w:rPr>
        <w:t>aprovechamiento económico del espacio público de los sistemas de movilidad y de espacio</w:t>
      </w:r>
      <w:r w:rsidR="008F4174" w:rsidRPr="00FF1E27">
        <w:rPr>
          <w:rFonts w:ascii="Arial" w:hAnsi="Arial" w:cs="Arial"/>
        </w:rPr>
        <w:t xml:space="preserve"> </w:t>
      </w:r>
      <w:r w:rsidRPr="00FF1E27">
        <w:rPr>
          <w:rFonts w:ascii="Arial" w:hAnsi="Arial" w:cs="Arial"/>
        </w:rPr>
        <w:t>público construido a cargo de la entidad.</w:t>
      </w:r>
    </w:p>
    <w:p w:rsidR="007D4345" w:rsidRPr="00FF1E27" w:rsidRDefault="007D4345" w:rsidP="00D0183B">
      <w:pPr>
        <w:pStyle w:val="Prrafodelista"/>
        <w:numPr>
          <w:ilvl w:val="0"/>
          <w:numId w:val="4"/>
        </w:numPr>
        <w:autoSpaceDE w:val="0"/>
        <w:autoSpaceDN w:val="0"/>
        <w:adjustRightInd w:val="0"/>
        <w:spacing w:after="0" w:line="240" w:lineRule="auto"/>
        <w:jc w:val="both"/>
        <w:rPr>
          <w:rFonts w:ascii="Arial" w:hAnsi="Arial" w:cs="Arial"/>
        </w:rPr>
      </w:pPr>
      <w:r w:rsidRPr="00FF1E27">
        <w:rPr>
          <w:rFonts w:ascii="Arial" w:hAnsi="Arial" w:cs="Arial"/>
        </w:rPr>
        <w:t>Adquirir los predios necesarios para la ejecución de los proyectos de infraestructura de los</w:t>
      </w:r>
      <w:r w:rsidR="008F4174" w:rsidRPr="00FF1E27">
        <w:rPr>
          <w:rFonts w:ascii="Arial" w:hAnsi="Arial" w:cs="Arial"/>
        </w:rPr>
        <w:t xml:space="preserve"> </w:t>
      </w:r>
      <w:r w:rsidRPr="00FF1E27">
        <w:rPr>
          <w:rFonts w:ascii="Arial" w:hAnsi="Arial" w:cs="Arial"/>
        </w:rPr>
        <w:t>sistemas de movilidad y de espacio público construido a cargo de la entidad.</w:t>
      </w:r>
    </w:p>
    <w:p w:rsidR="007D4345" w:rsidRPr="00FF1E27" w:rsidRDefault="007D4345" w:rsidP="00D0183B">
      <w:pPr>
        <w:pStyle w:val="Prrafodelista"/>
        <w:numPr>
          <w:ilvl w:val="0"/>
          <w:numId w:val="4"/>
        </w:numPr>
        <w:autoSpaceDE w:val="0"/>
        <w:autoSpaceDN w:val="0"/>
        <w:adjustRightInd w:val="0"/>
        <w:spacing w:after="0" w:line="240" w:lineRule="auto"/>
        <w:jc w:val="both"/>
        <w:rPr>
          <w:rFonts w:ascii="Arial" w:hAnsi="Arial" w:cs="Arial"/>
        </w:rPr>
      </w:pPr>
      <w:r w:rsidRPr="00FF1E27">
        <w:rPr>
          <w:rFonts w:ascii="Arial" w:hAnsi="Arial" w:cs="Arial"/>
        </w:rPr>
        <w:t>Implementar y ejecutar las estrategias, planes, programas y acciones a cargo de la entidad para</w:t>
      </w:r>
      <w:r w:rsidR="008F4174" w:rsidRPr="00FF1E27">
        <w:rPr>
          <w:rFonts w:ascii="Arial" w:hAnsi="Arial" w:cs="Arial"/>
        </w:rPr>
        <w:t xml:space="preserve"> </w:t>
      </w:r>
      <w:r w:rsidRPr="00FF1E27">
        <w:rPr>
          <w:rFonts w:ascii="Arial" w:hAnsi="Arial" w:cs="Arial"/>
        </w:rPr>
        <w:t>el debido cumplimiento de las obligaciones en materia de atención y prevención de emergencias,</w:t>
      </w:r>
      <w:r w:rsidR="008F4174" w:rsidRPr="00FF1E27">
        <w:rPr>
          <w:rFonts w:ascii="Arial" w:hAnsi="Arial" w:cs="Arial"/>
        </w:rPr>
        <w:t xml:space="preserve"> </w:t>
      </w:r>
      <w:r w:rsidRPr="00FF1E27">
        <w:rPr>
          <w:rFonts w:ascii="Arial" w:hAnsi="Arial" w:cs="Arial"/>
        </w:rPr>
        <w:t>de conformidad con el plan distrital respectivo.</w:t>
      </w:r>
    </w:p>
    <w:p w:rsidR="007D4345" w:rsidRPr="00FF1E27" w:rsidRDefault="007D4345" w:rsidP="00D0183B">
      <w:pPr>
        <w:pStyle w:val="Prrafodelista"/>
        <w:numPr>
          <w:ilvl w:val="0"/>
          <w:numId w:val="4"/>
        </w:numPr>
        <w:autoSpaceDE w:val="0"/>
        <w:autoSpaceDN w:val="0"/>
        <w:adjustRightInd w:val="0"/>
        <w:spacing w:after="0" w:line="240" w:lineRule="auto"/>
        <w:jc w:val="both"/>
        <w:rPr>
          <w:rFonts w:ascii="Arial" w:hAnsi="Arial" w:cs="Arial"/>
        </w:rPr>
      </w:pPr>
      <w:r w:rsidRPr="00FF1E27">
        <w:rPr>
          <w:rFonts w:ascii="Arial" w:hAnsi="Arial" w:cs="Arial"/>
        </w:rPr>
        <w:t>Aprobar y expedir licencias de excavación, en los términos contemplados en el plan de</w:t>
      </w:r>
      <w:r w:rsidR="008F4174" w:rsidRPr="00FF1E27">
        <w:rPr>
          <w:rFonts w:ascii="Arial" w:hAnsi="Arial" w:cs="Arial"/>
        </w:rPr>
        <w:t xml:space="preserve"> </w:t>
      </w:r>
      <w:r w:rsidRPr="00FF1E27">
        <w:rPr>
          <w:rFonts w:ascii="Arial" w:hAnsi="Arial" w:cs="Arial"/>
        </w:rPr>
        <w:t>ordenamiento territorial.</w:t>
      </w:r>
    </w:p>
    <w:p w:rsidR="007D4345" w:rsidRPr="00FF1E27" w:rsidRDefault="007D4345" w:rsidP="00D0183B">
      <w:pPr>
        <w:pStyle w:val="Prrafodelista"/>
        <w:numPr>
          <w:ilvl w:val="0"/>
          <w:numId w:val="4"/>
        </w:numPr>
        <w:autoSpaceDE w:val="0"/>
        <w:autoSpaceDN w:val="0"/>
        <w:adjustRightInd w:val="0"/>
        <w:spacing w:after="0" w:line="240" w:lineRule="auto"/>
        <w:jc w:val="both"/>
        <w:rPr>
          <w:rFonts w:ascii="Arial" w:hAnsi="Arial" w:cs="Arial"/>
        </w:rPr>
      </w:pPr>
      <w:r w:rsidRPr="00FF1E27">
        <w:rPr>
          <w:rFonts w:ascii="Arial" w:hAnsi="Arial" w:cs="Arial"/>
        </w:rPr>
        <w:t>Otorgar los permisos de uso temporal del espacio público a cargo de la entidad, en los términos</w:t>
      </w:r>
      <w:r w:rsidR="008F4174" w:rsidRPr="00FF1E27">
        <w:rPr>
          <w:rFonts w:ascii="Arial" w:hAnsi="Arial" w:cs="Arial"/>
        </w:rPr>
        <w:t xml:space="preserve"> </w:t>
      </w:r>
      <w:r w:rsidRPr="00FF1E27">
        <w:rPr>
          <w:rFonts w:ascii="Arial" w:hAnsi="Arial" w:cs="Arial"/>
        </w:rPr>
        <w:t>contemplados en el pl</w:t>
      </w:r>
      <w:r w:rsidR="008F4174" w:rsidRPr="00FF1E27">
        <w:rPr>
          <w:rFonts w:ascii="Arial" w:hAnsi="Arial" w:cs="Arial"/>
        </w:rPr>
        <w:t>an de ordenamiento territorial.</w:t>
      </w:r>
    </w:p>
    <w:p w:rsidR="007D4345" w:rsidRPr="00245C51" w:rsidRDefault="007D4345" w:rsidP="00D0183B">
      <w:pPr>
        <w:pStyle w:val="Prrafodelista"/>
        <w:numPr>
          <w:ilvl w:val="0"/>
          <w:numId w:val="4"/>
        </w:numPr>
        <w:autoSpaceDE w:val="0"/>
        <w:autoSpaceDN w:val="0"/>
        <w:adjustRightInd w:val="0"/>
        <w:spacing w:after="0" w:line="240" w:lineRule="auto"/>
        <w:jc w:val="both"/>
        <w:rPr>
          <w:rFonts w:ascii="Arial" w:hAnsi="Arial" w:cs="Arial"/>
        </w:rPr>
      </w:pPr>
      <w:r w:rsidRPr="00FF1E27">
        <w:rPr>
          <w:rFonts w:ascii="Arial" w:hAnsi="Arial" w:cs="Arial"/>
        </w:rPr>
        <w:lastRenderedPageBreak/>
        <w:t>Autorizar el uso temporal de los antejardines ubicados sobre ejes comerciales, previa</w:t>
      </w:r>
      <w:r w:rsidR="00245C51">
        <w:rPr>
          <w:rFonts w:ascii="Arial" w:hAnsi="Arial" w:cs="Arial"/>
        </w:rPr>
        <w:t xml:space="preserve"> </w:t>
      </w:r>
      <w:r w:rsidRPr="00245C51">
        <w:rPr>
          <w:rFonts w:ascii="Arial" w:hAnsi="Arial" w:cs="Arial"/>
        </w:rPr>
        <w:t>certificación de la culminación de las obras correspondientes a los proyectos integrales de</w:t>
      </w:r>
      <w:r w:rsidR="00245C51">
        <w:rPr>
          <w:rFonts w:ascii="Arial" w:hAnsi="Arial" w:cs="Arial"/>
        </w:rPr>
        <w:t xml:space="preserve"> </w:t>
      </w:r>
      <w:r w:rsidRPr="00245C51">
        <w:rPr>
          <w:rFonts w:ascii="Arial" w:hAnsi="Arial" w:cs="Arial"/>
        </w:rPr>
        <w:t>espacio público, presentados por los interesados en ejercer actividades comerciales.</w:t>
      </w:r>
    </w:p>
    <w:p w:rsidR="0053582F" w:rsidRDefault="007D4345" w:rsidP="00D0183B">
      <w:pPr>
        <w:pStyle w:val="Prrafodelista"/>
        <w:numPr>
          <w:ilvl w:val="0"/>
          <w:numId w:val="4"/>
        </w:numPr>
        <w:jc w:val="both"/>
        <w:rPr>
          <w:rFonts w:ascii="Arial" w:hAnsi="Arial" w:cs="Arial"/>
        </w:rPr>
      </w:pPr>
      <w:r w:rsidRPr="00FF1E27">
        <w:rPr>
          <w:rFonts w:ascii="Arial" w:hAnsi="Arial" w:cs="Arial"/>
        </w:rPr>
        <w:t>Las demás que establezca las normas especiales.</w:t>
      </w:r>
    </w:p>
    <w:p w:rsidR="00520108" w:rsidRPr="00520108" w:rsidRDefault="00520108" w:rsidP="00520108">
      <w:pPr>
        <w:jc w:val="both"/>
        <w:rPr>
          <w:rFonts w:ascii="Arial" w:hAnsi="Arial" w:cs="Arial"/>
        </w:rPr>
      </w:pPr>
    </w:p>
    <w:p w:rsidR="00A47F75" w:rsidRPr="001F2135" w:rsidRDefault="001F2135" w:rsidP="001F2135">
      <w:pPr>
        <w:pStyle w:val="Ttulo2"/>
        <w:numPr>
          <w:ilvl w:val="0"/>
          <w:numId w:val="0"/>
        </w:numPr>
        <w:ind w:left="1146"/>
        <w:jc w:val="both"/>
        <w:rPr>
          <w:sz w:val="24"/>
          <w:szCs w:val="24"/>
        </w:rPr>
      </w:pPr>
      <w:bookmarkStart w:id="4" w:name="_Toc30774596"/>
      <w:r>
        <w:rPr>
          <w:sz w:val="24"/>
          <w:szCs w:val="24"/>
        </w:rPr>
        <w:t xml:space="preserve">1.2. </w:t>
      </w:r>
      <w:r w:rsidR="00E13CED" w:rsidRPr="001F2135">
        <w:rPr>
          <w:sz w:val="24"/>
          <w:szCs w:val="24"/>
        </w:rPr>
        <w:t>ORGANIGRAMA DE LA ENTIDAD</w:t>
      </w:r>
      <w:bookmarkEnd w:id="4"/>
    </w:p>
    <w:p w:rsidR="00E13CED" w:rsidRDefault="00E13CED" w:rsidP="00E13CED">
      <w:pPr>
        <w:pStyle w:val="Prrafodelista"/>
        <w:ind w:left="360"/>
        <w:jc w:val="both"/>
        <w:rPr>
          <w:rFonts w:ascii="Arial" w:hAnsi="Arial" w:cs="Arial"/>
          <w:b/>
          <w:lang w:val="es-ES"/>
        </w:rPr>
      </w:pPr>
    </w:p>
    <w:p w:rsidR="00871F8F" w:rsidRDefault="00871F8F" w:rsidP="00E13CED">
      <w:pPr>
        <w:pStyle w:val="Prrafodelista"/>
        <w:ind w:left="360"/>
        <w:jc w:val="both"/>
        <w:rPr>
          <w:rFonts w:ascii="Arial" w:hAnsi="Arial" w:cs="Arial"/>
          <w:b/>
          <w:lang w:val="es-ES"/>
        </w:rPr>
      </w:pPr>
      <w:r w:rsidRPr="00871F8F">
        <w:rPr>
          <w:noProof/>
          <w:lang w:eastAsia="es-CO"/>
        </w:rPr>
        <w:drawing>
          <wp:inline distT="0" distB="0" distL="0" distR="0" wp14:anchorId="76B8451D" wp14:editId="1640507D">
            <wp:extent cx="5612130" cy="4325780"/>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2130" cy="4325780"/>
                    </a:xfrm>
                    <a:prstGeom prst="rect">
                      <a:avLst/>
                    </a:prstGeom>
                    <a:noFill/>
                    <a:ln>
                      <a:noFill/>
                    </a:ln>
                  </pic:spPr>
                </pic:pic>
              </a:graphicData>
            </a:graphic>
          </wp:inline>
        </w:drawing>
      </w:r>
    </w:p>
    <w:p w:rsidR="00871F8F" w:rsidRDefault="00871F8F" w:rsidP="00E13CED">
      <w:pPr>
        <w:pStyle w:val="Prrafodelista"/>
        <w:ind w:left="360"/>
        <w:jc w:val="both"/>
        <w:rPr>
          <w:rFonts w:ascii="Arial" w:hAnsi="Arial" w:cs="Arial"/>
          <w:b/>
          <w:lang w:val="es-ES"/>
        </w:rPr>
      </w:pPr>
    </w:p>
    <w:p w:rsidR="00871F8F" w:rsidRDefault="00871F8F" w:rsidP="00E13CED">
      <w:pPr>
        <w:pStyle w:val="Prrafodelista"/>
        <w:ind w:left="360"/>
        <w:jc w:val="both"/>
        <w:rPr>
          <w:rFonts w:ascii="Arial" w:hAnsi="Arial" w:cs="Arial"/>
          <w:b/>
          <w:lang w:val="es-ES"/>
        </w:rPr>
      </w:pPr>
    </w:p>
    <w:p w:rsidR="00E13CED" w:rsidRPr="001F2135" w:rsidRDefault="001F2135" w:rsidP="001F2135">
      <w:pPr>
        <w:pStyle w:val="Ttulo2"/>
        <w:numPr>
          <w:ilvl w:val="0"/>
          <w:numId w:val="0"/>
        </w:numPr>
        <w:ind w:left="1146"/>
        <w:jc w:val="both"/>
        <w:rPr>
          <w:sz w:val="24"/>
          <w:szCs w:val="24"/>
        </w:rPr>
      </w:pPr>
      <w:bookmarkStart w:id="5" w:name="_Toc30774597"/>
      <w:r>
        <w:rPr>
          <w:sz w:val="24"/>
          <w:szCs w:val="24"/>
        </w:rPr>
        <w:t xml:space="preserve">1.3. </w:t>
      </w:r>
      <w:r w:rsidR="00E13CED" w:rsidRPr="001F2135">
        <w:rPr>
          <w:sz w:val="24"/>
          <w:szCs w:val="24"/>
        </w:rPr>
        <w:t>MODELO DE OPERACIÓN DEL IDU</w:t>
      </w:r>
      <w:bookmarkEnd w:id="5"/>
    </w:p>
    <w:p w:rsidR="00E13CED" w:rsidRPr="002934A7" w:rsidRDefault="00E13CED" w:rsidP="00E13CED">
      <w:pPr>
        <w:pStyle w:val="Prrafodelista"/>
        <w:autoSpaceDE w:val="0"/>
        <w:autoSpaceDN w:val="0"/>
        <w:adjustRightInd w:val="0"/>
        <w:spacing w:after="0" w:line="240" w:lineRule="auto"/>
        <w:ind w:left="360"/>
        <w:rPr>
          <w:rFonts w:ascii="Arial" w:hAnsi="Arial" w:cs="Arial"/>
          <w:b/>
          <w:bCs/>
        </w:rPr>
      </w:pPr>
    </w:p>
    <w:p w:rsidR="00E13CED" w:rsidRPr="002934A7" w:rsidRDefault="00E13CED" w:rsidP="00A8609C">
      <w:pPr>
        <w:autoSpaceDE w:val="0"/>
        <w:autoSpaceDN w:val="0"/>
        <w:adjustRightInd w:val="0"/>
        <w:spacing w:after="0" w:line="240" w:lineRule="auto"/>
        <w:jc w:val="both"/>
        <w:rPr>
          <w:rFonts w:ascii="Arial" w:hAnsi="Arial" w:cs="Arial"/>
        </w:rPr>
      </w:pPr>
      <w:r w:rsidRPr="002934A7">
        <w:rPr>
          <w:rFonts w:ascii="Arial" w:hAnsi="Arial" w:cs="Arial"/>
        </w:rPr>
        <w:t>Con el propósito de asegurar el logro de los propósitos institucionales y facilitar el desarrollo del ciclo de vida de los proyectos misionales, el IDU articuló sus 22 procesos en 4 tipologías, conocidas gráficamente como Mapa de Procesos. En 2015, el modelo de operación fue actualizado por medio de la Resolución 64994 “Por medio de la cual se actualiza el modelo de operación por procesos y el Sistema Integrado de gestión del IDU” (ver Mapa de procesos 2016). El mapa de procesos vigente para el IDU se presenta a continuación:</w:t>
      </w:r>
    </w:p>
    <w:p w:rsidR="008266C0" w:rsidRPr="002934A7" w:rsidRDefault="008266C0" w:rsidP="00A8609C">
      <w:pPr>
        <w:autoSpaceDE w:val="0"/>
        <w:autoSpaceDN w:val="0"/>
        <w:adjustRightInd w:val="0"/>
        <w:spacing w:after="0" w:line="240" w:lineRule="auto"/>
        <w:jc w:val="both"/>
        <w:rPr>
          <w:rFonts w:ascii="Arial" w:hAnsi="Arial" w:cs="Arial"/>
        </w:rPr>
      </w:pPr>
    </w:p>
    <w:p w:rsidR="008266C0" w:rsidRPr="002934A7" w:rsidRDefault="008266C0" w:rsidP="00A8609C">
      <w:pPr>
        <w:autoSpaceDE w:val="0"/>
        <w:autoSpaceDN w:val="0"/>
        <w:adjustRightInd w:val="0"/>
        <w:spacing w:after="0" w:line="240" w:lineRule="auto"/>
        <w:jc w:val="both"/>
        <w:rPr>
          <w:rFonts w:ascii="Arial" w:hAnsi="Arial" w:cs="Arial"/>
          <w:b/>
          <w:lang w:val="es-ES"/>
        </w:rPr>
      </w:pPr>
      <w:r w:rsidRPr="002934A7">
        <w:rPr>
          <w:rFonts w:ascii="Arial" w:hAnsi="Arial" w:cs="Arial"/>
          <w:b/>
          <w:noProof/>
          <w:lang w:eastAsia="es-CO"/>
        </w:rPr>
        <w:lastRenderedPageBreak/>
        <w:drawing>
          <wp:inline distT="0" distB="0" distL="0" distR="0" wp14:anchorId="3C5C9511" wp14:editId="46CF75DB">
            <wp:extent cx="5207635" cy="282638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07635" cy="2826385"/>
                    </a:xfrm>
                    <a:prstGeom prst="rect">
                      <a:avLst/>
                    </a:prstGeom>
                    <a:noFill/>
                    <a:ln>
                      <a:noFill/>
                    </a:ln>
                  </pic:spPr>
                </pic:pic>
              </a:graphicData>
            </a:graphic>
          </wp:inline>
        </w:drawing>
      </w:r>
    </w:p>
    <w:p w:rsidR="0053582F" w:rsidRPr="002934A7" w:rsidRDefault="008266C0" w:rsidP="008266C0">
      <w:pPr>
        <w:jc w:val="center"/>
        <w:rPr>
          <w:rFonts w:ascii="Arial" w:hAnsi="Arial" w:cs="Arial"/>
          <w:sz w:val="18"/>
          <w:szCs w:val="18"/>
        </w:rPr>
      </w:pPr>
      <w:r w:rsidRPr="002934A7">
        <w:rPr>
          <w:rFonts w:ascii="Arial" w:hAnsi="Arial" w:cs="Arial"/>
          <w:sz w:val="18"/>
          <w:szCs w:val="18"/>
        </w:rPr>
        <w:t>Fuente: OAP-Mapa de procesos 2016 - Resolución 64944 de 2015.</w:t>
      </w:r>
    </w:p>
    <w:p w:rsidR="008266C0" w:rsidRPr="002934A7" w:rsidRDefault="008266C0" w:rsidP="008266C0">
      <w:pPr>
        <w:jc w:val="center"/>
        <w:rPr>
          <w:rFonts w:ascii="Arial" w:hAnsi="Arial" w:cs="Arial"/>
          <w:sz w:val="18"/>
          <w:szCs w:val="18"/>
        </w:rPr>
      </w:pPr>
    </w:p>
    <w:p w:rsidR="00D32760" w:rsidRPr="002934A7" w:rsidRDefault="00D32760" w:rsidP="00D32760">
      <w:pPr>
        <w:autoSpaceDE w:val="0"/>
        <w:autoSpaceDN w:val="0"/>
        <w:adjustRightInd w:val="0"/>
        <w:spacing w:after="0" w:line="240" w:lineRule="auto"/>
        <w:jc w:val="both"/>
        <w:rPr>
          <w:rFonts w:ascii="Arial" w:hAnsi="Arial" w:cs="Arial"/>
        </w:rPr>
      </w:pPr>
      <w:r w:rsidRPr="002934A7">
        <w:rPr>
          <w:rFonts w:ascii="Arial" w:hAnsi="Arial" w:cs="Arial"/>
        </w:rPr>
        <w:t xml:space="preserve">La Plataforma Estratégica (PG) es una herramienta participativa de alineación, planeación, seguimiento y comunicación del Sistema Integrado. A través de su construcción son especificadas las necesidades, retos y roles de la Entidad sobre las necesidades de ciudad. La visión, misión, objetivos, principios de la planeación estratégica institucional fue aprobada por el Comité Directivo del 28 de </w:t>
      </w:r>
      <w:r w:rsidR="0051573F">
        <w:rPr>
          <w:rFonts w:ascii="Arial" w:hAnsi="Arial" w:cs="Arial"/>
        </w:rPr>
        <w:t>Diciembre</w:t>
      </w:r>
      <w:r w:rsidRPr="002934A7">
        <w:rPr>
          <w:rFonts w:ascii="Arial" w:hAnsi="Arial" w:cs="Arial"/>
        </w:rPr>
        <w:t xml:space="preserve"> del 2016, como se muestra a continuación:</w:t>
      </w:r>
    </w:p>
    <w:p w:rsidR="00912C1D" w:rsidRPr="002934A7" w:rsidRDefault="00912C1D" w:rsidP="00D32760">
      <w:pPr>
        <w:autoSpaceDE w:val="0"/>
        <w:autoSpaceDN w:val="0"/>
        <w:adjustRightInd w:val="0"/>
        <w:spacing w:after="0" w:line="240" w:lineRule="auto"/>
        <w:jc w:val="both"/>
        <w:rPr>
          <w:rFonts w:ascii="Arial" w:hAnsi="Arial" w:cs="Arial"/>
        </w:rPr>
      </w:pPr>
    </w:p>
    <w:p w:rsidR="00D32760" w:rsidRPr="002934A7" w:rsidRDefault="00D32760" w:rsidP="00D0183B">
      <w:pPr>
        <w:pStyle w:val="Prrafodelista"/>
        <w:numPr>
          <w:ilvl w:val="0"/>
          <w:numId w:val="1"/>
        </w:numPr>
        <w:autoSpaceDE w:val="0"/>
        <w:autoSpaceDN w:val="0"/>
        <w:adjustRightInd w:val="0"/>
        <w:spacing w:after="0" w:line="240" w:lineRule="auto"/>
        <w:rPr>
          <w:rFonts w:ascii="Arial" w:hAnsi="Arial" w:cs="Arial"/>
          <w:b/>
          <w:bCs/>
        </w:rPr>
      </w:pPr>
      <w:r w:rsidRPr="002934A7">
        <w:rPr>
          <w:rFonts w:ascii="Arial" w:hAnsi="Arial" w:cs="Arial"/>
          <w:b/>
          <w:bCs/>
        </w:rPr>
        <w:t>Propósito Central (Misión)</w:t>
      </w:r>
    </w:p>
    <w:p w:rsidR="00912C1D" w:rsidRPr="002934A7" w:rsidRDefault="00912C1D" w:rsidP="00D32760">
      <w:pPr>
        <w:autoSpaceDE w:val="0"/>
        <w:autoSpaceDN w:val="0"/>
        <w:adjustRightInd w:val="0"/>
        <w:spacing w:after="0" w:line="240" w:lineRule="auto"/>
        <w:rPr>
          <w:rFonts w:ascii="Arial" w:hAnsi="Arial" w:cs="Arial"/>
          <w:b/>
          <w:bCs/>
        </w:rPr>
      </w:pPr>
    </w:p>
    <w:p w:rsidR="00D32760" w:rsidRPr="002934A7" w:rsidRDefault="00D32760" w:rsidP="00D32760">
      <w:pPr>
        <w:autoSpaceDE w:val="0"/>
        <w:autoSpaceDN w:val="0"/>
        <w:adjustRightInd w:val="0"/>
        <w:spacing w:after="0" w:line="240" w:lineRule="auto"/>
        <w:rPr>
          <w:rFonts w:ascii="Arial" w:hAnsi="Arial" w:cs="Arial"/>
        </w:rPr>
      </w:pPr>
      <w:r w:rsidRPr="002934A7">
        <w:rPr>
          <w:rFonts w:ascii="Arial" w:hAnsi="Arial" w:cs="Arial"/>
        </w:rPr>
        <w:t>Generar bienestar en los habitantes de la ciudad mejorando la calidad de vida, mediante el desarrollo</w:t>
      </w:r>
      <w:r w:rsidR="00912C1D" w:rsidRPr="002934A7">
        <w:rPr>
          <w:rFonts w:ascii="Arial" w:hAnsi="Arial" w:cs="Arial"/>
        </w:rPr>
        <w:t xml:space="preserve"> </w:t>
      </w:r>
      <w:r w:rsidRPr="002934A7">
        <w:rPr>
          <w:rFonts w:ascii="Arial" w:hAnsi="Arial" w:cs="Arial"/>
        </w:rPr>
        <w:t>de infraestructura para la movilidad, contribuyendo a la construcción de una ciudad incluyente,</w:t>
      </w:r>
      <w:r w:rsidR="00912C1D" w:rsidRPr="002934A7">
        <w:rPr>
          <w:rFonts w:ascii="Arial" w:hAnsi="Arial" w:cs="Arial"/>
        </w:rPr>
        <w:t xml:space="preserve"> </w:t>
      </w:r>
      <w:r w:rsidRPr="002934A7">
        <w:rPr>
          <w:rFonts w:ascii="Arial" w:hAnsi="Arial" w:cs="Arial"/>
        </w:rPr>
        <w:t>sostenible y moderna.</w:t>
      </w:r>
    </w:p>
    <w:p w:rsidR="00912C1D" w:rsidRPr="002934A7" w:rsidRDefault="00912C1D" w:rsidP="00D32760">
      <w:pPr>
        <w:autoSpaceDE w:val="0"/>
        <w:autoSpaceDN w:val="0"/>
        <w:adjustRightInd w:val="0"/>
        <w:spacing w:after="0" w:line="240" w:lineRule="auto"/>
        <w:rPr>
          <w:rFonts w:ascii="Arial" w:hAnsi="Arial" w:cs="Arial"/>
        </w:rPr>
      </w:pPr>
    </w:p>
    <w:p w:rsidR="00D32760" w:rsidRPr="002934A7" w:rsidRDefault="00D32760" w:rsidP="00D0183B">
      <w:pPr>
        <w:pStyle w:val="Prrafodelista"/>
        <w:numPr>
          <w:ilvl w:val="0"/>
          <w:numId w:val="1"/>
        </w:numPr>
        <w:autoSpaceDE w:val="0"/>
        <w:autoSpaceDN w:val="0"/>
        <w:adjustRightInd w:val="0"/>
        <w:spacing w:after="0" w:line="240" w:lineRule="auto"/>
        <w:rPr>
          <w:rFonts w:ascii="Arial" w:hAnsi="Arial" w:cs="Arial"/>
          <w:b/>
          <w:bCs/>
        </w:rPr>
      </w:pPr>
      <w:r w:rsidRPr="002934A7">
        <w:rPr>
          <w:rFonts w:ascii="Arial" w:hAnsi="Arial" w:cs="Arial"/>
          <w:b/>
          <w:bCs/>
        </w:rPr>
        <w:t>Visión:</w:t>
      </w:r>
    </w:p>
    <w:p w:rsidR="00D32760" w:rsidRPr="002934A7" w:rsidRDefault="00D32760" w:rsidP="00D0183B">
      <w:pPr>
        <w:pStyle w:val="Prrafodelista"/>
        <w:numPr>
          <w:ilvl w:val="0"/>
          <w:numId w:val="1"/>
        </w:numPr>
        <w:autoSpaceDE w:val="0"/>
        <w:autoSpaceDN w:val="0"/>
        <w:adjustRightInd w:val="0"/>
        <w:spacing w:after="0" w:line="240" w:lineRule="auto"/>
        <w:rPr>
          <w:rFonts w:ascii="Arial" w:hAnsi="Arial" w:cs="Arial"/>
          <w:b/>
          <w:bCs/>
        </w:rPr>
      </w:pPr>
      <w:r w:rsidRPr="002934A7">
        <w:rPr>
          <w:rFonts w:ascii="Arial" w:hAnsi="Arial" w:cs="Arial"/>
          <w:b/>
          <w:bCs/>
        </w:rPr>
        <w:t>Objetivo retador</w:t>
      </w:r>
    </w:p>
    <w:p w:rsidR="00912C1D" w:rsidRPr="002934A7" w:rsidRDefault="00912C1D" w:rsidP="00912C1D">
      <w:pPr>
        <w:pStyle w:val="Prrafodelista"/>
        <w:autoSpaceDE w:val="0"/>
        <w:autoSpaceDN w:val="0"/>
        <w:adjustRightInd w:val="0"/>
        <w:spacing w:after="0" w:line="240" w:lineRule="auto"/>
        <w:rPr>
          <w:rFonts w:ascii="Arial" w:hAnsi="Arial" w:cs="Arial"/>
          <w:b/>
          <w:bCs/>
        </w:rPr>
      </w:pPr>
    </w:p>
    <w:p w:rsidR="00D32760" w:rsidRPr="002934A7" w:rsidRDefault="00D32760" w:rsidP="00912C1D">
      <w:pPr>
        <w:autoSpaceDE w:val="0"/>
        <w:autoSpaceDN w:val="0"/>
        <w:adjustRightInd w:val="0"/>
        <w:spacing w:after="0" w:line="240" w:lineRule="auto"/>
        <w:jc w:val="both"/>
        <w:rPr>
          <w:rFonts w:ascii="Arial" w:hAnsi="Arial" w:cs="Arial"/>
        </w:rPr>
      </w:pPr>
      <w:r w:rsidRPr="002934A7">
        <w:rPr>
          <w:rFonts w:ascii="Arial" w:hAnsi="Arial" w:cs="Arial"/>
        </w:rPr>
        <w:t>En el 2027 el IDU será la Entidad líder en Colombia en la planeación y desarrollo de infraestructura</w:t>
      </w:r>
      <w:r w:rsidR="00912C1D" w:rsidRPr="002934A7">
        <w:rPr>
          <w:rFonts w:ascii="Arial" w:hAnsi="Arial" w:cs="Arial"/>
        </w:rPr>
        <w:t xml:space="preserve"> </w:t>
      </w:r>
      <w:r w:rsidRPr="002934A7">
        <w:rPr>
          <w:rFonts w:ascii="Arial" w:hAnsi="Arial" w:cs="Arial"/>
        </w:rPr>
        <w:t>urbana, con credibilidad y reconocimiento en América Latina por su gestión para el desarrollo urbano</w:t>
      </w:r>
      <w:r w:rsidR="00912C1D" w:rsidRPr="002934A7">
        <w:rPr>
          <w:rFonts w:ascii="Arial" w:hAnsi="Arial" w:cs="Arial"/>
        </w:rPr>
        <w:t xml:space="preserve"> </w:t>
      </w:r>
      <w:r w:rsidRPr="002934A7">
        <w:rPr>
          <w:rFonts w:ascii="Arial" w:hAnsi="Arial" w:cs="Arial"/>
        </w:rPr>
        <w:t>de Bogotá D.C.</w:t>
      </w:r>
    </w:p>
    <w:p w:rsidR="00912C1D" w:rsidRDefault="00912C1D" w:rsidP="00912C1D">
      <w:pPr>
        <w:autoSpaceDE w:val="0"/>
        <w:autoSpaceDN w:val="0"/>
        <w:adjustRightInd w:val="0"/>
        <w:spacing w:after="0" w:line="240" w:lineRule="auto"/>
        <w:jc w:val="both"/>
        <w:rPr>
          <w:rFonts w:ascii="Arial" w:hAnsi="Arial" w:cs="Arial"/>
        </w:rPr>
      </w:pPr>
    </w:p>
    <w:p w:rsidR="00AE707F" w:rsidRDefault="00AE707F" w:rsidP="00912C1D">
      <w:pPr>
        <w:autoSpaceDE w:val="0"/>
        <w:autoSpaceDN w:val="0"/>
        <w:adjustRightInd w:val="0"/>
        <w:spacing w:after="0" w:line="240" w:lineRule="auto"/>
        <w:jc w:val="both"/>
        <w:rPr>
          <w:rFonts w:ascii="Arial" w:hAnsi="Arial" w:cs="Arial"/>
        </w:rPr>
      </w:pPr>
    </w:p>
    <w:p w:rsidR="00AE707F" w:rsidRDefault="00AE707F" w:rsidP="00912C1D">
      <w:pPr>
        <w:autoSpaceDE w:val="0"/>
        <w:autoSpaceDN w:val="0"/>
        <w:adjustRightInd w:val="0"/>
        <w:spacing w:after="0" w:line="240" w:lineRule="auto"/>
        <w:jc w:val="both"/>
        <w:rPr>
          <w:rFonts w:ascii="Arial" w:hAnsi="Arial" w:cs="Arial"/>
        </w:rPr>
      </w:pPr>
    </w:p>
    <w:p w:rsidR="00AE707F" w:rsidRDefault="00AE707F" w:rsidP="00912C1D">
      <w:pPr>
        <w:autoSpaceDE w:val="0"/>
        <w:autoSpaceDN w:val="0"/>
        <w:adjustRightInd w:val="0"/>
        <w:spacing w:after="0" w:line="240" w:lineRule="auto"/>
        <w:jc w:val="both"/>
        <w:rPr>
          <w:rFonts w:ascii="Arial" w:hAnsi="Arial" w:cs="Arial"/>
        </w:rPr>
      </w:pPr>
    </w:p>
    <w:p w:rsidR="00AE707F" w:rsidRDefault="00AE707F" w:rsidP="00912C1D">
      <w:pPr>
        <w:autoSpaceDE w:val="0"/>
        <w:autoSpaceDN w:val="0"/>
        <w:adjustRightInd w:val="0"/>
        <w:spacing w:after="0" w:line="240" w:lineRule="auto"/>
        <w:jc w:val="both"/>
        <w:rPr>
          <w:rFonts w:ascii="Arial" w:hAnsi="Arial" w:cs="Arial"/>
        </w:rPr>
      </w:pPr>
    </w:p>
    <w:p w:rsidR="00AE707F" w:rsidRPr="002934A7" w:rsidRDefault="00AE707F" w:rsidP="00912C1D">
      <w:pPr>
        <w:autoSpaceDE w:val="0"/>
        <w:autoSpaceDN w:val="0"/>
        <w:adjustRightInd w:val="0"/>
        <w:spacing w:after="0" w:line="240" w:lineRule="auto"/>
        <w:jc w:val="both"/>
        <w:rPr>
          <w:rFonts w:ascii="Arial" w:hAnsi="Arial" w:cs="Arial"/>
        </w:rPr>
      </w:pPr>
    </w:p>
    <w:p w:rsidR="00D32760" w:rsidRPr="002934A7" w:rsidRDefault="00D32760" w:rsidP="00D0183B">
      <w:pPr>
        <w:pStyle w:val="Prrafodelista"/>
        <w:numPr>
          <w:ilvl w:val="0"/>
          <w:numId w:val="2"/>
        </w:numPr>
        <w:autoSpaceDE w:val="0"/>
        <w:autoSpaceDN w:val="0"/>
        <w:adjustRightInd w:val="0"/>
        <w:spacing w:after="0" w:line="240" w:lineRule="auto"/>
        <w:rPr>
          <w:rFonts w:ascii="Arial" w:hAnsi="Arial" w:cs="Arial"/>
          <w:b/>
          <w:bCs/>
        </w:rPr>
      </w:pPr>
      <w:r w:rsidRPr="002934A7">
        <w:rPr>
          <w:rFonts w:ascii="Arial" w:hAnsi="Arial" w:cs="Arial"/>
          <w:b/>
          <w:bCs/>
        </w:rPr>
        <w:t>Valores</w:t>
      </w:r>
    </w:p>
    <w:p w:rsidR="005E6F45" w:rsidRPr="002934A7" w:rsidRDefault="005E6F45" w:rsidP="005E6F45">
      <w:pPr>
        <w:autoSpaceDE w:val="0"/>
        <w:autoSpaceDN w:val="0"/>
        <w:adjustRightInd w:val="0"/>
        <w:spacing w:after="0" w:line="240" w:lineRule="auto"/>
        <w:rPr>
          <w:rFonts w:ascii="Arial" w:hAnsi="Arial" w:cs="Arial"/>
          <w:b/>
          <w:bCs/>
        </w:rPr>
      </w:pPr>
    </w:p>
    <w:p w:rsidR="005E6F45" w:rsidRPr="002934A7" w:rsidRDefault="005E6F45" w:rsidP="005E6F45">
      <w:pPr>
        <w:autoSpaceDE w:val="0"/>
        <w:autoSpaceDN w:val="0"/>
        <w:adjustRightInd w:val="0"/>
        <w:spacing w:after="0" w:line="240" w:lineRule="auto"/>
        <w:rPr>
          <w:rFonts w:ascii="Arial" w:hAnsi="Arial" w:cs="Arial"/>
          <w:b/>
          <w:bCs/>
        </w:rPr>
      </w:pPr>
    </w:p>
    <w:p w:rsidR="005E6F45" w:rsidRPr="002934A7" w:rsidRDefault="005E6F45" w:rsidP="005E6F45">
      <w:pPr>
        <w:autoSpaceDE w:val="0"/>
        <w:autoSpaceDN w:val="0"/>
        <w:adjustRightInd w:val="0"/>
        <w:spacing w:after="0" w:line="240" w:lineRule="auto"/>
        <w:rPr>
          <w:rFonts w:ascii="Arial" w:hAnsi="Arial" w:cs="Arial"/>
          <w:b/>
          <w:bCs/>
        </w:rPr>
      </w:pPr>
      <w:r w:rsidRPr="002934A7">
        <w:rPr>
          <w:rFonts w:ascii="Arial" w:hAnsi="Arial" w:cs="Arial"/>
          <w:b/>
          <w:bCs/>
          <w:noProof/>
          <w:lang w:eastAsia="es-CO"/>
        </w:rPr>
        <w:lastRenderedPageBreak/>
        <w:drawing>
          <wp:inline distT="0" distB="0" distL="0" distR="0" wp14:anchorId="1FE933BE" wp14:editId="5072CA0D">
            <wp:extent cx="5612130" cy="3741420"/>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2130" cy="3741420"/>
                    </a:xfrm>
                    <a:prstGeom prst="rect">
                      <a:avLst/>
                    </a:prstGeom>
                    <a:noFill/>
                    <a:ln>
                      <a:noFill/>
                    </a:ln>
                  </pic:spPr>
                </pic:pic>
              </a:graphicData>
            </a:graphic>
          </wp:inline>
        </w:drawing>
      </w:r>
    </w:p>
    <w:p w:rsidR="005E6F45" w:rsidRPr="002934A7" w:rsidRDefault="005E6F45" w:rsidP="005E6F45">
      <w:pPr>
        <w:autoSpaceDE w:val="0"/>
        <w:autoSpaceDN w:val="0"/>
        <w:adjustRightInd w:val="0"/>
        <w:spacing w:after="0" w:line="240" w:lineRule="auto"/>
        <w:rPr>
          <w:rFonts w:ascii="Arial" w:hAnsi="Arial" w:cs="Arial"/>
          <w:b/>
          <w:bCs/>
        </w:rPr>
      </w:pPr>
    </w:p>
    <w:p w:rsidR="005E6F45" w:rsidRPr="002934A7" w:rsidRDefault="005E6F45" w:rsidP="005E6F45">
      <w:pPr>
        <w:autoSpaceDE w:val="0"/>
        <w:autoSpaceDN w:val="0"/>
        <w:adjustRightInd w:val="0"/>
        <w:spacing w:after="0" w:line="240" w:lineRule="auto"/>
        <w:rPr>
          <w:rFonts w:ascii="Arial" w:hAnsi="Arial" w:cs="Arial"/>
          <w:b/>
          <w:bCs/>
        </w:rPr>
      </w:pPr>
    </w:p>
    <w:p w:rsidR="00D32760" w:rsidRPr="002934A7" w:rsidRDefault="00D32760" w:rsidP="00D0183B">
      <w:pPr>
        <w:pStyle w:val="Prrafodelista"/>
        <w:numPr>
          <w:ilvl w:val="0"/>
          <w:numId w:val="2"/>
        </w:numPr>
        <w:autoSpaceDE w:val="0"/>
        <w:autoSpaceDN w:val="0"/>
        <w:adjustRightInd w:val="0"/>
        <w:spacing w:after="0" w:line="240" w:lineRule="auto"/>
        <w:rPr>
          <w:rFonts w:ascii="Arial" w:hAnsi="Arial" w:cs="Arial"/>
          <w:b/>
          <w:bCs/>
        </w:rPr>
      </w:pPr>
      <w:r w:rsidRPr="002934A7">
        <w:rPr>
          <w:rFonts w:ascii="Arial" w:hAnsi="Arial" w:cs="Arial"/>
          <w:b/>
          <w:bCs/>
        </w:rPr>
        <w:t>Objetivos</w:t>
      </w:r>
    </w:p>
    <w:p w:rsidR="005E6F45" w:rsidRPr="002934A7" w:rsidRDefault="005E6F45" w:rsidP="005E6F45">
      <w:pPr>
        <w:pStyle w:val="Prrafodelista"/>
        <w:autoSpaceDE w:val="0"/>
        <w:autoSpaceDN w:val="0"/>
        <w:adjustRightInd w:val="0"/>
        <w:spacing w:after="0" w:line="240" w:lineRule="auto"/>
        <w:rPr>
          <w:rFonts w:ascii="Arial" w:hAnsi="Arial" w:cs="Arial"/>
          <w:b/>
          <w:bCs/>
        </w:rPr>
      </w:pPr>
    </w:p>
    <w:p w:rsidR="00D32760" w:rsidRPr="00FB61B1" w:rsidRDefault="00D32760" w:rsidP="00D0183B">
      <w:pPr>
        <w:pStyle w:val="Prrafodelista"/>
        <w:numPr>
          <w:ilvl w:val="0"/>
          <w:numId w:val="14"/>
        </w:numPr>
        <w:autoSpaceDE w:val="0"/>
        <w:autoSpaceDN w:val="0"/>
        <w:adjustRightInd w:val="0"/>
        <w:spacing w:after="0" w:line="240" w:lineRule="auto"/>
        <w:jc w:val="both"/>
        <w:rPr>
          <w:rFonts w:ascii="Arial" w:hAnsi="Arial" w:cs="Arial"/>
        </w:rPr>
      </w:pPr>
      <w:r w:rsidRPr="00FB61B1">
        <w:rPr>
          <w:rFonts w:ascii="Arial" w:hAnsi="Arial" w:cs="Arial"/>
        </w:rPr>
        <w:t>Contribuir en el mejoramiento de la calidad de vida de los habitantes de la ciudad,</w:t>
      </w:r>
      <w:r w:rsidR="00FB61B1" w:rsidRPr="00FB61B1">
        <w:rPr>
          <w:rFonts w:ascii="Arial" w:hAnsi="Arial" w:cs="Arial"/>
        </w:rPr>
        <w:t xml:space="preserve"> </w:t>
      </w:r>
      <w:r w:rsidRPr="00FB61B1">
        <w:rPr>
          <w:rFonts w:ascii="Arial" w:hAnsi="Arial" w:cs="Arial"/>
        </w:rPr>
        <w:t>respondiendo a las necesidades de la ciudad, mediante la estructuración y desarrollo de</w:t>
      </w:r>
      <w:r w:rsidR="00FB61B1" w:rsidRPr="00FB61B1">
        <w:rPr>
          <w:rFonts w:ascii="Arial" w:hAnsi="Arial" w:cs="Arial"/>
        </w:rPr>
        <w:t xml:space="preserve"> </w:t>
      </w:r>
      <w:r w:rsidRPr="00FB61B1">
        <w:rPr>
          <w:rFonts w:ascii="Arial" w:hAnsi="Arial" w:cs="Arial"/>
        </w:rPr>
        <w:t>proyectos integrales de infraestructura para la movilidad y espacio público.</w:t>
      </w:r>
    </w:p>
    <w:p w:rsidR="00D32760" w:rsidRPr="00FB61B1" w:rsidRDefault="00D32760" w:rsidP="00D0183B">
      <w:pPr>
        <w:pStyle w:val="Prrafodelista"/>
        <w:numPr>
          <w:ilvl w:val="0"/>
          <w:numId w:val="14"/>
        </w:numPr>
        <w:autoSpaceDE w:val="0"/>
        <w:autoSpaceDN w:val="0"/>
        <w:adjustRightInd w:val="0"/>
        <w:spacing w:after="0" w:line="240" w:lineRule="auto"/>
        <w:jc w:val="both"/>
        <w:rPr>
          <w:rFonts w:ascii="Arial" w:hAnsi="Arial" w:cs="Arial"/>
        </w:rPr>
      </w:pPr>
      <w:r w:rsidRPr="00FB61B1">
        <w:rPr>
          <w:rFonts w:ascii="Arial" w:hAnsi="Arial" w:cs="Arial"/>
        </w:rPr>
        <w:t>Mejorar la gestión de los proyectos, incorporando la gerencia integral en todas las fases del</w:t>
      </w:r>
      <w:r w:rsidR="00596172" w:rsidRPr="00FB61B1">
        <w:rPr>
          <w:rFonts w:ascii="Arial" w:hAnsi="Arial" w:cs="Arial"/>
        </w:rPr>
        <w:t xml:space="preserve"> </w:t>
      </w:r>
      <w:r w:rsidRPr="00FB61B1">
        <w:rPr>
          <w:rFonts w:ascii="Arial" w:hAnsi="Arial" w:cs="Arial"/>
        </w:rPr>
        <w:t>ciclo de vida de los proyectos ejecutados por el IDU.</w:t>
      </w:r>
    </w:p>
    <w:p w:rsidR="00D32760" w:rsidRPr="00FB61B1" w:rsidRDefault="00D32760" w:rsidP="00D0183B">
      <w:pPr>
        <w:pStyle w:val="Prrafodelista"/>
        <w:numPr>
          <w:ilvl w:val="0"/>
          <w:numId w:val="14"/>
        </w:numPr>
        <w:autoSpaceDE w:val="0"/>
        <w:autoSpaceDN w:val="0"/>
        <w:adjustRightInd w:val="0"/>
        <w:spacing w:after="0" w:line="240" w:lineRule="auto"/>
        <w:jc w:val="both"/>
        <w:rPr>
          <w:rFonts w:ascii="Arial" w:hAnsi="Arial" w:cs="Arial"/>
        </w:rPr>
      </w:pPr>
      <w:r w:rsidRPr="00FB61B1">
        <w:rPr>
          <w:rFonts w:ascii="Arial" w:hAnsi="Arial" w:cs="Arial"/>
        </w:rPr>
        <w:t>Formular y concretar proyectos de infraestructura pública mediante el esquema de</w:t>
      </w:r>
      <w:r w:rsidR="00FB61B1" w:rsidRPr="00FB61B1">
        <w:rPr>
          <w:rFonts w:ascii="Arial" w:hAnsi="Arial" w:cs="Arial"/>
        </w:rPr>
        <w:t xml:space="preserve"> </w:t>
      </w:r>
      <w:r w:rsidRPr="00FB61B1">
        <w:rPr>
          <w:rFonts w:ascii="Arial" w:hAnsi="Arial" w:cs="Arial"/>
        </w:rPr>
        <w:t>Asociaciones Público Privadas</w:t>
      </w:r>
    </w:p>
    <w:p w:rsidR="00D32760" w:rsidRPr="00FB61B1" w:rsidRDefault="00D32760" w:rsidP="00D0183B">
      <w:pPr>
        <w:pStyle w:val="Prrafodelista"/>
        <w:numPr>
          <w:ilvl w:val="0"/>
          <w:numId w:val="14"/>
        </w:numPr>
        <w:autoSpaceDE w:val="0"/>
        <w:autoSpaceDN w:val="0"/>
        <w:adjustRightInd w:val="0"/>
        <w:spacing w:after="0" w:line="240" w:lineRule="auto"/>
        <w:jc w:val="both"/>
        <w:rPr>
          <w:rFonts w:ascii="Arial" w:hAnsi="Arial" w:cs="Arial"/>
        </w:rPr>
      </w:pPr>
      <w:r w:rsidRPr="00FB61B1">
        <w:rPr>
          <w:rFonts w:ascii="Arial" w:hAnsi="Arial" w:cs="Arial"/>
        </w:rPr>
        <w:t>Lograr la apropiación, por parte de los ciudadanos, de la infraestructura para la movilidad,</w:t>
      </w:r>
      <w:r w:rsidR="00596172" w:rsidRPr="00FB61B1">
        <w:rPr>
          <w:rFonts w:ascii="Arial" w:hAnsi="Arial" w:cs="Arial"/>
        </w:rPr>
        <w:t xml:space="preserve"> </w:t>
      </w:r>
      <w:r w:rsidRPr="00FB61B1">
        <w:rPr>
          <w:rFonts w:ascii="Arial" w:hAnsi="Arial" w:cs="Arial"/>
        </w:rPr>
        <w:t>implementando estrategias de gestión social.</w:t>
      </w:r>
    </w:p>
    <w:p w:rsidR="00D32760" w:rsidRPr="00FB61B1" w:rsidRDefault="00D32760" w:rsidP="00D0183B">
      <w:pPr>
        <w:pStyle w:val="Prrafodelista"/>
        <w:numPr>
          <w:ilvl w:val="0"/>
          <w:numId w:val="14"/>
        </w:numPr>
        <w:autoSpaceDE w:val="0"/>
        <w:autoSpaceDN w:val="0"/>
        <w:adjustRightInd w:val="0"/>
        <w:spacing w:after="0" w:line="240" w:lineRule="auto"/>
        <w:jc w:val="both"/>
        <w:rPr>
          <w:rFonts w:ascii="Arial" w:hAnsi="Arial" w:cs="Arial"/>
        </w:rPr>
      </w:pPr>
      <w:r w:rsidRPr="00FB61B1">
        <w:rPr>
          <w:rFonts w:ascii="Arial" w:hAnsi="Arial" w:cs="Arial"/>
        </w:rPr>
        <w:t>Implementar nuevas prácticas en los procesos internos del IDU y en los proyectos de</w:t>
      </w:r>
      <w:r w:rsidR="00FB61B1" w:rsidRPr="00FB61B1">
        <w:rPr>
          <w:rFonts w:ascii="Arial" w:hAnsi="Arial" w:cs="Arial"/>
        </w:rPr>
        <w:t xml:space="preserve"> </w:t>
      </w:r>
      <w:r w:rsidRPr="00FB61B1">
        <w:rPr>
          <w:rFonts w:ascii="Arial" w:hAnsi="Arial" w:cs="Arial"/>
        </w:rPr>
        <w:t>infraestructura que ejecute</w:t>
      </w:r>
    </w:p>
    <w:p w:rsidR="008266C0" w:rsidRPr="00FB61B1" w:rsidRDefault="00D32760" w:rsidP="00D0183B">
      <w:pPr>
        <w:pStyle w:val="Prrafodelista"/>
        <w:numPr>
          <w:ilvl w:val="0"/>
          <w:numId w:val="14"/>
        </w:numPr>
        <w:autoSpaceDE w:val="0"/>
        <w:autoSpaceDN w:val="0"/>
        <w:adjustRightInd w:val="0"/>
        <w:spacing w:after="0" w:line="240" w:lineRule="auto"/>
        <w:jc w:val="both"/>
        <w:rPr>
          <w:rFonts w:ascii="Arial" w:hAnsi="Arial" w:cs="Arial"/>
          <w:b/>
          <w:lang w:val="es-ES"/>
        </w:rPr>
      </w:pPr>
      <w:r w:rsidRPr="00FB61B1">
        <w:rPr>
          <w:rFonts w:ascii="Arial" w:hAnsi="Arial" w:cs="Arial"/>
        </w:rPr>
        <w:t>Alinear la estructura, los procesos, el talento humano y la cultura del IDU hacia el logro de</w:t>
      </w:r>
      <w:r w:rsidR="00596172" w:rsidRPr="00FB61B1">
        <w:rPr>
          <w:rFonts w:ascii="Arial" w:hAnsi="Arial" w:cs="Arial"/>
        </w:rPr>
        <w:t xml:space="preserve"> </w:t>
      </w:r>
      <w:r w:rsidRPr="00FB61B1">
        <w:rPr>
          <w:rFonts w:ascii="Arial" w:hAnsi="Arial" w:cs="Arial"/>
        </w:rPr>
        <w:t>las metas planteadas para los próximos 12 años.</w:t>
      </w:r>
    </w:p>
    <w:p w:rsidR="00082799" w:rsidRDefault="00082799" w:rsidP="001B522E">
      <w:pPr>
        <w:rPr>
          <w:rFonts w:ascii="Arial" w:hAnsi="Arial" w:cs="Arial"/>
          <w:b/>
          <w:lang w:val="es-ES"/>
        </w:rPr>
      </w:pPr>
    </w:p>
    <w:p w:rsidR="00AE707F" w:rsidRDefault="00AE707F" w:rsidP="001B522E">
      <w:pPr>
        <w:rPr>
          <w:rFonts w:ascii="Arial" w:hAnsi="Arial" w:cs="Arial"/>
          <w:b/>
          <w:lang w:val="es-ES"/>
        </w:rPr>
      </w:pPr>
    </w:p>
    <w:p w:rsidR="00AE707F" w:rsidRPr="002934A7" w:rsidRDefault="00AE707F" w:rsidP="001B522E">
      <w:pPr>
        <w:rPr>
          <w:rFonts w:ascii="Arial" w:hAnsi="Arial" w:cs="Arial"/>
          <w:b/>
          <w:lang w:val="es-ES"/>
        </w:rPr>
      </w:pPr>
    </w:p>
    <w:p w:rsidR="00082799" w:rsidRPr="003516F3" w:rsidRDefault="00082799" w:rsidP="003516F3">
      <w:pPr>
        <w:pStyle w:val="Ttulo2"/>
        <w:numPr>
          <w:ilvl w:val="0"/>
          <w:numId w:val="0"/>
        </w:numPr>
        <w:ind w:left="1428" w:hanging="360"/>
        <w:jc w:val="center"/>
        <w:rPr>
          <w:sz w:val="24"/>
          <w:szCs w:val="24"/>
        </w:rPr>
      </w:pPr>
      <w:bookmarkStart w:id="6" w:name="_Toc30774598"/>
      <w:r w:rsidRPr="001F2135">
        <w:rPr>
          <w:sz w:val="24"/>
          <w:szCs w:val="24"/>
        </w:rPr>
        <w:t>CAPITULO 2. GESTIÓN PRESUPUESTAL</w:t>
      </w:r>
      <w:bookmarkEnd w:id="6"/>
    </w:p>
    <w:p w:rsidR="00072018" w:rsidRDefault="00072018" w:rsidP="00082799">
      <w:pPr>
        <w:autoSpaceDE w:val="0"/>
        <w:autoSpaceDN w:val="0"/>
        <w:adjustRightInd w:val="0"/>
        <w:spacing w:after="0" w:line="240" w:lineRule="auto"/>
        <w:rPr>
          <w:rFonts w:ascii="Arial" w:hAnsi="Arial" w:cs="Arial"/>
        </w:rPr>
      </w:pPr>
    </w:p>
    <w:p w:rsidR="00082799" w:rsidRPr="002934A7" w:rsidRDefault="00082799" w:rsidP="00082799">
      <w:pPr>
        <w:autoSpaceDE w:val="0"/>
        <w:autoSpaceDN w:val="0"/>
        <w:adjustRightInd w:val="0"/>
        <w:spacing w:after="0" w:line="240" w:lineRule="auto"/>
        <w:rPr>
          <w:rFonts w:ascii="Arial" w:hAnsi="Arial" w:cs="Arial"/>
        </w:rPr>
      </w:pPr>
      <w:r w:rsidRPr="002934A7">
        <w:rPr>
          <w:rFonts w:ascii="Arial" w:hAnsi="Arial" w:cs="Arial"/>
        </w:rPr>
        <w:lastRenderedPageBreak/>
        <w:t xml:space="preserve">A </w:t>
      </w:r>
      <w:r w:rsidR="00572E8D" w:rsidRPr="002934A7">
        <w:rPr>
          <w:rFonts w:ascii="Arial" w:hAnsi="Arial" w:cs="Arial"/>
        </w:rPr>
        <w:t>continuación,</w:t>
      </w:r>
      <w:r w:rsidRPr="002934A7">
        <w:rPr>
          <w:rFonts w:ascii="Arial" w:hAnsi="Arial" w:cs="Arial"/>
        </w:rPr>
        <w:t xml:space="preserve"> se presenta en resumen la ejecución presupuestal para la vigencia 2019,</w:t>
      </w:r>
    </w:p>
    <w:p w:rsidR="00082799" w:rsidRPr="002934A7" w:rsidRDefault="00082799" w:rsidP="00082799">
      <w:pPr>
        <w:rPr>
          <w:rFonts w:ascii="Arial" w:hAnsi="Arial" w:cs="Arial"/>
        </w:rPr>
      </w:pPr>
      <w:r w:rsidRPr="002934A7">
        <w:rPr>
          <w:rFonts w:ascii="Arial" w:hAnsi="Arial" w:cs="Arial"/>
        </w:rPr>
        <w:t>representada en los diferentes rubros que maneja la Entidad:</w:t>
      </w:r>
    </w:p>
    <w:p w:rsidR="003A3A63" w:rsidRPr="002934A7" w:rsidRDefault="003A3A63" w:rsidP="003A3A63">
      <w:pPr>
        <w:spacing w:line="256" w:lineRule="auto"/>
        <w:jc w:val="both"/>
        <w:rPr>
          <w:rFonts w:ascii="Arial" w:hAnsi="Arial" w:cs="Arial"/>
          <w:szCs w:val="24"/>
        </w:rPr>
      </w:pPr>
      <w:r w:rsidRPr="002934A7">
        <w:rPr>
          <w:rFonts w:ascii="Arial" w:hAnsi="Arial" w:cs="Arial"/>
          <w:szCs w:val="24"/>
        </w:rPr>
        <w:t>Para la vigencia fiscal 2019, le fue aprobado al Instituto de Desarrollo Urbano, un presupuesto por $4,3 billones, estos recursos provienen principalmente de la Secretaría Distrital de Hacienda y su destino, es la financiación de gastos de funcionamiento e inversiones del Instituto.</w:t>
      </w:r>
    </w:p>
    <w:p w:rsidR="003A3A63" w:rsidRPr="002934A7" w:rsidRDefault="00A101A0" w:rsidP="003A3A63">
      <w:pPr>
        <w:spacing w:line="256" w:lineRule="auto"/>
        <w:jc w:val="both"/>
        <w:rPr>
          <w:rFonts w:ascii="Arial" w:hAnsi="Arial" w:cs="Arial"/>
          <w:szCs w:val="24"/>
        </w:rPr>
      </w:pPr>
      <w:r>
        <w:rPr>
          <w:rFonts w:ascii="Arial" w:hAnsi="Arial" w:cs="Arial"/>
          <w:szCs w:val="24"/>
        </w:rPr>
        <w:t>S</w:t>
      </w:r>
      <w:r w:rsidR="003A3A63" w:rsidRPr="002934A7">
        <w:rPr>
          <w:rFonts w:ascii="Arial" w:hAnsi="Arial" w:cs="Arial"/>
          <w:szCs w:val="24"/>
        </w:rPr>
        <w:t>e redujo el presupuesto de la Entidad, en $</w:t>
      </w:r>
      <w:r w:rsidRPr="00A101A0">
        <w:rPr>
          <w:rFonts w:ascii="Arial" w:hAnsi="Arial" w:cs="Arial"/>
          <w:szCs w:val="24"/>
        </w:rPr>
        <w:t>1,584,890,876,464</w:t>
      </w:r>
      <w:r w:rsidR="003A3A63" w:rsidRPr="002934A7">
        <w:rPr>
          <w:rFonts w:ascii="Arial" w:hAnsi="Arial" w:cs="Arial"/>
          <w:szCs w:val="24"/>
        </w:rPr>
        <w:t>, quedando un</w:t>
      </w:r>
      <w:r w:rsidR="00572E8D">
        <w:rPr>
          <w:rFonts w:ascii="Arial" w:hAnsi="Arial" w:cs="Arial"/>
          <w:szCs w:val="24"/>
        </w:rPr>
        <w:t xml:space="preserve">a apropiación </w:t>
      </w:r>
      <w:r w:rsidR="00572E8D" w:rsidRPr="002934A7">
        <w:rPr>
          <w:rFonts w:ascii="Arial" w:hAnsi="Arial" w:cs="Arial"/>
          <w:szCs w:val="24"/>
        </w:rPr>
        <w:t>presupuestal</w:t>
      </w:r>
      <w:r w:rsidR="003A3A63" w:rsidRPr="002934A7">
        <w:rPr>
          <w:rFonts w:ascii="Arial" w:hAnsi="Arial" w:cs="Arial"/>
          <w:szCs w:val="24"/>
        </w:rPr>
        <w:t xml:space="preserve"> </w:t>
      </w:r>
      <w:r w:rsidR="00572E8D">
        <w:rPr>
          <w:rFonts w:ascii="Arial" w:hAnsi="Arial" w:cs="Arial"/>
          <w:szCs w:val="24"/>
        </w:rPr>
        <w:t xml:space="preserve">definitiva </w:t>
      </w:r>
      <w:r w:rsidR="003A3A63" w:rsidRPr="002934A7">
        <w:rPr>
          <w:rFonts w:ascii="Arial" w:hAnsi="Arial" w:cs="Arial"/>
          <w:szCs w:val="24"/>
        </w:rPr>
        <w:t>de $</w:t>
      </w:r>
      <w:r w:rsidRPr="00A101A0">
        <w:rPr>
          <w:rFonts w:ascii="Arial" w:hAnsi="Arial" w:cs="Arial"/>
          <w:szCs w:val="24"/>
        </w:rPr>
        <w:t>2,656,649,126,536</w:t>
      </w:r>
      <w:r w:rsidR="003A3A63" w:rsidRPr="002934A7">
        <w:rPr>
          <w:rFonts w:ascii="Arial" w:hAnsi="Arial" w:cs="Arial"/>
          <w:szCs w:val="24"/>
        </w:rPr>
        <w:t>.</w:t>
      </w:r>
    </w:p>
    <w:p w:rsidR="003A3A63" w:rsidRPr="002934A7" w:rsidRDefault="003A3A63" w:rsidP="003A3A63">
      <w:pPr>
        <w:spacing w:line="256" w:lineRule="auto"/>
        <w:jc w:val="both"/>
        <w:rPr>
          <w:rFonts w:ascii="Arial" w:hAnsi="Arial" w:cs="Arial"/>
          <w:szCs w:val="24"/>
        </w:rPr>
      </w:pPr>
      <w:r w:rsidRPr="002934A7">
        <w:rPr>
          <w:rFonts w:ascii="Arial" w:hAnsi="Arial" w:cs="Arial"/>
          <w:szCs w:val="24"/>
        </w:rPr>
        <w:t xml:space="preserve">Las principales fuentes de financiación </w:t>
      </w:r>
      <w:r w:rsidR="00572E8D">
        <w:rPr>
          <w:rFonts w:ascii="Arial" w:hAnsi="Arial" w:cs="Arial"/>
          <w:szCs w:val="24"/>
        </w:rPr>
        <w:t xml:space="preserve">para la vigencia 2019 </w:t>
      </w:r>
      <w:r w:rsidRPr="002934A7">
        <w:rPr>
          <w:rFonts w:ascii="Arial" w:hAnsi="Arial" w:cs="Arial"/>
          <w:szCs w:val="24"/>
        </w:rPr>
        <w:t xml:space="preserve">son: </w:t>
      </w:r>
      <w:r w:rsidR="00072018">
        <w:rPr>
          <w:rFonts w:ascii="Arial" w:hAnsi="Arial" w:cs="Arial"/>
          <w:szCs w:val="24"/>
        </w:rPr>
        <w:t xml:space="preserve">cupo de endeudamiento establecido mediante el Acuerdo 690 de 2017 por un valor de $607.183 Millones los cuales representan el 23% del presupuesto, </w:t>
      </w:r>
      <w:r w:rsidR="00072018" w:rsidRPr="002934A7">
        <w:rPr>
          <w:rFonts w:ascii="Arial" w:hAnsi="Arial" w:cs="Arial"/>
          <w:szCs w:val="24"/>
        </w:rPr>
        <w:t>otros distritos</w:t>
      </w:r>
      <w:r w:rsidR="00072018">
        <w:rPr>
          <w:rFonts w:ascii="Arial" w:hAnsi="Arial" w:cs="Arial"/>
          <w:szCs w:val="24"/>
        </w:rPr>
        <w:t xml:space="preserve"> con una apropiación de $580.484 Millones que corresponde al 22% del presupuesto, valorización Acuerdo 724 de 2018</w:t>
      </w:r>
      <w:r w:rsidR="00072018" w:rsidRPr="002934A7">
        <w:rPr>
          <w:rFonts w:ascii="Arial" w:hAnsi="Arial" w:cs="Arial"/>
          <w:szCs w:val="24"/>
        </w:rPr>
        <w:t xml:space="preserve"> </w:t>
      </w:r>
      <w:r w:rsidR="00072018">
        <w:rPr>
          <w:rFonts w:ascii="Arial" w:hAnsi="Arial" w:cs="Arial"/>
          <w:szCs w:val="24"/>
        </w:rPr>
        <w:t>con una participación del 20% del total del presupuesto equivalente a $538.149 Millones, sobretasa a la gasolina con una apropiación de $230.660 millones equivalentes al 9% de la apropiación presupuestal</w:t>
      </w:r>
      <w:r w:rsidR="00202903">
        <w:rPr>
          <w:rFonts w:ascii="Arial" w:hAnsi="Arial" w:cs="Arial"/>
          <w:szCs w:val="24"/>
        </w:rPr>
        <w:t xml:space="preserve">, gestión de activos (Recursos provenientes de la venta de acciones del Grupo Energía de Bogotá </w:t>
      </w:r>
      <w:r w:rsidRPr="002934A7">
        <w:rPr>
          <w:rFonts w:ascii="Arial" w:hAnsi="Arial" w:cs="Arial"/>
          <w:szCs w:val="24"/>
        </w:rPr>
        <w:t xml:space="preserve">e ingresos corrientes (Convenios, Recursos de Capital y </w:t>
      </w:r>
      <w:r w:rsidR="00572E8D">
        <w:rPr>
          <w:rFonts w:ascii="Arial" w:hAnsi="Arial" w:cs="Arial"/>
          <w:szCs w:val="24"/>
        </w:rPr>
        <w:t xml:space="preserve">Otras </w:t>
      </w:r>
      <w:r w:rsidRPr="002934A7">
        <w:rPr>
          <w:rFonts w:ascii="Arial" w:hAnsi="Arial" w:cs="Arial"/>
          <w:szCs w:val="24"/>
        </w:rPr>
        <w:t>Valorizaciones, entre otras); también están apropiados los recursos para el pago de pasivos exigibles.</w:t>
      </w:r>
    </w:p>
    <w:p w:rsidR="003A3A63" w:rsidRPr="002934A7" w:rsidRDefault="003A3A63" w:rsidP="003A3A63">
      <w:pPr>
        <w:spacing w:line="256" w:lineRule="auto"/>
        <w:jc w:val="both"/>
        <w:rPr>
          <w:rFonts w:ascii="Arial" w:hAnsi="Arial" w:cs="Arial"/>
          <w:szCs w:val="24"/>
        </w:rPr>
      </w:pPr>
      <w:r w:rsidRPr="002934A7">
        <w:rPr>
          <w:rFonts w:ascii="Arial" w:hAnsi="Arial" w:cs="Arial"/>
          <w:szCs w:val="24"/>
        </w:rPr>
        <w:t>De otra parte, en la ejecución de gastos, a la fecha se encuentran canceladas las obligaciones laborales y el retroactivo de todos los niveles.</w:t>
      </w:r>
    </w:p>
    <w:p w:rsidR="00B4007F" w:rsidRDefault="003A3A63" w:rsidP="003A3A63">
      <w:pPr>
        <w:spacing w:line="256" w:lineRule="auto"/>
        <w:jc w:val="both"/>
        <w:rPr>
          <w:rFonts w:ascii="Arial" w:hAnsi="Arial" w:cs="Arial"/>
          <w:szCs w:val="24"/>
        </w:rPr>
      </w:pPr>
      <w:r w:rsidRPr="002934A7">
        <w:rPr>
          <w:rFonts w:ascii="Arial" w:hAnsi="Arial" w:cs="Arial"/>
          <w:szCs w:val="24"/>
        </w:rPr>
        <w:t>Respecto a la ejecución de reservas presupuestales y pasivos exigibles, el Instituto ha venido realizando seguimientos y reuniones con las áreas técnicas, lo anterior, con el fin de gestionar en el menor plazo, el pago de estas obligaciones.</w:t>
      </w:r>
    </w:p>
    <w:p w:rsidR="00072018" w:rsidRPr="003202FB" w:rsidRDefault="00072018" w:rsidP="003A3A63">
      <w:pPr>
        <w:spacing w:line="256" w:lineRule="auto"/>
        <w:jc w:val="both"/>
        <w:rPr>
          <w:rFonts w:ascii="Arial" w:hAnsi="Arial" w:cs="Arial"/>
          <w:szCs w:val="24"/>
        </w:rPr>
      </w:pPr>
    </w:p>
    <w:p w:rsidR="00D56EBD" w:rsidRPr="00520108" w:rsidRDefault="00D56EBD" w:rsidP="00D0183B">
      <w:pPr>
        <w:pStyle w:val="Ttulo2"/>
        <w:numPr>
          <w:ilvl w:val="1"/>
          <w:numId w:val="20"/>
        </w:numPr>
        <w:rPr>
          <w:sz w:val="24"/>
          <w:szCs w:val="24"/>
        </w:rPr>
      </w:pPr>
      <w:bookmarkStart w:id="7" w:name="_Toc27665306"/>
      <w:bookmarkStart w:id="8" w:name="_Toc30774599"/>
      <w:r w:rsidRPr="00520108">
        <w:rPr>
          <w:sz w:val="24"/>
          <w:szCs w:val="24"/>
        </w:rPr>
        <w:t>ANÁLISIS EJECUCIÓN DE INGRESOS Y GASTOS</w:t>
      </w:r>
      <w:bookmarkEnd w:id="7"/>
      <w:bookmarkEnd w:id="8"/>
    </w:p>
    <w:p w:rsidR="003202FB" w:rsidRPr="003202FB" w:rsidRDefault="00D56EBD" w:rsidP="00D0183B">
      <w:pPr>
        <w:pStyle w:val="Prrafodelista"/>
        <w:numPr>
          <w:ilvl w:val="2"/>
          <w:numId w:val="20"/>
        </w:numPr>
        <w:spacing w:line="256" w:lineRule="auto"/>
        <w:jc w:val="both"/>
        <w:rPr>
          <w:rFonts w:ascii="Arial" w:hAnsi="Arial" w:cs="Arial"/>
          <w:b/>
          <w:szCs w:val="24"/>
        </w:rPr>
      </w:pPr>
      <w:r w:rsidRPr="003202FB">
        <w:rPr>
          <w:rFonts w:ascii="Arial" w:hAnsi="Arial" w:cs="Arial"/>
          <w:b/>
          <w:szCs w:val="24"/>
        </w:rPr>
        <w:t>EJECUCIÓN DE INGRESOS</w:t>
      </w:r>
    </w:p>
    <w:p w:rsidR="003202FB" w:rsidRPr="0019641F" w:rsidRDefault="003202FB" w:rsidP="003202FB">
      <w:pPr>
        <w:pStyle w:val="Descripcin"/>
        <w:spacing w:after="0" w:line="276" w:lineRule="auto"/>
        <w:rPr>
          <w:rFonts w:ascii="Arial" w:eastAsiaTheme="minorEastAsia" w:hAnsi="Arial" w:cs="Arial"/>
          <w:b/>
          <w:color w:val="auto"/>
          <w:sz w:val="28"/>
          <w:lang w:val="es-MX"/>
        </w:rPr>
      </w:pPr>
      <w:bookmarkStart w:id="9" w:name="_Toc27665509"/>
      <w:r w:rsidRPr="0019641F">
        <w:rPr>
          <w:rFonts w:ascii="Arial" w:hAnsi="Arial" w:cs="Arial"/>
          <w:color w:val="auto"/>
        </w:rPr>
        <w:t>Rentas e ingresos 2019</w:t>
      </w:r>
      <w:bookmarkEnd w:id="9"/>
    </w:p>
    <w:tbl>
      <w:tblPr>
        <w:tblW w:w="8860" w:type="dxa"/>
        <w:jc w:val="center"/>
        <w:tblLayout w:type="fixed"/>
        <w:tblCellMar>
          <w:left w:w="30" w:type="dxa"/>
          <w:right w:w="30" w:type="dxa"/>
        </w:tblCellMar>
        <w:tblLook w:val="0000" w:firstRow="0" w:lastRow="0" w:firstColumn="0" w:lastColumn="0" w:noHBand="0" w:noVBand="0"/>
      </w:tblPr>
      <w:tblGrid>
        <w:gridCol w:w="2279"/>
        <w:gridCol w:w="1276"/>
        <w:gridCol w:w="1476"/>
        <w:gridCol w:w="1242"/>
        <w:gridCol w:w="1332"/>
        <w:gridCol w:w="1255"/>
      </w:tblGrid>
      <w:tr w:rsidR="003202FB" w:rsidRPr="003202FB" w:rsidTr="00AC30EC">
        <w:trPr>
          <w:trHeight w:val="682"/>
          <w:jc w:val="center"/>
        </w:trPr>
        <w:tc>
          <w:tcPr>
            <w:tcW w:w="227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3202FB" w:rsidRPr="003202FB" w:rsidRDefault="003202FB" w:rsidP="00AC30EC">
            <w:pPr>
              <w:autoSpaceDE w:val="0"/>
              <w:autoSpaceDN w:val="0"/>
              <w:adjustRightInd w:val="0"/>
              <w:spacing w:line="276" w:lineRule="auto"/>
              <w:jc w:val="center"/>
              <w:rPr>
                <w:rFonts w:ascii="Arial" w:hAnsi="Arial" w:cs="Arial"/>
                <w:b/>
                <w:bCs/>
                <w:sz w:val="16"/>
                <w:szCs w:val="16"/>
              </w:rPr>
            </w:pPr>
            <w:r w:rsidRPr="003202FB">
              <w:rPr>
                <w:rFonts w:ascii="Arial" w:hAnsi="Arial" w:cs="Arial"/>
                <w:b/>
                <w:bCs/>
                <w:sz w:val="16"/>
                <w:szCs w:val="16"/>
              </w:rPr>
              <w:t>CONCEPTO</w:t>
            </w:r>
          </w:p>
        </w:tc>
        <w:tc>
          <w:tcPr>
            <w:tcW w:w="127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3202FB" w:rsidRPr="003202FB" w:rsidRDefault="003202FB" w:rsidP="00AC30EC">
            <w:pPr>
              <w:autoSpaceDE w:val="0"/>
              <w:autoSpaceDN w:val="0"/>
              <w:adjustRightInd w:val="0"/>
              <w:spacing w:line="276" w:lineRule="auto"/>
              <w:jc w:val="center"/>
              <w:rPr>
                <w:rFonts w:ascii="Arial" w:hAnsi="Arial" w:cs="Arial"/>
                <w:b/>
                <w:bCs/>
                <w:sz w:val="16"/>
                <w:szCs w:val="16"/>
              </w:rPr>
            </w:pPr>
            <w:r w:rsidRPr="003202FB">
              <w:rPr>
                <w:rFonts w:ascii="Arial" w:hAnsi="Arial" w:cs="Arial"/>
                <w:b/>
                <w:bCs/>
                <w:sz w:val="16"/>
                <w:szCs w:val="16"/>
              </w:rPr>
              <w:t>PPTO. INICIAL</w:t>
            </w:r>
          </w:p>
        </w:tc>
        <w:tc>
          <w:tcPr>
            <w:tcW w:w="147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3202FB" w:rsidRPr="003202FB" w:rsidRDefault="003202FB" w:rsidP="00AC30EC">
            <w:pPr>
              <w:autoSpaceDE w:val="0"/>
              <w:autoSpaceDN w:val="0"/>
              <w:adjustRightInd w:val="0"/>
              <w:spacing w:line="276" w:lineRule="auto"/>
              <w:jc w:val="center"/>
              <w:rPr>
                <w:rFonts w:ascii="Arial" w:hAnsi="Arial" w:cs="Arial"/>
                <w:b/>
                <w:bCs/>
                <w:sz w:val="16"/>
                <w:szCs w:val="16"/>
              </w:rPr>
            </w:pPr>
            <w:r w:rsidRPr="003202FB">
              <w:rPr>
                <w:rFonts w:ascii="Arial" w:hAnsi="Arial" w:cs="Arial"/>
                <w:b/>
                <w:bCs/>
                <w:sz w:val="16"/>
                <w:szCs w:val="16"/>
              </w:rPr>
              <w:t>MODIFICACIONES</w:t>
            </w:r>
          </w:p>
        </w:tc>
        <w:tc>
          <w:tcPr>
            <w:tcW w:w="1242"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3202FB" w:rsidRPr="003202FB" w:rsidRDefault="003202FB" w:rsidP="00CC680B">
            <w:pPr>
              <w:autoSpaceDE w:val="0"/>
              <w:autoSpaceDN w:val="0"/>
              <w:adjustRightInd w:val="0"/>
              <w:spacing w:line="276" w:lineRule="auto"/>
              <w:jc w:val="center"/>
              <w:rPr>
                <w:rFonts w:ascii="Arial" w:hAnsi="Arial" w:cs="Arial"/>
                <w:b/>
                <w:bCs/>
                <w:sz w:val="16"/>
                <w:szCs w:val="16"/>
              </w:rPr>
            </w:pPr>
            <w:r w:rsidRPr="003202FB">
              <w:rPr>
                <w:rFonts w:ascii="Arial" w:hAnsi="Arial" w:cs="Arial"/>
                <w:b/>
                <w:bCs/>
                <w:sz w:val="16"/>
                <w:szCs w:val="16"/>
              </w:rPr>
              <w:t>PPTO. VIG.      3</w:t>
            </w:r>
            <w:r w:rsidR="00CC680B">
              <w:rPr>
                <w:rFonts w:ascii="Arial" w:hAnsi="Arial" w:cs="Arial"/>
                <w:b/>
                <w:bCs/>
                <w:sz w:val="16"/>
                <w:szCs w:val="16"/>
              </w:rPr>
              <w:t>1</w:t>
            </w:r>
            <w:r w:rsidRPr="003202FB">
              <w:rPr>
                <w:rFonts w:ascii="Arial" w:hAnsi="Arial" w:cs="Arial"/>
                <w:b/>
                <w:bCs/>
                <w:sz w:val="16"/>
                <w:szCs w:val="16"/>
              </w:rPr>
              <w:t>-</w:t>
            </w:r>
            <w:r w:rsidR="00CC680B">
              <w:rPr>
                <w:rFonts w:ascii="Arial" w:hAnsi="Arial" w:cs="Arial"/>
                <w:b/>
                <w:bCs/>
                <w:sz w:val="16"/>
                <w:szCs w:val="16"/>
              </w:rPr>
              <w:t>Dic</w:t>
            </w:r>
            <w:r w:rsidRPr="003202FB">
              <w:rPr>
                <w:rFonts w:ascii="Arial" w:hAnsi="Arial" w:cs="Arial"/>
                <w:b/>
                <w:bCs/>
                <w:sz w:val="16"/>
                <w:szCs w:val="16"/>
              </w:rPr>
              <w:t>.-2019</w:t>
            </w:r>
          </w:p>
        </w:tc>
        <w:tc>
          <w:tcPr>
            <w:tcW w:w="1332"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3202FB" w:rsidRPr="003202FB" w:rsidRDefault="003202FB" w:rsidP="00AC30EC">
            <w:pPr>
              <w:autoSpaceDE w:val="0"/>
              <w:autoSpaceDN w:val="0"/>
              <w:adjustRightInd w:val="0"/>
              <w:spacing w:line="276" w:lineRule="auto"/>
              <w:jc w:val="center"/>
              <w:rPr>
                <w:rFonts w:ascii="Arial" w:hAnsi="Arial" w:cs="Arial"/>
                <w:b/>
                <w:bCs/>
                <w:sz w:val="16"/>
                <w:szCs w:val="16"/>
              </w:rPr>
            </w:pPr>
            <w:r w:rsidRPr="003202FB">
              <w:rPr>
                <w:rFonts w:ascii="Arial" w:hAnsi="Arial" w:cs="Arial"/>
                <w:b/>
                <w:bCs/>
                <w:sz w:val="16"/>
                <w:szCs w:val="16"/>
              </w:rPr>
              <w:t xml:space="preserve">EJECUCIÓN            </w:t>
            </w:r>
            <w:r w:rsidR="00CC680B" w:rsidRPr="003202FB">
              <w:rPr>
                <w:rFonts w:ascii="Arial" w:hAnsi="Arial" w:cs="Arial"/>
                <w:b/>
                <w:bCs/>
                <w:sz w:val="16"/>
                <w:szCs w:val="16"/>
              </w:rPr>
              <w:t>3</w:t>
            </w:r>
            <w:r w:rsidR="00CC680B">
              <w:rPr>
                <w:rFonts w:ascii="Arial" w:hAnsi="Arial" w:cs="Arial"/>
                <w:b/>
                <w:bCs/>
                <w:sz w:val="16"/>
                <w:szCs w:val="16"/>
              </w:rPr>
              <w:t>1</w:t>
            </w:r>
            <w:r w:rsidR="00CC680B" w:rsidRPr="003202FB">
              <w:rPr>
                <w:rFonts w:ascii="Arial" w:hAnsi="Arial" w:cs="Arial"/>
                <w:b/>
                <w:bCs/>
                <w:sz w:val="16"/>
                <w:szCs w:val="16"/>
              </w:rPr>
              <w:t>-</w:t>
            </w:r>
            <w:r w:rsidR="00CC680B">
              <w:rPr>
                <w:rFonts w:ascii="Arial" w:hAnsi="Arial" w:cs="Arial"/>
                <w:b/>
                <w:bCs/>
                <w:sz w:val="16"/>
                <w:szCs w:val="16"/>
              </w:rPr>
              <w:t>Dic</w:t>
            </w:r>
            <w:r w:rsidR="00CC680B" w:rsidRPr="003202FB">
              <w:rPr>
                <w:rFonts w:ascii="Arial" w:hAnsi="Arial" w:cs="Arial"/>
                <w:b/>
                <w:bCs/>
                <w:sz w:val="16"/>
                <w:szCs w:val="16"/>
              </w:rPr>
              <w:t>.-2019</w:t>
            </w:r>
          </w:p>
        </w:tc>
        <w:tc>
          <w:tcPr>
            <w:tcW w:w="125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3202FB" w:rsidRPr="003202FB" w:rsidRDefault="003202FB" w:rsidP="00AC30EC">
            <w:pPr>
              <w:autoSpaceDE w:val="0"/>
              <w:autoSpaceDN w:val="0"/>
              <w:adjustRightInd w:val="0"/>
              <w:spacing w:line="276" w:lineRule="auto"/>
              <w:jc w:val="center"/>
              <w:rPr>
                <w:rFonts w:ascii="Arial" w:hAnsi="Arial" w:cs="Arial"/>
                <w:b/>
                <w:bCs/>
                <w:sz w:val="16"/>
                <w:szCs w:val="16"/>
              </w:rPr>
            </w:pPr>
            <w:r w:rsidRPr="003202FB">
              <w:rPr>
                <w:rFonts w:ascii="Arial" w:hAnsi="Arial" w:cs="Arial"/>
                <w:b/>
                <w:bCs/>
                <w:sz w:val="16"/>
                <w:szCs w:val="16"/>
              </w:rPr>
              <w:t>% EJEC</w:t>
            </w:r>
          </w:p>
        </w:tc>
      </w:tr>
      <w:tr w:rsidR="003202FB" w:rsidRPr="003202FB" w:rsidTr="00AC30EC">
        <w:trPr>
          <w:trHeight w:val="309"/>
          <w:jc w:val="center"/>
        </w:trPr>
        <w:tc>
          <w:tcPr>
            <w:tcW w:w="2279" w:type="dxa"/>
            <w:tcBorders>
              <w:top w:val="single" w:sz="4" w:space="0" w:color="auto"/>
              <w:left w:val="single" w:sz="4" w:space="0" w:color="auto"/>
              <w:bottom w:val="single" w:sz="4" w:space="0" w:color="auto"/>
              <w:right w:val="single" w:sz="4" w:space="0" w:color="auto"/>
            </w:tcBorders>
            <w:shd w:val="clear" w:color="auto" w:fill="auto"/>
            <w:vAlign w:val="center"/>
          </w:tcPr>
          <w:p w:rsidR="003202FB" w:rsidRPr="003202FB" w:rsidRDefault="003202FB" w:rsidP="00AC30EC">
            <w:pPr>
              <w:autoSpaceDE w:val="0"/>
              <w:autoSpaceDN w:val="0"/>
              <w:adjustRightInd w:val="0"/>
              <w:spacing w:line="276" w:lineRule="auto"/>
              <w:rPr>
                <w:rFonts w:ascii="Arial" w:hAnsi="Arial" w:cs="Arial"/>
                <w:sz w:val="18"/>
                <w:szCs w:val="16"/>
              </w:rPr>
            </w:pPr>
            <w:r w:rsidRPr="003202FB">
              <w:rPr>
                <w:rFonts w:ascii="Arial" w:hAnsi="Arial" w:cs="Arial"/>
                <w:sz w:val="18"/>
                <w:szCs w:val="16"/>
              </w:rPr>
              <w:t>Ingresos Corrientes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202FB" w:rsidRPr="003202FB" w:rsidRDefault="003202FB" w:rsidP="00AC30EC">
            <w:pPr>
              <w:autoSpaceDE w:val="0"/>
              <w:autoSpaceDN w:val="0"/>
              <w:adjustRightInd w:val="0"/>
              <w:spacing w:line="276" w:lineRule="auto"/>
              <w:jc w:val="center"/>
              <w:rPr>
                <w:rFonts w:ascii="Arial" w:hAnsi="Arial" w:cs="Arial"/>
                <w:sz w:val="18"/>
                <w:szCs w:val="16"/>
              </w:rPr>
            </w:pPr>
            <w:r w:rsidRPr="003202FB">
              <w:rPr>
                <w:rFonts w:ascii="Arial" w:hAnsi="Arial" w:cs="Arial"/>
                <w:sz w:val="18"/>
                <w:szCs w:val="16"/>
              </w:rPr>
              <w:t>1,014,061</w:t>
            </w:r>
          </w:p>
        </w:tc>
        <w:tc>
          <w:tcPr>
            <w:tcW w:w="1476" w:type="dxa"/>
            <w:tcBorders>
              <w:top w:val="single" w:sz="4" w:space="0" w:color="auto"/>
              <w:left w:val="single" w:sz="4" w:space="0" w:color="auto"/>
              <w:bottom w:val="single" w:sz="4" w:space="0" w:color="auto"/>
              <w:right w:val="single" w:sz="4" w:space="0" w:color="auto"/>
            </w:tcBorders>
            <w:shd w:val="clear" w:color="auto" w:fill="auto"/>
            <w:vAlign w:val="center"/>
          </w:tcPr>
          <w:p w:rsidR="003202FB" w:rsidRPr="003202FB" w:rsidRDefault="00C00F5A" w:rsidP="00AC30EC">
            <w:pPr>
              <w:autoSpaceDE w:val="0"/>
              <w:autoSpaceDN w:val="0"/>
              <w:adjustRightInd w:val="0"/>
              <w:spacing w:line="276" w:lineRule="auto"/>
              <w:jc w:val="center"/>
              <w:rPr>
                <w:rFonts w:ascii="Arial" w:hAnsi="Arial" w:cs="Arial"/>
                <w:sz w:val="18"/>
                <w:szCs w:val="16"/>
              </w:rPr>
            </w:pPr>
            <w:r>
              <w:rPr>
                <w:rFonts w:ascii="Arial" w:hAnsi="Arial" w:cs="Arial"/>
                <w:sz w:val="18"/>
                <w:szCs w:val="16"/>
              </w:rPr>
              <w:t>-</w:t>
            </w:r>
            <w:r w:rsidR="00C52F8A">
              <w:rPr>
                <w:rFonts w:ascii="Arial" w:hAnsi="Arial" w:cs="Arial"/>
                <w:sz w:val="18"/>
                <w:szCs w:val="16"/>
              </w:rPr>
              <w:t>239.276</w:t>
            </w:r>
          </w:p>
        </w:tc>
        <w:tc>
          <w:tcPr>
            <w:tcW w:w="1242" w:type="dxa"/>
            <w:tcBorders>
              <w:top w:val="single" w:sz="4" w:space="0" w:color="auto"/>
              <w:left w:val="single" w:sz="4" w:space="0" w:color="auto"/>
              <w:bottom w:val="single" w:sz="4" w:space="0" w:color="auto"/>
              <w:right w:val="single" w:sz="4" w:space="0" w:color="auto"/>
            </w:tcBorders>
            <w:shd w:val="clear" w:color="auto" w:fill="auto"/>
            <w:vAlign w:val="center"/>
          </w:tcPr>
          <w:p w:rsidR="003202FB" w:rsidRPr="003202FB" w:rsidRDefault="00C52F8A" w:rsidP="00AC30EC">
            <w:pPr>
              <w:autoSpaceDE w:val="0"/>
              <w:autoSpaceDN w:val="0"/>
              <w:adjustRightInd w:val="0"/>
              <w:spacing w:line="276" w:lineRule="auto"/>
              <w:jc w:val="center"/>
              <w:rPr>
                <w:rFonts w:ascii="Arial" w:hAnsi="Arial" w:cs="Arial"/>
                <w:sz w:val="18"/>
                <w:szCs w:val="16"/>
              </w:rPr>
            </w:pPr>
            <w:r>
              <w:rPr>
                <w:rFonts w:ascii="Arial" w:hAnsi="Arial" w:cs="Arial"/>
                <w:sz w:val="18"/>
                <w:szCs w:val="16"/>
              </w:rPr>
              <w:t>774.786</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rsidR="003202FB" w:rsidRPr="003202FB" w:rsidRDefault="00C52F8A" w:rsidP="00AC30EC">
            <w:pPr>
              <w:autoSpaceDE w:val="0"/>
              <w:autoSpaceDN w:val="0"/>
              <w:adjustRightInd w:val="0"/>
              <w:spacing w:line="276" w:lineRule="auto"/>
              <w:jc w:val="center"/>
              <w:rPr>
                <w:rFonts w:ascii="Arial" w:hAnsi="Arial" w:cs="Arial"/>
                <w:sz w:val="18"/>
                <w:szCs w:val="16"/>
              </w:rPr>
            </w:pPr>
            <w:r>
              <w:rPr>
                <w:rFonts w:ascii="Arial" w:hAnsi="Arial" w:cs="Arial"/>
                <w:sz w:val="18"/>
                <w:szCs w:val="16"/>
              </w:rPr>
              <w:t>643.168</w:t>
            </w:r>
          </w:p>
        </w:tc>
        <w:tc>
          <w:tcPr>
            <w:tcW w:w="1255" w:type="dxa"/>
            <w:tcBorders>
              <w:top w:val="single" w:sz="4" w:space="0" w:color="auto"/>
              <w:left w:val="single" w:sz="4" w:space="0" w:color="auto"/>
              <w:bottom w:val="single" w:sz="4" w:space="0" w:color="auto"/>
              <w:right w:val="single" w:sz="4" w:space="0" w:color="auto"/>
            </w:tcBorders>
            <w:shd w:val="clear" w:color="auto" w:fill="auto"/>
            <w:vAlign w:val="center"/>
          </w:tcPr>
          <w:p w:rsidR="003202FB" w:rsidRPr="003202FB" w:rsidRDefault="00C52F8A" w:rsidP="00AC30EC">
            <w:pPr>
              <w:autoSpaceDE w:val="0"/>
              <w:autoSpaceDN w:val="0"/>
              <w:adjustRightInd w:val="0"/>
              <w:spacing w:line="276" w:lineRule="auto"/>
              <w:jc w:val="center"/>
              <w:rPr>
                <w:rFonts w:ascii="Arial" w:hAnsi="Arial" w:cs="Arial"/>
                <w:sz w:val="18"/>
                <w:szCs w:val="16"/>
              </w:rPr>
            </w:pPr>
            <w:r>
              <w:rPr>
                <w:rFonts w:ascii="Arial" w:hAnsi="Arial" w:cs="Arial"/>
                <w:sz w:val="18"/>
                <w:szCs w:val="16"/>
              </w:rPr>
              <w:t>83.01</w:t>
            </w:r>
          </w:p>
        </w:tc>
      </w:tr>
      <w:tr w:rsidR="003202FB" w:rsidRPr="003202FB" w:rsidTr="00AC30EC">
        <w:trPr>
          <w:trHeight w:val="315"/>
          <w:jc w:val="center"/>
        </w:trPr>
        <w:tc>
          <w:tcPr>
            <w:tcW w:w="2279" w:type="dxa"/>
            <w:tcBorders>
              <w:top w:val="single" w:sz="4" w:space="0" w:color="auto"/>
              <w:left w:val="single" w:sz="4" w:space="0" w:color="auto"/>
              <w:bottom w:val="single" w:sz="4" w:space="0" w:color="auto"/>
              <w:right w:val="single" w:sz="4" w:space="0" w:color="auto"/>
            </w:tcBorders>
            <w:shd w:val="clear" w:color="auto" w:fill="auto"/>
            <w:vAlign w:val="center"/>
          </w:tcPr>
          <w:p w:rsidR="003202FB" w:rsidRPr="003202FB" w:rsidRDefault="003202FB" w:rsidP="00AC30EC">
            <w:pPr>
              <w:autoSpaceDE w:val="0"/>
              <w:autoSpaceDN w:val="0"/>
              <w:adjustRightInd w:val="0"/>
              <w:spacing w:line="276" w:lineRule="auto"/>
              <w:rPr>
                <w:rFonts w:ascii="Arial" w:hAnsi="Arial" w:cs="Arial"/>
                <w:sz w:val="18"/>
                <w:szCs w:val="16"/>
              </w:rPr>
            </w:pPr>
            <w:r w:rsidRPr="003202FB">
              <w:rPr>
                <w:rFonts w:ascii="Arial" w:hAnsi="Arial" w:cs="Arial"/>
                <w:sz w:val="18"/>
                <w:szCs w:val="16"/>
              </w:rPr>
              <w:t>Recursos de Capital</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202FB" w:rsidRPr="003202FB" w:rsidRDefault="003202FB" w:rsidP="00AC30EC">
            <w:pPr>
              <w:autoSpaceDE w:val="0"/>
              <w:autoSpaceDN w:val="0"/>
              <w:adjustRightInd w:val="0"/>
              <w:spacing w:line="276" w:lineRule="auto"/>
              <w:jc w:val="center"/>
              <w:rPr>
                <w:rFonts w:ascii="Arial" w:hAnsi="Arial" w:cs="Arial"/>
                <w:sz w:val="18"/>
                <w:szCs w:val="16"/>
              </w:rPr>
            </w:pPr>
            <w:r w:rsidRPr="003202FB">
              <w:rPr>
                <w:rFonts w:ascii="Arial" w:hAnsi="Arial" w:cs="Arial"/>
                <w:sz w:val="18"/>
                <w:szCs w:val="16"/>
              </w:rPr>
              <w:t>359,419</w:t>
            </w:r>
          </w:p>
        </w:tc>
        <w:tc>
          <w:tcPr>
            <w:tcW w:w="1476" w:type="dxa"/>
            <w:tcBorders>
              <w:top w:val="single" w:sz="4" w:space="0" w:color="auto"/>
              <w:left w:val="single" w:sz="4" w:space="0" w:color="auto"/>
              <w:bottom w:val="single" w:sz="4" w:space="0" w:color="auto"/>
              <w:right w:val="single" w:sz="4" w:space="0" w:color="auto"/>
            </w:tcBorders>
            <w:shd w:val="clear" w:color="auto" w:fill="auto"/>
            <w:vAlign w:val="center"/>
          </w:tcPr>
          <w:p w:rsidR="003202FB" w:rsidRPr="003202FB" w:rsidRDefault="00C00F5A" w:rsidP="00AC30EC">
            <w:pPr>
              <w:autoSpaceDE w:val="0"/>
              <w:autoSpaceDN w:val="0"/>
              <w:adjustRightInd w:val="0"/>
              <w:spacing w:line="276" w:lineRule="auto"/>
              <w:jc w:val="center"/>
              <w:rPr>
                <w:rFonts w:ascii="Arial" w:hAnsi="Arial" w:cs="Arial"/>
                <w:sz w:val="18"/>
                <w:szCs w:val="16"/>
              </w:rPr>
            </w:pPr>
            <w:r>
              <w:rPr>
                <w:rFonts w:ascii="Arial" w:hAnsi="Arial" w:cs="Arial"/>
                <w:sz w:val="18"/>
                <w:szCs w:val="16"/>
              </w:rPr>
              <w:t>-1,692</w:t>
            </w:r>
          </w:p>
        </w:tc>
        <w:tc>
          <w:tcPr>
            <w:tcW w:w="1242" w:type="dxa"/>
            <w:tcBorders>
              <w:top w:val="single" w:sz="4" w:space="0" w:color="auto"/>
              <w:left w:val="single" w:sz="4" w:space="0" w:color="auto"/>
              <w:bottom w:val="single" w:sz="4" w:space="0" w:color="auto"/>
              <w:right w:val="single" w:sz="4" w:space="0" w:color="auto"/>
            </w:tcBorders>
            <w:shd w:val="clear" w:color="auto" w:fill="auto"/>
            <w:vAlign w:val="center"/>
          </w:tcPr>
          <w:p w:rsidR="003202FB" w:rsidRPr="003202FB" w:rsidRDefault="00C00F5A" w:rsidP="00AC30EC">
            <w:pPr>
              <w:autoSpaceDE w:val="0"/>
              <w:autoSpaceDN w:val="0"/>
              <w:adjustRightInd w:val="0"/>
              <w:spacing w:line="276" w:lineRule="auto"/>
              <w:jc w:val="center"/>
              <w:rPr>
                <w:rFonts w:ascii="Arial" w:hAnsi="Arial" w:cs="Arial"/>
                <w:sz w:val="18"/>
                <w:szCs w:val="16"/>
              </w:rPr>
            </w:pPr>
            <w:r>
              <w:rPr>
                <w:rFonts w:ascii="Arial" w:hAnsi="Arial" w:cs="Arial"/>
                <w:sz w:val="18"/>
                <w:szCs w:val="16"/>
              </w:rPr>
              <w:t>357,727</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rsidR="003202FB" w:rsidRPr="003202FB" w:rsidRDefault="00C00F5A" w:rsidP="00AC30EC">
            <w:pPr>
              <w:autoSpaceDE w:val="0"/>
              <w:autoSpaceDN w:val="0"/>
              <w:adjustRightInd w:val="0"/>
              <w:spacing w:line="276" w:lineRule="auto"/>
              <w:jc w:val="center"/>
              <w:rPr>
                <w:rFonts w:ascii="Arial" w:hAnsi="Arial" w:cs="Arial"/>
                <w:sz w:val="18"/>
                <w:szCs w:val="16"/>
              </w:rPr>
            </w:pPr>
            <w:r>
              <w:rPr>
                <w:rFonts w:ascii="Arial" w:hAnsi="Arial" w:cs="Arial"/>
                <w:sz w:val="18"/>
                <w:szCs w:val="16"/>
              </w:rPr>
              <w:t>374,829</w:t>
            </w:r>
          </w:p>
        </w:tc>
        <w:tc>
          <w:tcPr>
            <w:tcW w:w="1255" w:type="dxa"/>
            <w:tcBorders>
              <w:top w:val="single" w:sz="4" w:space="0" w:color="auto"/>
              <w:left w:val="single" w:sz="4" w:space="0" w:color="auto"/>
              <w:bottom w:val="single" w:sz="4" w:space="0" w:color="auto"/>
              <w:right w:val="single" w:sz="4" w:space="0" w:color="auto"/>
            </w:tcBorders>
            <w:shd w:val="clear" w:color="auto" w:fill="auto"/>
            <w:vAlign w:val="center"/>
          </w:tcPr>
          <w:p w:rsidR="003202FB" w:rsidRPr="003202FB" w:rsidRDefault="00C00F5A" w:rsidP="00AC30EC">
            <w:pPr>
              <w:autoSpaceDE w:val="0"/>
              <w:autoSpaceDN w:val="0"/>
              <w:adjustRightInd w:val="0"/>
              <w:spacing w:line="276" w:lineRule="auto"/>
              <w:jc w:val="center"/>
              <w:rPr>
                <w:rFonts w:ascii="Arial" w:hAnsi="Arial" w:cs="Arial"/>
                <w:sz w:val="18"/>
                <w:szCs w:val="16"/>
              </w:rPr>
            </w:pPr>
            <w:r>
              <w:rPr>
                <w:rFonts w:ascii="Arial" w:hAnsi="Arial" w:cs="Arial"/>
                <w:sz w:val="18"/>
                <w:szCs w:val="16"/>
              </w:rPr>
              <w:t>104.78</w:t>
            </w:r>
          </w:p>
        </w:tc>
      </w:tr>
      <w:tr w:rsidR="003202FB" w:rsidRPr="003202FB" w:rsidTr="00AC30EC">
        <w:trPr>
          <w:trHeight w:val="362"/>
          <w:jc w:val="center"/>
        </w:trPr>
        <w:tc>
          <w:tcPr>
            <w:tcW w:w="2279" w:type="dxa"/>
            <w:tcBorders>
              <w:top w:val="single" w:sz="4" w:space="0" w:color="auto"/>
              <w:left w:val="single" w:sz="4" w:space="0" w:color="auto"/>
              <w:bottom w:val="single" w:sz="4" w:space="0" w:color="auto"/>
              <w:right w:val="single" w:sz="4" w:space="0" w:color="auto"/>
            </w:tcBorders>
            <w:shd w:val="clear" w:color="auto" w:fill="auto"/>
            <w:vAlign w:val="center"/>
          </w:tcPr>
          <w:p w:rsidR="003202FB" w:rsidRPr="003202FB" w:rsidRDefault="003202FB" w:rsidP="00AC30EC">
            <w:pPr>
              <w:autoSpaceDE w:val="0"/>
              <w:autoSpaceDN w:val="0"/>
              <w:adjustRightInd w:val="0"/>
              <w:spacing w:line="276" w:lineRule="auto"/>
              <w:rPr>
                <w:rFonts w:ascii="Arial" w:hAnsi="Arial" w:cs="Arial"/>
                <w:sz w:val="18"/>
                <w:szCs w:val="16"/>
              </w:rPr>
            </w:pPr>
            <w:bookmarkStart w:id="10" w:name="_Hlk26954547"/>
            <w:r w:rsidRPr="003202FB">
              <w:rPr>
                <w:rFonts w:ascii="Arial" w:hAnsi="Arial" w:cs="Arial"/>
                <w:sz w:val="18"/>
                <w:szCs w:val="16"/>
              </w:rPr>
              <w:t>Transferencias Administración Central</w:t>
            </w:r>
            <w:bookmarkEnd w:id="10"/>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202FB" w:rsidRPr="003202FB" w:rsidRDefault="003202FB" w:rsidP="00AC30EC">
            <w:pPr>
              <w:autoSpaceDE w:val="0"/>
              <w:autoSpaceDN w:val="0"/>
              <w:adjustRightInd w:val="0"/>
              <w:spacing w:line="276" w:lineRule="auto"/>
              <w:jc w:val="center"/>
              <w:rPr>
                <w:rFonts w:ascii="Arial" w:hAnsi="Arial" w:cs="Arial"/>
                <w:sz w:val="18"/>
                <w:szCs w:val="16"/>
              </w:rPr>
            </w:pPr>
            <w:r w:rsidRPr="003202FB">
              <w:rPr>
                <w:rFonts w:ascii="Arial" w:hAnsi="Arial" w:cs="Arial"/>
                <w:sz w:val="18"/>
                <w:szCs w:val="16"/>
              </w:rPr>
              <w:t>3,017,584</w:t>
            </w:r>
          </w:p>
        </w:tc>
        <w:tc>
          <w:tcPr>
            <w:tcW w:w="1476" w:type="dxa"/>
            <w:tcBorders>
              <w:top w:val="single" w:sz="4" w:space="0" w:color="auto"/>
              <w:left w:val="single" w:sz="4" w:space="0" w:color="auto"/>
              <w:bottom w:val="single" w:sz="4" w:space="0" w:color="auto"/>
              <w:right w:val="single" w:sz="4" w:space="0" w:color="auto"/>
            </w:tcBorders>
            <w:shd w:val="clear" w:color="auto" w:fill="auto"/>
            <w:vAlign w:val="center"/>
          </w:tcPr>
          <w:p w:rsidR="003202FB" w:rsidRPr="003202FB" w:rsidRDefault="00C00F5A" w:rsidP="00AC30EC">
            <w:pPr>
              <w:autoSpaceDE w:val="0"/>
              <w:autoSpaceDN w:val="0"/>
              <w:adjustRightInd w:val="0"/>
              <w:spacing w:line="276" w:lineRule="auto"/>
              <w:jc w:val="center"/>
              <w:rPr>
                <w:rFonts w:ascii="Arial" w:hAnsi="Arial" w:cs="Arial"/>
                <w:sz w:val="18"/>
                <w:szCs w:val="16"/>
              </w:rPr>
            </w:pPr>
            <w:r>
              <w:rPr>
                <w:rFonts w:ascii="Arial" w:hAnsi="Arial" w:cs="Arial"/>
                <w:sz w:val="18"/>
                <w:szCs w:val="16"/>
              </w:rPr>
              <w:t>-1,344,062</w:t>
            </w:r>
          </w:p>
        </w:tc>
        <w:tc>
          <w:tcPr>
            <w:tcW w:w="1242" w:type="dxa"/>
            <w:tcBorders>
              <w:top w:val="single" w:sz="4" w:space="0" w:color="auto"/>
              <w:left w:val="single" w:sz="4" w:space="0" w:color="auto"/>
              <w:bottom w:val="single" w:sz="4" w:space="0" w:color="auto"/>
              <w:right w:val="single" w:sz="4" w:space="0" w:color="auto"/>
            </w:tcBorders>
            <w:shd w:val="clear" w:color="auto" w:fill="auto"/>
            <w:vAlign w:val="center"/>
          </w:tcPr>
          <w:p w:rsidR="003202FB" w:rsidRPr="003202FB" w:rsidRDefault="00C00F5A" w:rsidP="00AC30EC">
            <w:pPr>
              <w:autoSpaceDE w:val="0"/>
              <w:autoSpaceDN w:val="0"/>
              <w:adjustRightInd w:val="0"/>
              <w:spacing w:line="276" w:lineRule="auto"/>
              <w:jc w:val="center"/>
              <w:rPr>
                <w:rFonts w:ascii="Arial" w:hAnsi="Arial" w:cs="Arial"/>
                <w:sz w:val="18"/>
                <w:szCs w:val="16"/>
              </w:rPr>
            </w:pPr>
            <w:r>
              <w:rPr>
                <w:rFonts w:ascii="Arial" w:hAnsi="Arial" w:cs="Arial"/>
                <w:sz w:val="18"/>
                <w:szCs w:val="16"/>
              </w:rPr>
              <w:t>1,673,522</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rsidR="003202FB" w:rsidRPr="003202FB" w:rsidRDefault="00244EF9" w:rsidP="00AC30EC">
            <w:pPr>
              <w:autoSpaceDE w:val="0"/>
              <w:autoSpaceDN w:val="0"/>
              <w:adjustRightInd w:val="0"/>
              <w:spacing w:line="276" w:lineRule="auto"/>
              <w:jc w:val="center"/>
              <w:rPr>
                <w:rFonts w:ascii="Arial" w:hAnsi="Arial" w:cs="Arial"/>
                <w:sz w:val="18"/>
                <w:szCs w:val="16"/>
              </w:rPr>
            </w:pPr>
            <w:r>
              <w:rPr>
                <w:rFonts w:ascii="Arial" w:hAnsi="Arial" w:cs="Arial"/>
                <w:sz w:val="18"/>
                <w:szCs w:val="16"/>
              </w:rPr>
              <w:t>444,286</w:t>
            </w:r>
          </w:p>
        </w:tc>
        <w:tc>
          <w:tcPr>
            <w:tcW w:w="1255" w:type="dxa"/>
            <w:tcBorders>
              <w:top w:val="single" w:sz="4" w:space="0" w:color="auto"/>
              <w:left w:val="single" w:sz="4" w:space="0" w:color="auto"/>
              <w:bottom w:val="single" w:sz="4" w:space="0" w:color="auto"/>
              <w:right w:val="single" w:sz="4" w:space="0" w:color="auto"/>
            </w:tcBorders>
            <w:shd w:val="clear" w:color="auto" w:fill="auto"/>
            <w:vAlign w:val="center"/>
          </w:tcPr>
          <w:p w:rsidR="003202FB" w:rsidRPr="003202FB" w:rsidRDefault="00244EF9" w:rsidP="00AC30EC">
            <w:pPr>
              <w:autoSpaceDE w:val="0"/>
              <w:autoSpaceDN w:val="0"/>
              <w:adjustRightInd w:val="0"/>
              <w:spacing w:line="276" w:lineRule="auto"/>
              <w:jc w:val="center"/>
              <w:rPr>
                <w:rFonts w:ascii="Arial" w:hAnsi="Arial" w:cs="Arial"/>
                <w:sz w:val="18"/>
                <w:szCs w:val="16"/>
              </w:rPr>
            </w:pPr>
            <w:r>
              <w:rPr>
                <w:rFonts w:ascii="Arial" w:hAnsi="Arial" w:cs="Arial"/>
                <w:sz w:val="18"/>
                <w:szCs w:val="16"/>
              </w:rPr>
              <w:t>26,55</w:t>
            </w:r>
          </w:p>
        </w:tc>
      </w:tr>
      <w:tr w:rsidR="003202FB" w:rsidRPr="003202FB" w:rsidTr="00AC30EC">
        <w:trPr>
          <w:trHeight w:val="383"/>
          <w:jc w:val="center"/>
        </w:trPr>
        <w:tc>
          <w:tcPr>
            <w:tcW w:w="227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3202FB" w:rsidRPr="003202FB" w:rsidRDefault="003202FB" w:rsidP="00AC30EC">
            <w:pPr>
              <w:autoSpaceDE w:val="0"/>
              <w:autoSpaceDN w:val="0"/>
              <w:adjustRightInd w:val="0"/>
              <w:spacing w:line="276" w:lineRule="auto"/>
              <w:rPr>
                <w:rFonts w:ascii="Arial" w:hAnsi="Arial" w:cs="Arial"/>
                <w:b/>
                <w:bCs/>
                <w:sz w:val="18"/>
                <w:szCs w:val="16"/>
              </w:rPr>
            </w:pPr>
            <w:r w:rsidRPr="003202FB">
              <w:rPr>
                <w:rFonts w:ascii="Arial" w:hAnsi="Arial" w:cs="Arial"/>
                <w:b/>
                <w:bCs/>
                <w:sz w:val="18"/>
                <w:szCs w:val="16"/>
              </w:rPr>
              <w:t>Total Rentas e Ingresos</w:t>
            </w:r>
          </w:p>
        </w:tc>
        <w:tc>
          <w:tcPr>
            <w:tcW w:w="127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3202FB" w:rsidRPr="003202FB" w:rsidRDefault="003202FB" w:rsidP="00AC30EC">
            <w:pPr>
              <w:autoSpaceDE w:val="0"/>
              <w:autoSpaceDN w:val="0"/>
              <w:adjustRightInd w:val="0"/>
              <w:spacing w:line="276" w:lineRule="auto"/>
              <w:jc w:val="center"/>
              <w:rPr>
                <w:rFonts w:ascii="Arial" w:hAnsi="Arial" w:cs="Arial"/>
                <w:b/>
                <w:bCs/>
                <w:sz w:val="18"/>
                <w:szCs w:val="16"/>
              </w:rPr>
            </w:pPr>
            <w:r w:rsidRPr="003202FB">
              <w:rPr>
                <w:rFonts w:ascii="Arial" w:hAnsi="Arial" w:cs="Arial"/>
                <w:b/>
                <w:bCs/>
                <w:sz w:val="18"/>
                <w:szCs w:val="16"/>
              </w:rPr>
              <w:t>4,391,064</w:t>
            </w:r>
          </w:p>
        </w:tc>
        <w:tc>
          <w:tcPr>
            <w:tcW w:w="147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3202FB" w:rsidRPr="00CC680B" w:rsidRDefault="00CC680B" w:rsidP="00C00F5A">
            <w:pPr>
              <w:autoSpaceDE w:val="0"/>
              <w:autoSpaceDN w:val="0"/>
              <w:adjustRightInd w:val="0"/>
              <w:spacing w:line="276" w:lineRule="auto"/>
              <w:jc w:val="center"/>
              <w:rPr>
                <w:rFonts w:ascii="Arial" w:hAnsi="Arial" w:cs="Arial"/>
                <w:b/>
                <w:bCs/>
                <w:sz w:val="18"/>
                <w:szCs w:val="16"/>
              </w:rPr>
            </w:pPr>
            <w:r w:rsidRPr="00CC680B">
              <w:rPr>
                <w:rFonts w:ascii="Arial" w:hAnsi="Arial" w:cs="Arial"/>
                <w:b/>
                <w:sz w:val="18"/>
                <w:szCs w:val="16"/>
              </w:rPr>
              <w:t>-</w:t>
            </w:r>
            <w:r w:rsidR="002D2502">
              <w:rPr>
                <w:rFonts w:ascii="Arial" w:hAnsi="Arial" w:cs="Arial"/>
                <w:b/>
                <w:sz w:val="18"/>
                <w:szCs w:val="16"/>
              </w:rPr>
              <w:t>1,5</w:t>
            </w:r>
            <w:r w:rsidR="00C00F5A">
              <w:rPr>
                <w:rFonts w:ascii="Arial" w:hAnsi="Arial" w:cs="Arial"/>
                <w:b/>
                <w:sz w:val="18"/>
                <w:szCs w:val="16"/>
              </w:rPr>
              <w:t>85,030</w:t>
            </w:r>
          </w:p>
        </w:tc>
        <w:tc>
          <w:tcPr>
            <w:tcW w:w="1242"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3202FB" w:rsidRPr="00CC680B" w:rsidRDefault="00C00F5A" w:rsidP="00AC30EC">
            <w:pPr>
              <w:autoSpaceDE w:val="0"/>
              <w:autoSpaceDN w:val="0"/>
              <w:adjustRightInd w:val="0"/>
              <w:spacing w:line="276" w:lineRule="auto"/>
              <w:jc w:val="center"/>
              <w:rPr>
                <w:rFonts w:ascii="Arial" w:hAnsi="Arial" w:cs="Arial"/>
                <w:b/>
                <w:bCs/>
                <w:sz w:val="18"/>
                <w:szCs w:val="16"/>
              </w:rPr>
            </w:pPr>
            <w:r>
              <w:rPr>
                <w:rFonts w:ascii="Arial" w:hAnsi="Arial" w:cs="Arial"/>
                <w:b/>
                <w:sz w:val="18"/>
                <w:szCs w:val="16"/>
              </w:rPr>
              <w:t>2,806,035</w:t>
            </w:r>
          </w:p>
        </w:tc>
        <w:tc>
          <w:tcPr>
            <w:tcW w:w="1332"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3202FB" w:rsidRPr="00CC680B" w:rsidRDefault="00244EF9" w:rsidP="00AC30EC">
            <w:pPr>
              <w:autoSpaceDE w:val="0"/>
              <w:autoSpaceDN w:val="0"/>
              <w:adjustRightInd w:val="0"/>
              <w:spacing w:line="276" w:lineRule="auto"/>
              <w:jc w:val="center"/>
              <w:rPr>
                <w:rFonts w:ascii="Arial" w:hAnsi="Arial" w:cs="Arial"/>
                <w:b/>
                <w:bCs/>
                <w:sz w:val="18"/>
                <w:szCs w:val="16"/>
              </w:rPr>
            </w:pPr>
            <w:r>
              <w:rPr>
                <w:rFonts w:ascii="Arial" w:hAnsi="Arial" w:cs="Arial"/>
                <w:b/>
                <w:sz w:val="18"/>
                <w:szCs w:val="16"/>
              </w:rPr>
              <w:t>1,462,283</w:t>
            </w:r>
          </w:p>
        </w:tc>
        <w:tc>
          <w:tcPr>
            <w:tcW w:w="125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3202FB" w:rsidRPr="003202FB" w:rsidRDefault="00244EF9" w:rsidP="00AC30EC">
            <w:pPr>
              <w:autoSpaceDE w:val="0"/>
              <w:autoSpaceDN w:val="0"/>
              <w:adjustRightInd w:val="0"/>
              <w:spacing w:line="276" w:lineRule="auto"/>
              <w:jc w:val="center"/>
              <w:rPr>
                <w:rFonts w:ascii="Arial" w:hAnsi="Arial" w:cs="Arial"/>
                <w:b/>
                <w:bCs/>
                <w:sz w:val="18"/>
                <w:szCs w:val="16"/>
              </w:rPr>
            </w:pPr>
            <w:r>
              <w:rPr>
                <w:rFonts w:ascii="Arial" w:hAnsi="Arial" w:cs="Arial"/>
                <w:b/>
                <w:bCs/>
                <w:sz w:val="18"/>
                <w:szCs w:val="16"/>
              </w:rPr>
              <w:t>52,11</w:t>
            </w:r>
          </w:p>
        </w:tc>
      </w:tr>
    </w:tbl>
    <w:p w:rsidR="003202FB" w:rsidRPr="003202FB" w:rsidRDefault="003202FB" w:rsidP="003202FB">
      <w:pPr>
        <w:autoSpaceDE w:val="0"/>
        <w:autoSpaceDN w:val="0"/>
        <w:adjustRightInd w:val="0"/>
        <w:spacing w:line="276" w:lineRule="auto"/>
        <w:ind w:right="-1225"/>
        <w:jc w:val="center"/>
        <w:rPr>
          <w:rFonts w:ascii="Arial" w:hAnsi="Arial" w:cs="Arial"/>
          <w:sz w:val="20"/>
          <w:szCs w:val="20"/>
        </w:rPr>
      </w:pPr>
      <w:r w:rsidRPr="003202FB">
        <w:rPr>
          <w:rFonts w:ascii="Arial" w:hAnsi="Arial" w:cs="Arial"/>
          <w:sz w:val="20"/>
          <w:szCs w:val="20"/>
        </w:rPr>
        <w:t>Cifras en Millones de Pesos</w:t>
      </w:r>
    </w:p>
    <w:p w:rsidR="003202FB" w:rsidRPr="003202FB" w:rsidRDefault="003202FB" w:rsidP="003202FB">
      <w:pPr>
        <w:spacing w:line="276" w:lineRule="auto"/>
        <w:contextualSpacing/>
        <w:jc w:val="center"/>
        <w:rPr>
          <w:rFonts w:ascii="Arial" w:hAnsi="Arial" w:cs="Arial"/>
          <w:sz w:val="20"/>
          <w:szCs w:val="20"/>
        </w:rPr>
      </w:pPr>
      <w:r w:rsidRPr="003202FB">
        <w:rPr>
          <w:rFonts w:ascii="Arial" w:hAnsi="Arial" w:cs="Arial"/>
          <w:sz w:val="20"/>
          <w:szCs w:val="20"/>
        </w:rPr>
        <w:t xml:space="preserve">Fuente: Ejecución de Ingresos y Gastos -PREDIS- </w:t>
      </w:r>
      <w:r w:rsidR="00072018">
        <w:rPr>
          <w:rFonts w:ascii="Arial" w:hAnsi="Arial" w:cs="Arial"/>
          <w:sz w:val="20"/>
          <w:szCs w:val="20"/>
        </w:rPr>
        <w:t>diciembre</w:t>
      </w:r>
      <w:r w:rsidRPr="003202FB">
        <w:rPr>
          <w:rFonts w:ascii="Arial" w:hAnsi="Arial" w:cs="Arial"/>
          <w:sz w:val="20"/>
          <w:szCs w:val="20"/>
        </w:rPr>
        <w:t xml:space="preserve"> 3</w:t>
      </w:r>
      <w:r w:rsidR="00AE0EB1">
        <w:rPr>
          <w:rFonts w:ascii="Arial" w:hAnsi="Arial" w:cs="Arial"/>
          <w:sz w:val="20"/>
          <w:szCs w:val="20"/>
        </w:rPr>
        <w:t>1</w:t>
      </w:r>
      <w:r w:rsidRPr="003202FB">
        <w:rPr>
          <w:rFonts w:ascii="Arial" w:hAnsi="Arial" w:cs="Arial"/>
          <w:sz w:val="20"/>
          <w:szCs w:val="20"/>
        </w:rPr>
        <w:t>-2019</w:t>
      </w:r>
    </w:p>
    <w:p w:rsidR="003202FB" w:rsidRPr="003202FB" w:rsidRDefault="003202FB" w:rsidP="003202FB">
      <w:pPr>
        <w:spacing w:line="276" w:lineRule="auto"/>
        <w:contextualSpacing/>
        <w:rPr>
          <w:rFonts w:ascii="Arial" w:hAnsi="Arial" w:cs="Arial"/>
        </w:rPr>
      </w:pPr>
    </w:p>
    <w:p w:rsidR="003202FB" w:rsidRPr="0011592F" w:rsidRDefault="003202FB" w:rsidP="00A85ED4">
      <w:pPr>
        <w:spacing w:line="276" w:lineRule="auto"/>
        <w:contextualSpacing/>
        <w:jc w:val="both"/>
        <w:rPr>
          <w:rFonts w:ascii="Arial" w:hAnsi="Arial" w:cs="Arial"/>
        </w:rPr>
      </w:pPr>
      <w:r w:rsidRPr="0011592F">
        <w:rPr>
          <w:rFonts w:ascii="Arial" w:hAnsi="Arial" w:cs="Arial"/>
        </w:rPr>
        <w:lastRenderedPageBreak/>
        <w:t>Para la vigencia fiscal 2019 se tiene un presupuesto vigente de Rentas e Ingresos por $</w:t>
      </w:r>
      <w:r w:rsidR="00742E04" w:rsidRPr="0011592F">
        <w:rPr>
          <w:rFonts w:ascii="Arial" w:hAnsi="Arial" w:cs="Arial"/>
        </w:rPr>
        <w:t>4,391,064 millones.</w:t>
      </w:r>
    </w:p>
    <w:p w:rsidR="00742E04" w:rsidRPr="003202FB" w:rsidRDefault="00742E04" w:rsidP="00A85ED4">
      <w:pPr>
        <w:spacing w:line="276" w:lineRule="auto"/>
        <w:contextualSpacing/>
        <w:jc w:val="both"/>
        <w:rPr>
          <w:rFonts w:ascii="Arial" w:hAnsi="Arial" w:cs="Arial"/>
        </w:rPr>
      </w:pPr>
    </w:p>
    <w:p w:rsidR="003202FB" w:rsidRDefault="003202FB" w:rsidP="00A85ED4">
      <w:pPr>
        <w:spacing w:line="276" w:lineRule="auto"/>
        <w:contextualSpacing/>
        <w:jc w:val="both"/>
        <w:rPr>
          <w:rFonts w:ascii="Arial" w:hAnsi="Arial" w:cs="Arial"/>
        </w:rPr>
      </w:pPr>
      <w:r w:rsidRPr="003202FB">
        <w:rPr>
          <w:rFonts w:ascii="Arial" w:hAnsi="Arial" w:cs="Arial"/>
        </w:rPr>
        <w:t xml:space="preserve">De acuerdo </w:t>
      </w:r>
      <w:r w:rsidR="00A85ED4">
        <w:rPr>
          <w:rFonts w:ascii="Arial" w:hAnsi="Arial" w:cs="Arial"/>
        </w:rPr>
        <w:t>con el</w:t>
      </w:r>
      <w:r w:rsidRPr="003202FB">
        <w:rPr>
          <w:rFonts w:ascii="Arial" w:hAnsi="Arial" w:cs="Arial"/>
        </w:rPr>
        <w:t xml:space="preserve"> cuadro anterior, se tiene proyectado recaudar $1.373</w:t>
      </w:r>
      <w:r w:rsidR="00742E04">
        <w:rPr>
          <w:rFonts w:ascii="Arial" w:hAnsi="Arial" w:cs="Arial"/>
        </w:rPr>
        <w:t>.</w:t>
      </w:r>
      <w:r w:rsidRPr="003202FB">
        <w:rPr>
          <w:rFonts w:ascii="Arial" w:hAnsi="Arial" w:cs="Arial"/>
        </w:rPr>
        <w:t>480 millones por Ingresos Corrientes y de Capital para la vigencia 2019; estas sumas serán recaudadas por concepto de convenios interadministrativos, contribuciones por valorización, participaciones, cruce de cuentas con empresas y multas; en cuanto a las transferencias  distritales, son  recursos que la Secretaría Distrital de Hacienda gira al Instituto de Desarrollo Urbano como aportes para la ejecución de proyectos de Inversión y financiación de los gastos de funcionamiento.</w:t>
      </w:r>
    </w:p>
    <w:p w:rsidR="00742E04" w:rsidRPr="003202FB" w:rsidRDefault="00742E04" w:rsidP="00A85ED4">
      <w:pPr>
        <w:spacing w:line="276" w:lineRule="auto"/>
        <w:contextualSpacing/>
        <w:jc w:val="both"/>
        <w:rPr>
          <w:rFonts w:ascii="Arial" w:hAnsi="Arial" w:cs="Arial"/>
        </w:rPr>
      </w:pPr>
    </w:p>
    <w:p w:rsidR="003202FB" w:rsidRPr="00651D94" w:rsidRDefault="003202FB" w:rsidP="00A85ED4">
      <w:pPr>
        <w:spacing w:line="276" w:lineRule="auto"/>
        <w:contextualSpacing/>
        <w:jc w:val="both"/>
        <w:rPr>
          <w:rFonts w:ascii="Arial" w:hAnsi="Arial" w:cs="Arial"/>
        </w:rPr>
      </w:pPr>
      <w:r w:rsidRPr="00651D94">
        <w:rPr>
          <w:rFonts w:ascii="Arial" w:hAnsi="Arial" w:cs="Arial"/>
        </w:rPr>
        <w:t xml:space="preserve">La ejecución de ingresos a </w:t>
      </w:r>
      <w:r w:rsidR="00072018" w:rsidRPr="00651D94">
        <w:rPr>
          <w:rFonts w:ascii="Arial" w:hAnsi="Arial" w:cs="Arial"/>
        </w:rPr>
        <w:t>diciembre</w:t>
      </w:r>
      <w:r w:rsidRPr="00651D94">
        <w:rPr>
          <w:rFonts w:ascii="Arial" w:hAnsi="Arial" w:cs="Arial"/>
        </w:rPr>
        <w:t xml:space="preserve"> 3</w:t>
      </w:r>
      <w:r w:rsidR="00AE0EB1" w:rsidRPr="00651D94">
        <w:rPr>
          <w:rFonts w:ascii="Arial" w:hAnsi="Arial" w:cs="Arial"/>
        </w:rPr>
        <w:t>1</w:t>
      </w:r>
      <w:r w:rsidRPr="00651D94">
        <w:rPr>
          <w:rFonts w:ascii="Arial" w:hAnsi="Arial" w:cs="Arial"/>
        </w:rPr>
        <w:t xml:space="preserve"> de 2019, muestra un porcentaje del </w:t>
      </w:r>
      <w:r w:rsidR="00436C46" w:rsidRPr="00651D94">
        <w:rPr>
          <w:rFonts w:ascii="Arial" w:hAnsi="Arial" w:cs="Arial"/>
        </w:rPr>
        <w:t>89.89</w:t>
      </w:r>
      <w:r w:rsidRPr="00651D94">
        <w:rPr>
          <w:rFonts w:ascii="Arial" w:hAnsi="Arial" w:cs="Arial"/>
        </w:rPr>
        <w:t>% de recaudo, donde los ingresos corrientes tuvieron una captación de recursos equivalentes a $</w:t>
      </w:r>
      <w:r w:rsidR="0011592F" w:rsidRPr="00651D94">
        <w:rPr>
          <w:rFonts w:ascii="Arial" w:hAnsi="Arial" w:cs="Arial"/>
        </w:rPr>
        <w:t>579.965</w:t>
      </w:r>
      <w:r w:rsidRPr="00651D94">
        <w:rPr>
          <w:rFonts w:ascii="Arial" w:hAnsi="Arial" w:cs="Arial"/>
        </w:rPr>
        <w:t xml:space="preserve"> millones, generados por el recaudo de </w:t>
      </w:r>
      <w:r w:rsidR="0011592F" w:rsidRPr="00651D94">
        <w:rPr>
          <w:rFonts w:ascii="Arial" w:hAnsi="Arial" w:cs="Arial"/>
        </w:rPr>
        <w:t>la Contribución de Valorización.</w:t>
      </w:r>
    </w:p>
    <w:p w:rsidR="003202FB" w:rsidRPr="00651D94" w:rsidRDefault="003202FB" w:rsidP="00A85ED4">
      <w:pPr>
        <w:spacing w:line="276" w:lineRule="auto"/>
        <w:contextualSpacing/>
        <w:jc w:val="both"/>
        <w:rPr>
          <w:rFonts w:ascii="Arial" w:hAnsi="Arial" w:cs="Arial"/>
        </w:rPr>
      </w:pPr>
    </w:p>
    <w:p w:rsidR="003202FB" w:rsidRPr="003202FB" w:rsidRDefault="003202FB" w:rsidP="00A85ED4">
      <w:pPr>
        <w:spacing w:line="276" w:lineRule="auto"/>
        <w:jc w:val="both"/>
        <w:rPr>
          <w:rFonts w:ascii="Arial" w:hAnsi="Arial" w:cs="Arial"/>
        </w:rPr>
      </w:pPr>
      <w:r w:rsidRPr="00651D94">
        <w:rPr>
          <w:rFonts w:ascii="Arial" w:hAnsi="Arial" w:cs="Arial"/>
        </w:rPr>
        <w:t>Los Recursos de Capital presentan una ejecución del 1</w:t>
      </w:r>
      <w:r w:rsidR="00955527" w:rsidRPr="00651D94">
        <w:rPr>
          <w:rFonts w:ascii="Arial" w:hAnsi="Arial" w:cs="Arial"/>
        </w:rPr>
        <w:t>04</w:t>
      </w:r>
      <w:r w:rsidRPr="00651D94">
        <w:rPr>
          <w:rFonts w:ascii="Arial" w:hAnsi="Arial" w:cs="Arial"/>
        </w:rPr>
        <w:t>.</w:t>
      </w:r>
      <w:r w:rsidR="00955527" w:rsidRPr="00651D94">
        <w:rPr>
          <w:rFonts w:ascii="Arial" w:hAnsi="Arial" w:cs="Arial"/>
        </w:rPr>
        <w:t>78</w:t>
      </w:r>
      <w:r w:rsidRPr="00651D94">
        <w:rPr>
          <w:rFonts w:ascii="Arial" w:hAnsi="Arial" w:cs="Arial"/>
        </w:rPr>
        <w:t>% equivalentes a $370.195 millones sobre una apropiación de $</w:t>
      </w:r>
      <w:r w:rsidR="00955527" w:rsidRPr="00651D94">
        <w:rPr>
          <w:rFonts w:ascii="Arial" w:hAnsi="Arial" w:cs="Arial"/>
        </w:rPr>
        <w:t>374.829</w:t>
      </w:r>
      <w:r w:rsidRPr="00651D94">
        <w:rPr>
          <w:rFonts w:ascii="Arial" w:hAnsi="Arial" w:cs="Arial"/>
        </w:rPr>
        <w:t xml:space="preserve"> millones; los Rendimientos por operaciones financieras tiene una apropiación de $</w:t>
      </w:r>
      <w:r w:rsidR="00955527" w:rsidRPr="00651D94">
        <w:rPr>
          <w:rFonts w:ascii="Arial" w:hAnsi="Arial" w:cs="Arial"/>
        </w:rPr>
        <w:t>39.138</w:t>
      </w:r>
      <w:r w:rsidRPr="00651D94">
        <w:rPr>
          <w:rFonts w:ascii="Arial" w:hAnsi="Arial" w:cs="Arial"/>
        </w:rPr>
        <w:t xml:space="preserve"> millones, con una ejecución del </w:t>
      </w:r>
      <w:r w:rsidR="00955527" w:rsidRPr="00651D94">
        <w:rPr>
          <w:rFonts w:ascii="Arial" w:hAnsi="Arial" w:cs="Arial"/>
        </w:rPr>
        <w:t>196.16</w:t>
      </w:r>
      <w:r w:rsidRPr="00651D94">
        <w:rPr>
          <w:rFonts w:ascii="Arial" w:hAnsi="Arial" w:cs="Arial"/>
        </w:rPr>
        <w:t>% por ingresos que hacen referencia a los réditos que se obtienen por la colocación temporal de los recursos provenientes de las valorizaciones y de otras fuentes de destinación específica.</w:t>
      </w:r>
    </w:p>
    <w:p w:rsidR="00072018" w:rsidRDefault="00072018" w:rsidP="00101AB3">
      <w:pPr>
        <w:autoSpaceDE w:val="0"/>
        <w:autoSpaceDN w:val="0"/>
        <w:adjustRightInd w:val="0"/>
        <w:jc w:val="center"/>
        <w:rPr>
          <w:rFonts w:ascii="Arial" w:eastAsia="Times New Roman" w:hAnsi="Arial" w:cs="Arial"/>
          <w:b/>
        </w:rPr>
      </w:pPr>
    </w:p>
    <w:p w:rsidR="00101AB3" w:rsidRPr="006F090F" w:rsidRDefault="00101AB3" w:rsidP="00101AB3">
      <w:pPr>
        <w:autoSpaceDE w:val="0"/>
        <w:autoSpaceDN w:val="0"/>
        <w:adjustRightInd w:val="0"/>
        <w:jc w:val="center"/>
        <w:rPr>
          <w:rFonts w:ascii="Arial" w:eastAsia="Times New Roman" w:hAnsi="Arial" w:cs="Arial"/>
          <w:b/>
        </w:rPr>
      </w:pPr>
      <w:r w:rsidRPr="006F090F">
        <w:rPr>
          <w:rFonts w:ascii="Arial" w:eastAsia="Times New Roman" w:hAnsi="Arial" w:cs="Arial"/>
          <w:b/>
        </w:rPr>
        <w:t>Presupuesto de inversión</w:t>
      </w:r>
    </w:p>
    <w:p w:rsidR="00101AB3" w:rsidRPr="006F090F" w:rsidRDefault="00101AB3" w:rsidP="0062711D">
      <w:pPr>
        <w:autoSpaceDE w:val="0"/>
        <w:autoSpaceDN w:val="0"/>
        <w:adjustRightInd w:val="0"/>
        <w:jc w:val="center"/>
        <w:rPr>
          <w:rFonts w:ascii="Arial" w:eastAsia="Times New Roman" w:hAnsi="Arial" w:cs="Arial"/>
          <w:b/>
        </w:rPr>
      </w:pPr>
      <w:r w:rsidRPr="006F090F">
        <w:rPr>
          <w:rFonts w:ascii="Arial" w:eastAsia="Times New Roman" w:hAnsi="Arial" w:cs="Arial"/>
          <w:b/>
        </w:rPr>
        <w:t>Proyectos de inversión</w:t>
      </w:r>
    </w:p>
    <w:p w:rsidR="005208E2" w:rsidRPr="006B1822" w:rsidRDefault="00101AB3" w:rsidP="006B1822">
      <w:pPr>
        <w:pStyle w:val="Descripcin"/>
        <w:keepNext/>
        <w:spacing w:after="0"/>
        <w:ind w:left="720"/>
        <w:jc w:val="center"/>
        <w:rPr>
          <w:rFonts w:ascii="Arial" w:hAnsi="Arial" w:cs="Arial"/>
          <w:color w:val="auto"/>
          <w:sz w:val="20"/>
          <w:szCs w:val="20"/>
        </w:rPr>
      </w:pPr>
      <w:bookmarkStart w:id="11" w:name="_Toc23148081"/>
      <w:r w:rsidRPr="007E08C5">
        <w:rPr>
          <w:rFonts w:ascii="Arial" w:hAnsi="Arial" w:cs="Arial"/>
          <w:color w:val="auto"/>
          <w:sz w:val="20"/>
          <w:szCs w:val="20"/>
        </w:rPr>
        <w:t>Proyectos de inversión 2019</w:t>
      </w:r>
      <w:bookmarkEnd w:id="11"/>
    </w:p>
    <w:p w:rsidR="00101AB3" w:rsidRPr="006B1822" w:rsidRDefault="005208E2" w:rsidP="006B1822">
      <w:pPr>
        <w:jc w:val="center"/>
      </w:pPr>
      <w:r w:rsidRPr="005208E2">
        <w:rPr>
          <w:noProof/>
          <w:lang w:eastAsia="es-CO"/>
        </w:rPr>
        <w:drawing>
          <wp:inline distT="0" distB="0" distL="0" distR="0" wp14:anchorId="5EBE403E" wp14:editId="43B37D77">
            <wp:extent cx="5612130" cy="1846336"/>
            <wp:effectExtent l="0" t="0" r="7620" b="19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2130" cy="1846336"/>
                    </a:xfrm>
                    <a:prstGeom prst="rect">
                      <a:avLst/>
                    </a:prstGeom>
                    <a:noFill/>
                    <a:ln>
                      <a:noFill/>
                    </a:ln>
                  </pic:spPr>
                </pic:pic>
              </a:graphicData>
            </a:graphic>
          </wp:inline>
        </w:drawing>
      </w:r>
      <w:r w:rsidR="00101AB3" w:rsidRPr="006B1822">
        <w:rPr>
          <w:rFonts w:ascii="Arial" w:hAnsi="Arial" w:cs="Arial"/>
          <w:sz w:val="18"/>
          <w:szCs w:val="18"/>
        </w:rPr>
        <w:t>Fuente: Subdirección Técnica de Presupuesto y Contabilidad</w:t>
      </w:r>
    </w:p>
    <w:p w:rsidR="0062711D" w:rsidRPr="00551731" w:rsidRDefault="00101AB3" w:rsidP="00066636">
      <w:pPr>
        <w:jc w:val="both"/>
        <w:rPr>
          <w:rFonts w:ascii="Arial" w:hAnsi="Arial" w:cs="Arial"/>
        </w:rPr>
      </w:pPr>
      <w:r w:rsidRPr="00551731">
        <w:rPr>
          <w:rFonts w:ascii="Arial" w:hAnsi="Arial" w:cs="Arial"/>
        </w:rPr>
        <w:t>Para la vigencia fiscal 2019, se tienen recursos apropiados para ejecutar obras de infraestructura vial, financiadas principalmente con fuente crédito, otros distritos, gestión de activos, sobretasa a la gasolina y valorización acuerdo 724 de 2018; también los recursos para el pago de pasivos exigibles de algunas fuentes, aunque no en su totalidad.</w:t>
      </w:r>
    </w:p>
    <w:p w:rsidR="0062711D" w:rsidRDefault="0062711D" w:rsidP="00101AB3">
      <w:pPr>
        <w:pStyle w:val="Prrafodelista"/>
        <w:rPr>
          <w:szCs w:val="24"/>
        </w:rPr>
      </w:pPr>
    </w:p>
    <w:p w:rsidR="00101AB3" w:rsidRPr="007E08C5" w:rsidRDefault="00101AB3" w:rsidP="0062711D">
      <w:pPr>
        <w:autoSpaceDE w:val="0"/>
        <w:autoSpaceDN w:val="0"/>
        <w:adjustRightInd w:val="0"/>
        <w:jc w:val="center"/>
        <w:rPr>
          <w:rFonts w:ascii="Arial" w:eastAsia="Times New Roman" w:hAnsi="Arial" w:cs="Arial"/>
          <w:b/>
        </w:rPr>
      </w:pPr>
      <w:r w:rsidRPr="007E08C5">
        <w:rPr>
          <w:rFonts w:ascii="Arial" w:eastAsia="Times New Roman" w:hAnsi="Arial" w:cs="Arial"/>
          <w:b/>
        </w:rPr>
        <w:lastRenderedPageBreak/>
        <w:t>Ejecución proyectos de inversión</w:t>
      </w:r>
    </w:p>
    <w:p w:rsidR="00101AB3" w:rsidRPr="007E08C5" w:rsidRDefault="00101AB3" w:rsidP="00101AB3">
      <w:pPr>
        <w:pStyle w:val="Descripcin"/>
        <w:keepNext/>
        <w:spacing w:after="0"/>
        <w:ind w:left="720"/>
        <w:jc w:val="center"/>
        <w:rPr>
          <w:rFonts w:ascii="Arial" w:hAnsi="Arial" w:cs="Arial"/>
          <w:color w:val="auto"/>
          <w:sz w:val="20"/>
          <w:szCs w:val="20"/>
        </w:rPr>
      </w:pPr>
      <w:bookmarkStart w:id="12" w:name="_Toc23148082"/>
      <w:r w:rsidRPr="007E08C5">
        <w:rPr>
          <w:rFonts w:ascii="Arial" w:hAnsi="Arial" w:cs="Arial"/>
          <w:color w:val="auto"/>
          <w:sz w:val="20"/>
          <w:szCs w:val="20"/>
        </w:rPr>
        <w:t>Ejecución proyectos de inversión 2019</w:t>
      </w:r>
      <w:bookmarkEnd w:id="12"/>
    </w:p>
    <w:tbl>
      <w:tblPr>
        <w:tblStyle w:val="Tabladecuadrcula4-nfasis11"/>
        <w:tblW w:w="0" w:type="auto"/>
        <w:tblInd w:w="0" w:type="dxa"/>
        <w:tblLook w:val="04A0" w:firstRow="1" w:lastRow="0" w:firstColumn="1" w:lastColumn="0" w:noHBand="0" w:noVBand="1"/>
      </w:tblPr>
      <w:tblGrid>
        <w:gridCol w:w="1444"/>
        <w:gridCol w:w="1370"/>
        <w:gridCol w:w="1418"/>
        <w:gridCol w:w="1623"/>
        <w:gridCol w:w="1555"/>
        <w:gridCol w:w="1418"/>
      </w:tblGrid>
      <w:tr w:rsidR="00101AB3" w:rsidRPr="007135CB" w:rsidTr="000720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1" w:type="dxa"/>
            <w:gridSpan w:val="2"/>
            <w:tcBorders>
              <w:top w:val="single" w:sz="4" w:space="0" w:color="auto"/>
              <w:left w:val="single" w:sz="4" w:space="0" w:color="auto"/>
              <w:bottom w:val="single" w:sz="4" w:space="0" w:color="auto"/>
              <w:right w:val="single" w:sz="4" w:space="0" w:color="auto"/>
            </w:tcBorders>
            <w:vAlign w:val="center"/>
            <w:hideMark/>
          </w:tcPr>
          <w:p w:rsidR="00101AB3" w:rsidRPr="007135CB" w:rsidRDefault="00101AB3">
            <w:pPr>
              <w:autoSpaceDE w:val="0"/>
              <w:autoSpaceDN w:val="0"/>
              <w:adjustRightInd w:val="0"/>
              <w:jc w:val="center"/>
              <w:rPr>
                <w:rFonts w:ascii="Arial" w:hAnsi="Arial" w:cs="Arial"/>
                <w:sz w:val="20"/>
                <w:szCs w:val="16"/>
                <w:lang w:val="es-ES"/>
              </w:rPr>
            </w:pPr>
            <w:r w:rsidRPr="007135CB">
              <w:rPr>
                <w:rFonts w:ascii="Arial" w:hAnsi="Arial" w:cs="Arial"/>
                <w:sz w:val="20"/>
                <w:szCs w:val="16"/>
                <w:lang w:val="es-ES"/>
              </w:rPr>
              <w:t>1059</w:t>
            </w:r>
          </w:p>
        </w:tc>
        <w:tc>
          <w:tcPr>
            <w:tcW w:w="3168" w:type="dxa"/>
            <w:gridSpan w:val="2"/>
            <w:tcBorders>
              <w:top w:val="single" w:sz="4" w:space="0" w:color="auto"/>
              <w:left w:val="single" w:sz="4" w:space="0" w:color="auto"/>
              <w:bottom w:val="single" w:sz="4" w:space="0" w:color="auto"/>
              <w:right w:val="single" w:sz="4" w:space="0" w:color="auto"/>
            </w:tcBorders>
            <w:hideMark/>
          </w:tcPr>
          <w:p w:rsidR="00101AB3" w:rsidRPr="007135CB" w:rsidRDefault="00101AB3">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16"/>
                <w:lang w:val="es-ES"/>
              </w:rPr>
            </w:pPr>
            <w:r w:rsidRPr="007135CB">
              <w:rPr>
                <w:rFonts w:ascii="Arial" w:eastAsiaTheme="minorHAnsi" w:hAnsi="Arial" w:cs="Arial"/>
                <w:sz w:val="20"/>
                <w:szCs w:val="16"/>
              </w:rPr>
              <w:t>1061</w:t>
            </w:r>
          </w:p>
        </w:tc>
        <w:tc>
          <w:tcPr>
            <w:tcW w:w="2975" w:type="dxa"/>
            <w:gridSpan w:val="2"/>
            <w:tcBorders>
              <w:top w:val="single" w:sz="4" w:space="0" w:color="auto"/>
              <w:left w:val="single" w:sz="4" w:space="0" w:color="auto"/>
              <w:bottom w:val="single" w:sz="4" w:space="0" w:color="auto"/>
              <w:right w:val="single" w:sz="4" w:space="0" w:color="auto"/>
            </w:tcBorders>
            <w:vAlign w:val="center"/>
            <w:hideMark/>
          </w:tcPr>
          <w:p w:rsidR="00101AB3" w:rsidRPr="007135CB" w:rsidRDefault="00101AB3">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16"/>
                <w:lang w:val="es-ES"/>
              </w:rPr>
            </w:pPr>
            <w:r w:rsidRPr="007135CB">
              <w:rPr>
                <w:rFonts w:ascii="Arial" w:hAnsi="Arial" w:cs="Arial"/>
                <w:sz w:val="20"/>
                <w:szCs w:val="16"/>
                <w:lang w:val="es-ES"/>
              </w:rPr>
              <w:t>1062</w:t>
            </w:r>
          </w:p>
        </w:tc>
      </w:tr>
      <w:tr w:rsidR="00101AB3" w:rsidRPr="007135CB" w:rsidTr="000720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6" w:type="dxa"/>
            <w:tcBorders>
              <w:top w:val="single" w:sz="4" w:space="0" w:color="auto"/>
              <w:left w:val="single" w:sz="4" w:space="0" w:color="auto"/>
              <w:bottom w:val="single" w:sz="4" w:space="0" w:color="auto"/>
              <w:right w:val="single" w:sz="4" w:space="0" w:color="auto"/>
            </w:tcBorders>
            <w:vAlign w:val="center"/>
            <w:hideMark/>
          </w:tcPr>
          <w:p w:rsidR="00101AB3" w:rsidRPr="007135CB" w:rsidRDefault="00101AB3">
            <w:pPr>
              <w:autoSpaceDE w:val="0"/>
              <w:autoSpaceDN w:val="0"/>
              <w:adjustRightInd w:val="0"/>
              <w:jc w:val="center"/>
              <w:rPr>
                <w:rFonts w:ascii="Arial" w:hAnsi="Arial" w:cs="Arial"/>
                <w:sz w:val="16"/>
                <w:szCs w:val="16"/>
                <w:lang w:val="es-ES"/>
              </w:rPr>
            </w:pPr>
            <w:r w:rsidRPr="007135CB">
              <w:rPr>
                <w:rFonts w:ascii="Arial" w:hAnsi="Arial" w:cs="Arial"/>
                <w:sz w:val="16"/>
                <w:szCs w:val="16"/>
                <w:lang w:val="es-ES"/>
              </w:rPr>
              <w:t>APROPIADO</w:t>
            </w:r>
          </w:p>
        </w:tc>
        <w:tc>
          <w:tcPr>
            <w:tcW w:w="1395" w:type="dxa"/>
            <w:tcBorders>
              <w:top w:val="single" w:sz="4" w:space="0" w:color="auto"/>
              <w:left w:val="single" w:sz="4" w:space="0" w:color="auto"/>
              <w:bottom w:val="single" w:sz="4" w:space="0" w:color="auto"/>
              <w:right w:val="single" w:sz="4" w:space="0" w:color="auto"/>
            </w:tcBorders>
            <w:vAlign w:val="center"/>
            <w:hideMark/>
          </w:tcPr>
          <w:p w:rsidR="00101AB3" w:rsidRPr="007135CB" w:rsidRDefault="00101AB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lang w:val="es-ES"/>
              </w:rPr>
            </w:pPr>
            <w:r w:rsidRPr="007135CB">
              <w:rPr>
                <w:rFonts w:ascii="Arial" w:hAnsi="Arial" w:cs="Arial"/>
                <w:b/>
                <w:sz w:val="16"/>
                <w:szCs w:val="16"/>
                <w:lang w:val="es-ES"/>
              </w:rPr>
              <w:t>EJECUTADO</w:t>
            </w:r>
          </w:p>
        </w:tc>
        <w:tc>
          <w:tcPr>
            <w:tcW w:w="1418" w:type="dxa"/>
            <w:tcBorders>
              <w:top w:val="single" w:sz="4" w:space="0" w:color="auto"/>
              <w:left w:val="single" w:sz="4" w:space="0" w:color="auto"/>
              <w:bottom w:val="single" w:sz="4" w:space="0" w:color="auto"/>
              <w:right w:val="single" w:sz="4" w:space="0" w:color="auto"/>
            </w:tcBorders>
            <w:hideMark/>
          </w:tcPr>
          <w:p w:rsidR="00101AB3" w:rsidRPr="007135CB" w:rsidRDefault="00101AB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lang w:val="es-ES"/>
              </w:rPr>
            </w:pPr>
            <w:r w:rsidRPr="007135CB">
              <w:rPr>
                <w:rFonts w:ascii="Arial" w:hAnsi="Arial" w:cs="Arial"/>
                <w:b/>
                <w:sz w:val="16"/>
                <w:szCs w:val="16"/>
                <w:lang w:val="es-ES"/>
              </w:rPr>
              <w:t>APROPIADO</w:t>
            </w:r>
          </w:p>
        </w:tc>
        <w:tc>
          <w:tcPr>
            <w:tcW w:w="1750" w:type="dxa"/>
            <w:tcBorders>
              <w:top w:val="single" w:sz="4" w:space="0" w:color="auto"/>
              <w:left w:val="single" w:sz="4" w:space="0" w:color="auto"/>
              <w:bottom w:val="single" w:sz="4" w:space="0" w:color="auto"/>
              <w:right w:val="single" w:sz="4" w:space="0" w:color="auto"/>
            </w:tcBorders>
            <w:hideMark/>
          </w:tcPr>
          <w:p w:rsidR="00101AB3" w:rsidRPr="007135CB" w:rsidRDefault="00101AB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lang w:val="es-ES"/>
              </w:rPr>
            </w:pPr>
            <w:r w:rsidRPr="007135CB">
              <w:rPr>
                <w:rFonts w:ascii="Arial" w:hAnsi="Arial" w:cs="Arial"/>
                <w:b/>
                <w:sz w:val="16"/>
                <w:szCs w:val="16"/>
                <w:lang w:val="es-ES"/>
              </w:rPr>
              <w:t>EJECUTADO</w:t>
            </w:r>
          </w:p>
        </w:tc>
        <w:tc>
          <w:tcPr>
            <w:tcW w:w="1557" w:type="dxa"/>
            <w:tcBorders>
              <w:top w:val="single" w:sz="4" w:space="0" w:color="auto"/>
              <w:left w:val="single" w:sz="4" w:space="0" w:color="auto"/>
              <w:bottom w:val="single" w:sz="4" w:space="0" w:color="auto"/>
              <w:right w:val="single" w:sz="4" w:space="0" w:color="auto"/>
            </w:tcBorders>
            <w:vAlign w:val="center"/>
            <w:hideMark/>
          </w:tcPr>
          <w:p w:rsidR="00101AB3" w:rsidRPr="007135CB" w:rsidRDefault="00101AB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lang w:val="es-ES"/>
              </w:rPr>
            </w:pPr>
            <w:r w:rsidRPr="007135CB">
              <w:rPr>
                <w:rFonts w:ascii="Arial" w:hAnsi="Arial" w:cs="Arial"/>
                <w:b/>
                <w:sz w:val="16"/>
                <w:szCs w:val="16"/>
                <w:lang w:val="es-ES"/>
              </w:rPr>
              <w:t>APROPIADO</w:t>
            </w:r>
          </w:p>
        </w:tc>
        <w:tc>
          <w:tcPr>
            <w:tcW w:w="1418" w:type="dxa"/>
            <w:tcBorders>
              <w:top w:val="single" w:sz="4" w:space="0" w:color="auto"/>
              <w:left w:val="single" w:sz="4" w:space="0" w:color="auto"/>
              <w:bottom w:val="single" w:sz="4" w:space="0" w:color="auto"/>
              <w:right w:val="single" w:sz="4" w:space="0" w:color="auto"/>
            </w:tcBorders>
            <w:vAlign w:val="center"/>
            <w:hideMark/>
          </w:tcPr>
          <w:p w:rsidR="00101AB3" w:rsidRPr="007135CB" w:rsidRDefault="00101AB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lang w:val="es-ES"/>
              </w:rPr>
            </w:pPr>
            <w:r w:rsidRPr="007135CB">
              <w:rPr>
                <w:rFonts w:ascii="Arial" w:hAnsi="Arial" w:cs="Arial"/>
                <w:b/>
                <w:sz w:val="16"/>
                <w:szCs w:val="16"/>
                <w:lang w:val="es-ES"/>
              </w:rPr>
              <w:t>EJECUTADO</w:t>
            </w:r>
          </w:p>
        </w:tc>
      </w:tr>
      <w:tr w:rsidR="00101AB3" w:rsidRPr="007135CB" w:rsidTr="00072018">
        <w:tc>
          <w:tcPr>
            <w:cnfStyle w:val="001000000000" w:firstRow="0" w:lastRow="0" w:firstColumn="1" w:lastColumn="0" w:oddVBand="0" w:evenVBand="0" w:oddHBand="0" w:evenHBand="0" w:firstRowFirstColumn="0" w:firstRowLastColumn="0" w:lastRowFirstColumn="0" w:lastRowLastColumn="0"/>
            <w:tcW w:w="1516" w:type="dxa"/>
            <w:tcBorders>
              <w:top w:val="single" w:sz="4" w:space="0" w:color="auto"/>
              <w:left w:val="single" w:sz="4" w:space="0" w:color="auto"/>
              <w:bottom w:val="single" w:sz="4" w:space="0" w:color="auto"/>
              <w:right w:val="single" w:sz="4" w:space="0" w:color="auto"/>
            </w:tcBorders>
            <w:hideMark/>
          </w:tcPr>
          <w:p w:rsidR="00101AB3" w:rsidRPr="007135CB" w:rsidRDefault="00093160">
            <w:pPr>
              <w:autoSpaceDE w:val="0"/>
              <w:autoSpaceDN w:val="0"/>
              <w:adjustRightInd w:val="0"/>
              <w:jc w:val="center"/>
              <w:rPr>
                <w:rFonts w:ascii="Arial" w:hAnsi="Arial" w:cs="Arial"/>
                <w:b w:val="0"/>
                <w:color w:val="000000"/>
                <w:lang w:val="es-ES"/>
              </w:rPr>
            </w:pPr>
            <w:r w:rsidRPr="00093160">
              <w:rPr>
                <w:rFonts w:ascii="Arial" w:eastAsiaTheme="minorHAnsi" w:hAnsi="Arial" w:cs="Arial"/>
                <w:b w:val="0"/>
                <w:sz w:val="16"/>
                <w:szCs w:val="16"/>
              </w:rPr>
              <w:t>43,097,319,346</w:t>
            </w:r>
          </w:p>
        </w:tc>
        <w:tc>
          <w:tcPr>
            <w:tcW w:w="1395" w:type="dxa"/>
            <w:tcBorders>
              <w:top w:val="single" w:sz="4" w:space="0" w:color="auto"/>
              <w:left w:val="single" w:sz="4" w:space="0" w:color="auto"/>
              <w:bottom w:val="single" w:sz="4" w:space="0" w:color="auto"/>
              <w:right w:val="single" w:sz="4" w:space="0" w:color="auto"/>
            </w:tcBorders>
            <w:hideMark/>
          </w:tcPr>
          <w:p w:rsidR="00101AB3" w:rsidRPr="007135CB" w:rsidRDefault="0009316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es-ES"/>
              </w:rPr>
            </w:pPr>
            <w:r w:rsidRPr="00093160">
              <w:rPr>
                <w:rFonts w:ascii="Arial" w:eastAsiaTheme="minorHAnsi" w:hAnsi="Arial" w:cs="Arial"/>
                <w:sz w:val="16"/>
                <w:szCs w:val="16"/>
              </w:rPr>
              <w:t>37,769,219,757</w:t>
            </w:r>
          </w:p>
        </w:tc>
        <w:tc>
          <w:tcPr>
            <w:tcW w:w="1418" w:type="dxa"/>
            <w:tcBorders>
              <w:top w:val="single" w:sz="4" w:space="0" w:color="auto"/>
              <w:left w:val="single" w:sz="4" w:space="0" w:color="auto"/>
              <w:bottom w:val="single" w:sz="4" w:space="0" w:color="auto"/>
              <w:right w:val="single" w:sz="4" w:space="0" w:color="auto"/>
            </w:tcBorders>
            <w:hideMark/>
          </w:tcPr>
          <w:p w:rsidR="00101AB3" w:rsidRPr="007135CB" w:rsidRDefault="0009316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es-ES"/>
              </w:rPr>
            </w:pPr>
            <w:r w:rsidRPr="00093160">
              <w:rPr>
                <w:rFonts w:ascii="Arial" w:eastAsiaTheme="minorHAnsi" w:hAnsi="Arial" w:cs="Arial"/>
                <w:sz w:val="16"/>
                <w:szCs w:val="16"/>
              </w:rPr>
              <w:t>663,481,536,143</w:t>
            </w:r>
          </w:p>
        </w:tc>
        <w:tc>
          <w:tcPr>
            <w:tcW w:w="1750" w:type="dxa"/>
            <w:tcBorders>
              <w:top w:val="single" w:sz="4" w:space="0" w:color="auto"/>
              <w:left w:val="single" w:sz="4" w:space="0" w:color="auto"/>
              <w:bottom w:val="single" w:sz="4" w:space="0" w:color="auto"/>
              <w:right w:val="single" w:sz="4" w:space="0" w:color="auto"/>
            </w:tcBorders>
            <w:hideMark/>
          </w:tcPr>
          <w:p w:rsidR="00101AB3" w:rsidRPr="007135CB" w:rsidRDefault="00093160">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es-ES"/>
              </w:rPr>
            </w:pPr>
            <w:r w:rsidRPr="00093160">
              <w:rPr>
                <w:rFonts w:ascii="Arial" w:eastAsiaTheme="minorHAnsi" w:hAnsi="Arial" w:cs="Arial"/>
                <w:sz w:val="16"/>
                <w:szCs w:val="16"/>
              </w:rPr>
              <w:t>346,968,074,630</w:t>
            </w:r>
          </w:p>
        </w:tc>
        <w:tc>
          <w:tcPr>
            <w:tcW w:w="1557" w:type="dxa"/>
            <w:tcBorders>
              <w:top w:val="single" w:sz="4" w:space="0" w:color="auto"/>
              <w:left w:val="single" w:sz="4" w:space="0" w:color="auto"/>
              <w:bottom w:val="single" w:sz="4" w:space="0" w:color="auto"/>
              <w:right w:val="single" w:sz="4" w:space="0" w:color="auto"/>
            </w:tcBorders>
            <w:hideMark/>
          </w:tcPr>
          <w:p w:rsidR="00101AB3" w:rsidRPr="007135CB" w:rsidRDefault="00F8774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es-ES"/>
              </w:rPr>
            </w:pPr>
            <w:r w:rsidRPr="00F87749">
              <w:rPr>
                <w:rFonts w:ascii="Arial" w:eastAsiaTheme="minorHAnsi" w:hAnsi="Arial" w:cs="Arial"/>
                <w:sz w:val="16"/>
                <w:szCs w:val="16"/>
              </w:rPr>
              <w:t>1,307,351,995,618</w:t>
            </w:r>
          </w:p>
        </w:tc>
        <w:tc>
          <w:tcPr>
            <w:tcW w:w="1418" w:type="dxa"/>
            <w:tcBorders>
              <w:top w:val="single" w:sz="4" w:space="0" w:color="auto"/>
              <w:left w:val="single" w:sz="4" w:space="0" w:color="auto"/>
              <w:bottom w:val="single" w:sz="4" w:space="0" w:color="auto"/>
              <w:right w:val="single" w:sz="4" w:space="0" w:color="auto"/>
            </w:tcBorders>
            <w:hideMark/>
          </w:tcPr>
          <w:p w:rsidR="00101AB3" w:rsidRPr="007135CB" w:rsidRDefault="00F8774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es-ES"/>
              </w:rPr>
            </w:pPr>
            <w:r w:rsidRPr="00F87749">
              <w:rPr>
                <w:rFonts w:ascii="Arial" w:eastAsiaTheme="minorHAnsi" w:hAnsi="Arial" w:cs="Arial"/>
                <w:sz w:val="16"/>
                <w:szCs w:val="16"/>
              </w:rPr>
              <w:t>719,116,281,426</w:t>
            </w:r>
          </w:p>
        </w:tc>
      </w:tr>
    </w:tbl>
    <w:p w:rsidR="00101AB3" w:rsidRPr="007135CB" w:rsidRDefault="00101AB3" w:rsidP="00101AB3">
      <w:pPr>
        <w:autoSpaceDE w:val="0"/>
        <w:autoSpaceDN w:val="0"/>
        <w:adjustRightInd w:val="0"/>
        <w:jc w:val="center"/>
        <w:rPr>
          <w:rFonts w:ascii="Arial" w:eastAsiaTheme="minorEastAsia" w:hAnsi="Arial" w:cs="Arial"/>
          <w:color w:val="000000"/>
          <w:szCs w:val="24"/>
          <w:lang w:val="es-ES" w:eastAsia="es-ES"/>
        </w:rPr>
      </w:pPr>
    </w:p>
    <w:tbl>
      <w:tblPr>
        <w:tblStyle w:val="Tabladecuadrcula4-nfasis11"/>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3"/>
        <w:gridCol w:w="1418"/>
        <w:gridCol w:w="1418"/>
        <w:gridCol w:w="1607"/>
        <w:gridCol w:w="1484"/>
        <w:gridCol w:w="1418"/>
      </w:tblGrid>
      <w:tr w:rsidR="00101AB3" w:rsidRPr="007135CB" w:rsidTr="000720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8" w:type="dxa"/>
            <w:gridSpan w:val="2"/>
            <w:tcBorders>
              <w:top w:val="none" w:sz="0" w:space="0" w:color="auto"/>
              <w:left w:val="none" w:sz="0" w:space="0" w:color="auto"/>
              <w:bottom w:val="none" w:sz="0" w:space="0" w:color="auto"/>
              <w:right w:val="none" w:sz="0" w:space="0" w:color="auto"/>
            </w:tcBorders>
            <w:vAlign w:val="center"/>
            <w:hideMark/>
          </w:tcPr>
          <w:p w:rsidR="00101AB3" w:rsidRPr="007135CB" w:rsidRDefault="00101AB3">
            <w:pPr>
              <w:autoSpaceDE w:val="0"/>
              <w:autoSpaceDN w:val="0"/>
              <w:adjustRightInd w:val="0"/>
              <w:jc w:val="center"/>
              <w:rPr>
                <w:rFonts w:ascii="Arial" w:hAnsi="Arial" w:cs="Arial"/>
                <w:sz w:val="20"/>
                <w:szCs w:val="16"/>
                <w:lang w:val="es-ES"/>
              </w:rPr>
            </w:pPr>
            <w:r w:rsidRPr="007135CB">
              <w:rPr>
                <w:rFonts w:ascii="Arial" w:hAnsi="Arial" w:cs="Arial"/>
                <w:sz w:val="20"/>
                <w:szCs w:val="16"/>
                <w:lang w:val="es-ES"/>
              </w:rPr>
              <w:t>1063</w:t>
            </w:r>
          </w:p>
        </w:tc>
        <w:tc>
          <w:tcPr>
            <w:tcW w:w="3158" w:type="dxa"/>
            <w:gridSpan w:val="2"/>
            <w:tcBorders>
              <w:top w:val="none" w:sz="0" w:space="0" w:color="auto"/>
              <w:left w:val="none" w:sz="0" w:space="0" w:color="auto"/>
              <w:bottom w:val="none" w:sz="0" w:space="0" w:color="auto"/>
              <w:right w:val="none" w:sz="0" w:space="0" w:color="auto"/>
            </w:tcBorders>
            <w:hideMark/>
          </w:tcPr>
          <w:p w:rsidR="00101AB3" w:rsidRPr="007135CB" w:rsidRDefault="00101AB3">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16"/>
                <w:lang w:val="es-ES"/>
              </w:rPr>
            </w:pPr>
            <w:r w:rsidRPr="007135CB">
              <w:rPr>
                <w:rFonts w:ascii="Arial" w:eastAsiaTheme="minorHAnsi" w:hAnsi="Arial" w:cs="Arial"/>
                <w:sz w:val="20"/>
                <w:szCs w:val="16"/>
              </w:rPr>
              <w:t>1002</w:t>
            </w:r>
          </w:p>
        </w:tc>
        <w:tc>
          <w:tcPr>
            <w:tcW w:w="2948" w:type="dxa"/>
            <w:gridSpan w:val="2"/>
            <w:tcBorders>
              <w:top w:val="none" w:sz="0" w:space="0" w:color="auto"/>
              <w:left w:val="none" w:sz="0" w:space="0" w:color="auto"/>
              <w:bottom w:val="none" w:sz="0" w:space="0" w:color="auto"/>
              <w:right w:val="none" w:sz="0" w:space="0" w:color="auto"/>
            </w:tcBorders>
            <w:vAlign w:val="center"/>
            <w:hideMark/>
          </w:tcPr>
          <w:p w:rsidR="00101AB3" w:rsidRPr="007135CB" w:rsidRDefault="00101AB3" w:rsidP="00F8774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16"/>
                <w:lang w:val="es-ES"/>
              </w:rPr>
            </w:pPr>
            <w:r w:rsidRPr="007135CB">
              <w:rPr>
                <w:rFonts w:ascii="Arial" w:hAnsi="Arial" w:cs="Arial"/>
                <w:sz w:val="20"/>
                <w:szCs w:val="16"/>
                <w:lang w:val="es-ES"/>
              </w:rPr>
              <w:t>10</w:t>
            </w:r>
            <w:r w:rsidR="00F87749">
              <w:rPr>
                <w:rFonts w:ascii="Arial" w:hAnsi="Arial" w:cs="Arial"/>
                <w:sz w:val="20"/>
                <w:szCs w:val="16"/>
                <w:lang w:val="es-ES"/>
              </w:rPr>
              <w:t>47</w:t>
            </w:r>
          </w:p>
        </w:tc>
      </w:tr>
      <w:tr w:rsidR="00101AB3" w:rsidRPr="007135CB" w:rsidTr="000720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vAlign w:val="center"/>
            <w:hideMark/>
          </w:tcPr>
          <w:p w:rsidR="00101AB3" w:rsidRPr="007135CB" w:rsidRDefault="00101AB3">
            <w:pPr>
              <w:autoSpaceDE w:val="0"/>
              <w:autoSpaceDN w:val="0"/>
              <w:adjustRightInd w:val="0"/>
              <w:jc w:val="center"/>
              <w:rPr>
                <w:rFonts w:ascii="Arial" w:hAnsi="Arial" w:cs="Arial"/>
                <w:sz w:val="16"/>
                <w:szCs w:val="16"/>
                <w:lang w:val="es-ES"/>
              </w:rPr>
            </w:pPr>
            <w:r w:rsidRPr="007135CB">
              <w:rPr>
                <w:rFonts w:ascii="Arial" w:hAnsi="Arial" w:cs="Arial"/>
                <w:sz w:val="16"/>
                <w:szCs w:val="16"/>
                <w:lang w:val="es-ES"/>
              </w:rPr>
              <w:t>APROPIADO</w:t>
            </w:r>
          </w:p>
        </w:tc>
        <w:tc>
          <w:tcPr>
            <w:tcW w:w="1418" w:type="dxa"/>
            <w:vAlign w:val="center"/>
            <w:hideMark/>
          </w:tcPr>
          <w:p w:rsidR="00101AB3" w:rsidRPr="007135CB" w:rsidRDefault="00101AB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lang w:val="es-ES"/>
              </w:rPr>
            </w:pPr>
            <w:r w:rsidRPr="007135CB">
              <w:rPr>
                <w:rFonts w:ascii="Arial" w:hAnsi="Arial" w:cs="Arial"/>
                <w:b/>
                <w:sz w:val="16"/>
                <w:szCs w:val="16"/>
                <w:lang w:val="es-ES"/>
              </w:rPr>
              <w:t>EJECUTADO</w:t>
            </w:r>
          </w:p>
        </w:tc>
        <w:tc>
          <w:tcPr>
            <w:tcW w:w="1418" w:type="dxa"/>
            <w:hideMark/>
          </w:tcPr>
          <w:p w:rsidR="00101AB3" w:rsidRPr="007135CB" w:rsidRDefault="00101AB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lang w:val="es-ES"/>
              </w:rPr>
            </w:pPr>
            <w:r w:rsidRPr="007135CB">
              <w:rPr>
                <w:rFonts w:ascii="Arial" w:hAnsi="Arial" w:cs="Arial"/>
                <w:b/>
                <w:sz w:val="16"/>
                <w:szCs w:val="16"/>
                <w:lang w:val="es-ES"/>
              </w:rPr>
              <w:t>APROPIADO</w:t>
            </w:r>
          </w:p>
        </w:tc>
        <w:tc>
          <w:tcPr>
            <w:tcW w:w="1740" w:type="dxa"/>
            <w:hideMark/>
          </w:tcPr>
          <w:p w:rsidR="00101AB3" w:rsidRPr="007135CB" w:rsidRDefault="00101AB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lang w:val="es-ES"/>
              </w:rPr>
            </w:pPr>
            <w:r w:rsidRPr="007135CB">
              <w:rPr>
                <w:rFonts w:ascii="Arial" w:hAnsi="Arial" w:cs="Arial"/>
                <w:b/>
                <w:sz w:val="16"/>
                <w:szCs w:val="16"/>
                <w:lang w:val="es-ES"/>
              </w:rPr>
              <w:t>EJECUTADO</w:t>
            </w:r>
          </w:p>
        </w:tc>
        <w:tc>
          <w:tcPr>
            <w:tcW w:w="1530" w:type="dxa"/>
            <w:vAlign w:val="center"/>
            <w:hideMark/>
          </w:tcPr>
          <w:p w:rsidR="00101AB3" w:rsidRPr="007135CB" w:rsidRDefault="00101AB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lang w:val="es-ES"/>
              </w:rPr>
            </w:pPr>
            <w:r w:rsidRPr="007135CB">
              <w:rPr>
                <w:rFonts w:ascii="Arial" w:hAnsi="Arial" w:cs="Arial"/>
                <w:b/>
                <w:sz w:val="16"/>
                <w:szCs w:val="16"/>
                <w:lang w:val="es-ES"/>
              </w:rPr>
              <w:t>APROPIADO</w:t>
            </w:r>
          </w:p>
        </w:tc>
        <w:tc>
          <w:tcPr>
            <w:tcW w:w="1418" w:type="dxa"/>
            <w:vAlign w:val="center"/>
            <w:hideMark/>
          </w:tcPr>
          <w:p w:rsidR="00101AB3" w:rsidRPr="007135CB" w:rsidRDefault="00101AB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lang w:val="es-ES"/>
              </w:rPr>
            </w:pPr>
            <w:r w:rsidRPr="007135CB">
              <w:rPr>
                <w:rFonts w:ascii="Arial" w:hAnsi="Arial" w:cs="Arial"/>
                <w:b/>
                <w:sz w:val="16"/>
                <w:szCs w:val="16"/>
                <w:lang w:val="es-ES"/>
              </w:rPr>
              <w:t>EJECUTADO</w:t>
            </w:r>
          </w:p>
        </w:tc>
      </w:tr>
      <w:tr w:rsidR="00101AB3" w:rsidRPr="007135CB" w:rsidTr="00072018">
        <w:tc>
          <w:tcPr>
            <w:cnfStyle w:val="001000000000" w:firstRow="0" w:lastRow="0" w:firstColumn="1" w:lastColumn="0" w:oddVBand="0" w:evenVBand="0" w:oddHBand="0" w:evenHBand="0" w:firstRowFirstColumn="0" w:firstRowLastColumn="0" w:lastRowFirstColumn="0" w:lastRowLastColumn="0"/>
            <w:tcW w:w="1530" w:type="dxa"/>
            <w:hideMark/>
          </w:tcPr>
          <w:p w:rsidR="00101AB3" w:rsidRPr="007135CB" w:rsidRDefault="00F87749">
            <w:pPr>
              <w:autoSpaceDE w:val="0"/>
              <w:autoSpaceDN w:val="0"/>
              <w:adjustRightInd w:val="0"/>
              <w:jc w:val="center"/>
              <w:rPr>
                <w:rFonts w:ascii="Arial" w:hAnsi="Arial" w:cs="Arial"/>
                <w:b w:val="0"/>
                <w:color w:val="000000"/>
                <w:lang w:val="es-ES"/>
              </w:rPr>
            </w:pPr>
            <w:r w:rsidRPr="00F87749">
              <w:rPr>
                <w:rFonts w:ascii="Arial" w:eastAsiaTheme="minorHAnsi" w:hAnsi="Arial" w:cs="Arial"/>
                <w:b w:val="0"/>
                <w:sz w:val="16"/>
                <w:szCs w:val="16"/>
              </w:rPr>
              <w:t>306,905,489,291</w:t>
            </w:r>
          </w:p>
        </w:tc>
        <w:tc>
          <w:tcPr>
            <w:tcW w:w="1418" w:type="dxa"/>
            <w:hideMark/>
          </w:tcPr>
          <w:p w:rsidR="00101AB3" w:rsidRPr="007135CB" w:rsidRDefault="00F8774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es-ES"/>
              </w:rPr>
            </w:pPr>
            <w:r w:rsidRPr="00F87749">
              <w:rPr>
                <w:rFonts w:ascii="Arial" w:eastAsiaTheme="minorHAnsi" w:hAnsi="Arial" w:cs="Arial"/>
                <w:sz w:val="16"/>
                <w:szCs w:val="16"/>
              </w:rPr>
              <w:t>206,269,039,976</w:t>
            </w:r>
          </w:p>
        </w:tc>
        <w:tc>
          <w:tcPr>
            <w:tcW w:w="1418" w:type="dxa"/>
            <w:hideMark/>
          </w:tcPr>
          <w:p w:rsidR="00101AB3" w:rsidRPr="007135CB" w:rsidRDefault="00F8774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es-ES"/>
              </w:rPr>
            </w:pPr>
            <w:r w:rsidRPr="00F87749">
              <w:rPr>
                <w:rFonts w:ascii="Arial" w:eastAsiaTheme="minorHAnsi" w:hAnsi="Arial" w:cs="Arial"/>
                <w:sz w:val="16"/>
                <w:szCs w:val="16"/>
              </w:rPr>
              <w:t>185,808,994,095</w:t>
            </w:r>
          </w:p>
        </w:tc>
        <w:tc>
          <w:tcPr>
            <w:tcW w:w="1740" w:type="dxa"/>
            <w:hideMark/>
          </w:tcPr>
          <w:p w:rsidR="00101AB3" w:rsidRPr="007135CB" w:rsidRDefault="00F8774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es-ES"/>
              </w:rPr>
            </w:pPr>
            <w:r w:rsidRPr="00F87749">
              <w:rPr>
                <w:rFonts w:ascii="Arial" w:eastAsiaTheme="minorHAnsi" w:hAnsi="Arial" w:cs="Arial"/>
                <w:sz w:val="16"/>
                <w:szCs w:val="16"/>
              </w:rPr>
              <w:t>155,389,655,371</w:t>
            </w:r>
          </w:p>
        </w:tc>
        <w:tc>
          <w:tcPr>
            <w:tcW w:w="1530" w:type="dxa"/>
            <w:hideMark/>
          </w:tcPr>
          <w:p w:rsidR="00101AB3" w:rsidRPr="007135CB" w:rsidRDefault="00F8774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es-ES"/>
              </w:rPr>
            </w:pPr>
            <w:r w:rsidRPr="00F87749">
              <w:rPr>
                <w:rFonts w:ascii="Arial" w:eastAsiaTheme="minorHAnsi" w:hAnsi="Arial" w:cs="Arial"/>
                <w:sz w:val="16"/>
                <w:szCs w:val="16"/>
              </w:rPr>
              <w:t>150,003,792,043</w:t>
            </w:r>
          </w:p>
        </w:tc>
        <w:tc>
          <w:tcPr>
            <w:tcW w:w="1418" w:type="dxa"/>
            <w:hideMark/>
          </w:tcPr>
          <w:p w:rsidR="00101AB3" w:rsidRPr="007135CB" w:rsidRDefault="00F87749">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es-ES"/>
              </w:rPr>
            </w:pPr>
            <w:r w:rsidRPr="00F87749">
              <w:rPr>
                <w:rFonts w:ascii="Arial" w:eastAsiaTheme="minorHAnsi" w:hAnsi="Arial" w:cs="Arial"/>
                <w:sz w:val="16"/>
                <w:szCs w:val="16"/>
              </w:rPr>
              <w:t>136,789,903,347</w:t>
            </w:r>
          </w:p>
        </w:tc>
      </w:tr>
    </w:tbl>
    <w:p w:rsidR="00101AB3" w:rsidRPr="00066636" w:rsidRDefault="00101AB3" w:rsidP="00101AB3">
      <w:pPr>
        <w:pStyle w:val="Descripcin"/>
        <w:jc w:val="center"/>
        <w:rPr>
          <w:rFonts w:ascii="Arial" w:hAnsi="Arial" w:cs="Arial"/>
          <w:color w:val="auto"/>
        </w:rPr>
      </w:pPr>
      <w:r w:rsidRPr="00066636">
        <w:rPr>
          <w:rFonts w:ascii="Arial" w:hAnsi="Arial" w:cs="Arial"/>
          <w:color w:val="auto"/>
        </w:rPr>
        <w:t>Fuente: Subdirección Técnica de Presupuesto y Contabilidad</w:t>
      </w:r>
    </w:p>
    <w:p w:rsidR="00072018" w:rsidRDefault="00072018" w:rsidP="00101AB3">
      <w:pPr>
        <w:autoSpaceDE w:val="0"/>
        <w:autoSpaceDN w:val="0"/>
        <w:adjustRightInd w:val="0"/>
        <w:rPr>
          <w:rFonts w:ascii="Arial" w:hAnsi="Arial" w:cs="Arial"/>
          <w:szCs w:val="24"/>
        </w:rPr>
      </w:pPr>
    </w:p>
    <w:p w:rsidR="00101AB3" w:rsidRPr="00551731" w:rsidRDefault="00F87749" w:rsidP="00101AB3">
      <w:pPr>
        <w:autoSpaceDE w:val="0"/>
        <w:autoSpaceDN w:val="0"/>
        <w:adjustRightInd w:val="0"/>
        <w:rPr>
          <w:rFonts w:ascii="Arial" w:hAnsi="Arial" w:cs="Arial"/>
        </w:rPr>
      </w:pPr>
      <w:r w:rsidRPr="00551731">
        <w:rPr>
          <w:rFonts w:ascii="Arial" w:hAnsi="Arial" w:cs="Arial"/>
        </w:rPr>
        <w:t xml:space="preserve">Durante la vigencia 2019 se ejecutaron </w:t>
      </w:r>
      <w:r w:rsidR="00101AB3" w:rsidRPr="00551731">
        <w:rPr>
          <w:rFonts w:ascii="Arial" w:hAnsi="Arial" w:cs="Arial"/>
        </w:rPr>
        <w:t>recursos por $</w:t>
      </w:r>
      <w:r w:rsidRPr="00551731">
        <w:rPr>
          <w:rFonts w:ascii="Arial" w:hAnsi="Arial" w:cs="Arial"/>
        </w:rPr>
        <w:t>1,602,302</w:t>
      </w:r>
      <w:r w:rsidR="00101AB3" w:rsidRPr="00551731">
        <w:rPr>
          <w:rFonts w:ascii="Arial" w:hAnsi="Arial" w:cs="Arial"/>
        </w:rPr>
        <w:t xml:space="preserve"> millones los cuales se han destinado principalmente a la ejecución de obras de infraestructura vial, también se han girado recursos para el pago de </w:t>
      </w:r>
      <w:r w:rsidR="00500CAF" w:rsidRPr="00551731">
        <w:rPr>
          <w:rFonts w:ascii="Arial" w:hAnsi="Arial" w:cs="Arial"/>
        </w:rPr>
        <w:t>pasivos exigibles de Inversión.</w:t>
      </w:r>
    </w:p>
    <w:p w:rsidR="003202FB" w:rsidRPr="007135CB" w:rsidRDefault="003202FB" w:rsidP="00A85ED4">
      <w:pPr>
        <w:pStyle w:val="Prrafodelista"/>
        <w:spacing w:line="256" w:lineRule="auto"/>
        <w:ind w:left="1428"/>
        <w:jc w:val="both"/>
        <w:rPr>
          <w:rFonts w:ascii="Arial" w:hAnsi="Arial" w:cs="Arial"/>
          <w:b/>
          <w:szCs w:val="24"/>
        </w:rPr>
      </w:pPr>
    </w:p>
    <w:p w:rsidR="00101AB3" w:rsidRDefault="00101AB3" w:rsidP="007135CB">
      <w:pPr>
        <w:autoSpaceDE w:val="0"/>
        <w:autoSpaceDN w:val="0"/>
        <w:adjustRightInd w:val="0"/>
        <w:spacing w:after="0" w:line="240" w:lineRule="auto"/>
        <w:jc w:val="center"/>
        <w:rPr>
          <w:rFonts w:ascii="Arial" w:hAnsi="Arial" w:cs="Arial"/>
          <w:b/>
          <w:bCs/>
        </w:rPr>
      </w:pPr>
      <w:r w:rsidRPr="007135CB">
        <w:rPr>
          <w:rFonts w:ascii="Arial" w:hAnsi="Arial" w:cs="Arial"/>
          <w:b/>
          <w:bCs/>
        </w:rPr>
        <w:t>Ejecución por fuentes</w:t>
      </w:r>
      <w:r w:rsidR="007135CB">
        <w:rPr>
          <w:rFonts w:ascii="Arial" w:hAnsi="Arial" w:cs="Arial"/>
          <w:b/>
          <w:bCs/>
        </w:rPr>
        <w:t xml:space="preserve"> de financiación</w:t>
      </w:r>
    </w:p>
    <w:p w:rsidR="007135CB" w:rsidRPr="007135CB" w:rsidRDefault="007135CB" w:rsidP="00101AB3">
      <w:pPr>
        <w:autoSpaceDE w:val="0"/>
        <w:autoSpaceDN w:val="0"/>
        <w:adjustRightInd w:val="0"/>
        <w:spacing w:after="0" w:line="240" w:lineRule="auto"/>
        <w:rPr>
          <w:rFonts w:ascii="Arial" w:hAnsi="Arial" w:cs="Arial"/>
          <w:b/>
          <w:bCs/>
        </w:rPr>
      </w:pPr>
    </w:p>
    <w:p w:rsidR="00101AB3" w:rsidRDefault="00101AB3" w:rsidP="007135CB">
      <w:pPr>
        <w:autoSpaceDE w:val="0"/>
        <w:autoSpaceDN w:val="0"/>
        <w:adjustRightInd w:val="0"/>
        <w:spacing w:after="0" w:line="240" w:lineRule="auto"/>
        <w:jc w:val="both"/>
        <w:rPr>
          <w:rFonts w:ascii="Arial" w:hAnsi="Arial" w:cs="Arial"/>
        </w:rPr>
      </w:pPr>
      <w:r w:rsidRPr="007135CB">
        <w:rPr>
          <w:rFonts w:ascii="Arial" w:hAnsi="Arial" w:cs="Arial"/>
        </w:rPr>
        <w:t xml:space="preserve">El presupuesto de inversión </w:t>
      </w:r>
      <w:r w:rsidR="00202903">
        <w:rPr>
          <w:rFonts w:ascii="Arial" w:hAnsi="Arial" w:cs="Arial"/>
        </w:rPr>
        <w:t xml:space="preserve">directa </w:t>
      </w:r>
      <w:r w:rsidRPr="007135CB">
        <w:rPr>
          <w:rFonts w:ascii="Arial" w:hAnsi="Arial" w:cs="Arial"/>
        </w:rPr>
        <w:t>definitiva para el 201</w:t>
      </w:r>
      <w:r w:rsidR="00EB1141">
        <w:rPr>
          <w:rFonts w:ascii="Arial" w:hAnsi="Arial" w:cs="Arial"/>
        </w:rPr>
        <w:t>9</w:t>
      </w:r>
      <w:r w:rsidRPr="007135CB">
        <w:rPr>
          <w:rFonts w:ascii="Arial" w:hAnsi="Arial" w:cs="Arial"/>
        </w:rPr>
        <w:t xml:space="preserve"> ascendió a la suma de </w:t>
      </w:r>
      <w:r w:rsidR="00EB1141">
        <w:rPr>
          <w:rFonts w:ascii="Arial" w:hAnsi="Arial" w:cs="Arial"/>
        </w:rPr>
        <w:t>$</w:t>
      </w:r>
      <w:r w:rsidR="00EB1141" w:rsidRPr="00EB1141">
        <w:rPr>
          <w:rFonts w:ascii="Arial" w:hAnsi="Arial" w:cs="Arial"/>
        </w:rPr>
        <w:t>2</w:t>
      </w:r>
      <w:r w:rsidR="00EB1141">
        <w:rPr>
          <w:rFonts w:ascii="Arial" w:hAnsi="Arial" w:cs="Arial"/>
        </w:rPr>
        <w:t>.</w:t>
      </w:r>
      <w:r w:rsidR="00EB1141" w:rsidRPr="00EB1141">
        <w:rPr>
          <w:rFonts w:ascii="Arial" w:hAnsi="Arial" w:cs="Arial"/>
        </w:rPr>
        <w:t>656</w:t>
      </w:r>
      <w:r w:rsidR="00EB1141">
        <w:rPr>
          <w:rFonts w:ascii="Arial" w:hAnsi="Arial" w:cs="Arial"/>
        </w:rPr>
        <w:t>.</w:t>
      </w:r>
      <w:r w:rsidR="00EB1141" w:rsidRPr="00EB1141">
        <w:rPr>
          <w:rFonts w:ascii="Arial" w:hAnsi="Arial" w:cs="Arial"/>
        </w:rPr>
        <w:t>649</w:t>
      </w:r>
      <w:r w:rsidR="00803CD3">
        <w:rPr>
          <w:rFonts w:ascii="Arial" w:hAnsi="Arial" w:cs="Arial"/>
        </w:rPr>
        <w:t xml:space="preserve"> millones</w:t>
      </w:r>
      <w:r w:rsidR="00EB1141">
        <w:rPr>
          <w:rFonts w:ascii="Arial" w:hAnsi="Arial" w:cs="Arial"/>
        </w:rPr>
        <w:t>, de los cuales se ejecutaron $</w:t>
      </w:r>
      <w:bookmarkStart w:id="13" w:name="OLE_LINK1"/>
      <w:r w:rsidR="00EB1141" w:rsidRPr="00EB1141">
        <w:rPr>
          <w:rFonts w:ascii="Arial" w:hAnsi="Arial" w:cs="Arial"/>
        </w:rPr>
        <w:t>1</w:t>
      </w:r>
      <w:r w:rsidR="00EB1141">
        <w:rPr>
          <w:rFonts w:ascii="Arial" w:hAnsi="Arial" w:cs="Arial"/>
        </w:rPr>
        <w:t>.</w:t>
      </w:r>
      <w:r w:rsidR="00EB1141" w:rsidRPr="00EB1141">
        <w:rPr>
          <w:rFonts w:ascii="Arial" w:hAnsi="Arial" w:cs="Arial"/>
        </w:rPr>
        <w:t>602</w:t>
      </w:r>
      <w:r w:rsidR="00EB1141">
        <w:rPr>
          <w:rFonts w:ascii="Arial" w:hAnsi="Arial" w:cs="Arial"/>
        </w:rPr>
        <w:t>.</w:t>
      </w:r>
      <w:r w:rsidR="00EB1141" w:rsidRPr="00EB1141">
        <w:rPr>
          <w:rFonts w:ascii="Arial" w:hAnsi="Arial" w:cs="Arial"/>
        </w:rPr>
        <w:t>302</w:t>
      </w:r>
      <w:r w:rsidR="00803CD3">
        <w:rPr>
          <w:rFonts w:ascii="Arial" w:hAnsi="Arial" w:cs="Arial"/>
        </w:rPr>
        <w:t xml:space="preserve"> millones</w:t>
      </w:r>
      <w:r w:rsidRPr="007135CB">
        <w:rPr>
          <w:rFonts w:ascii="Arial" w:hAnsi="Arial" w:cs="Arial"/>
        </w:rPr>
        <w:t xml:space="preserve"> </w:t>
      </w:r>
      <w:bookmarkEnd w:id="13"/>
      <w:r w:rsidRPr="007135CB">
        <w:rPr>
          <w:rFonts w:ascii="Arial" w:hAnsi="Arial" w:cs="Arial"/>
        </w:rPr>
        <w:t xml:space="preserve">equivalentes al </w:t>
      </w:r>
      <w:r w:rsidR="00202903">
        <w:rPr>
          <w:rFonts w:ascii="Arial" w:hAnsi="Arial" w:cs="Arial"/>
        </w:rPr>
        <w:t>60.31</w:t>
      </w:r>
      <w:r w:rsidRPr="007135CB">
        <w:rPr>
          <w:rFonts w:ascii="Arial" w:hAnsi="Arial" w:cs="Arial"/>
        </w:rPr>
        <w:t>%, las fuentes con más ejecución en la vigencia son: Cupo de endeudamiento con $</w:t>
      </w:r>
      <w:r w:rsidR="00E957C1">
        <w:rPr>
          <w:rFonts w:ascii="Arial" w:hAnsi="Arial" w:cs="Arial"/>
        </w:rPr>
        <w:t>451.874</w:t>
      </w:r>
      <w:r w:rsidRPr="007135CB">
        <w:rPr>
          <w:rFonts w:ascii="Arial" w:hAnsi="Arial" w:cs="Arial"/>
        </w:rPr>
        <w:t xml:space="preserve"> Millones, Sobretasa a la Gasolina con $</w:t>
      </w:r>
      <w:r w:rsidR="00E957C1">
        <w:rPr>
          <w:rFonts w:ascii="Arial" w:hAnsi="Arial" w:cs="Arial"/>
        </w:rPr>
        <w:t>124,085</w:t>
      </w:r>
      <w:r w:rsidRPr="007135CB">
        <w:rPr>
          <w:rFonts w:ascii="Arial" w:hAnsi="Arial" w:cs="Arial"/>
        </w:rPr>
        <w:t xml:space="preserve"> Millones, Transferencias Ordinarias con</w:t>
      </w:r>
      <w:r w:rsidR="00202903">
        <w:rPr>
          <w:rFonts w:ascii="Arial" w:hAnsi="Arial" w:cs="Arial"/>
        </w:rPr>
        <w:t xml:space="preserve"> </w:t>
      </w:r>
      <w:r w:rsidRPr="007135CB">
        <w:rPr>
          <w:rFonts w:ascii="Arial" w:hAnsi="Arial" w:cs="Arial"/>
        </w:rPr>
        <w:t>$</w:t>
      </w:r>
      <w:r w:rsidR="00E957C1">
        <w:rPr>
          <w:rFonts w:ascii="Arial" w:hAnsi="Arial" w:cs="Arial"/>
        </w:rPr>
        <w:t>513.363</w:t>
      </w:r>
      <w:r w:rsidRPr="007135CB">
        <w:rPr>
          <w:rFonts w:ascii="Arial" w:hAnsi="Arial" w:cs="Arial"/>
        </w:rPr>
        <w:t xml:space="preserve"> Millones, Valorización del Acuerdo </w:t>
      </w:r>
      <w:r w:rsidR="00E957C1">
        <w:rPr>
          <w:rFonts w:ascii="Arial" w:hAnsi="Arial" w:cs="Arial"/>
        </w:rPr>
        <w:t>724</w:t>
      </w:r>
      <w:r w:rsidRPr="007135CB">
        <w:rPr>
          <w:rFonts w:ascii="Arial" w:hAnsi="Arial" w:cs="Arial"/>
        </w:rPr>
        <w:t xml:space="preserve"> de 201</w:t>
      </w:r>
      <w:r w:rsidR="00E957C1">
        <w:rPr>
          <w:rFonts w:ascii="Arial" w:hAnsi="Arial" w:cs="Arial"/>
        </w:rPr>
        <w:t>8</w:t>
      </w:r>
      <w:r w:rsidRPr="007135CB">
        <w:rPr>
          <w:rFonts w:ascii="Arial" w:hAnsi="Arial" w:cs="Arial"/>
        </w:rPr>
        <w:t xml:space="preserve"> por $</w:t>
      </w:r>
      <w:r w:rsidR="00E957C1">
        <w:rPr>
          <w:rFonts w:ascii="Arial" w:hAnsi="Arial" w:cs="Arial"/>
        </w:rPr>
        <w:t>538,149</w:t>
      </w:r>
      <w:r w:rsidRPr="007135CB">
        <w:rPr>
          <w:rFonts w:ascii="Arial" w:hAnsi="Arial" w:cs="Arial"/>
        </w:rPr>
        <w:t xml:space="preserve"> millones y </w:t>
      </w:r>
      <w:r w:rsidR="00E957C1" w:rsidRPr="007135CB">
        <w:rPr>
          <w:rFonts w:ascii="Arial" w:hAnsi="Arial" w:cs="Arial"/>
        </w:rPr>
        <w:t xml:space="preserve">Valorización del Acuerdo </w:t>
      </w:r>
      <w:r w:rsidR="00E957C1">
        <w:rPr>
          <w:rFonts w:ascii="Arial" w:hAnsi="Arial" w:cs="Arial"/>
        </w:rPr>
        <w:t>690</w:t>
      </w:r>
      <w:r w:rsidR="00E957C1" w:rsidRPr="007135CB">
        <w:rPr>
          <w:rFonts w:ascii="Arial" w:hAnsi="Arial" w:cs="Arial"/>
        </w:rPr>
        <w:t xml:space="preserve"> de 201</w:t>
      </w:r>
      <w:r w:rsidR="00E957C1">
        <w:rPr>
          <w:rFonts w:ascii="Arial" w:hAnsi="Arial" w:cs="Arial"/>
        </w:rPr>
        <w:t>7</w:t>
      </w:r>
      <w:r w:rsidRPr="007135CB">
        <w:rPr>
          <w:rFonts w:ascii="Arial" w:hAnsi="Arial" w:cs="Arial"/>
        </w:rPr>
        <w:t xml:space="preserve"> por $ </w:t>
      </w:r>
      <w:r w:rsidR="00E957C1">
        <w:rPr>
          <w:rFonts w:ascii="Arial" w:hAnsi="Arial" w:cs="Arial"/>
        </w:rPr>
        <w:t>451,874</w:t>
      </w:r>
      <w:r w:rsidRPr="007135CB">
        <w:rPr>
          <w:rFonts w:ascii="Arial" w:hAnsi="Arial" w:cs="Arial"/>
        </w:rPr>
        <w:t xml:space="preserve"> millones.</w:t>
      </w:r>
    </w:p>
    <w:p w:rsidR="007135CB" w:rsidRPr="007135CB" w:rsidRDefault="007135CB" w:rsidP="007135CB">
      <w:pPr>
        <w:autoSpaceDE w:val="0"/>
        <w:autoSpaceDN w:val="0"/>
        <w:adjustRightInd w:val="0"/>
        <w:spacing w:after="0" w:line="240" w:lineRule="auto"/>
        <w:jc w:val="both"/>
        <w:rPr>
          <w:rFonts w:ascii="Arial" w:hAnsi="Arial" w:cs="Arial"/>
        </w:rPr>
      </w:pPr>
    </w:p>
    <w:p w:rsidR="00101AB3" w:rsidRPr="007135CB" w:rsidRDefault="00101AB3" w:rsidP="007135CB">
      <w:pPr>
        <w:spacing w:line="256" w:lineRule="auto"/>
        <w:jc w:val="both"/>
        <w:rPr>
          <w:rFonts w:ascii="Arial" w:hAnsi="Arial" w:cs="Arial"/>
        </w:rPr>
      </w:pPr>
      <w:r w:rsidRPr="007135CB">
        <w:rPr>
          <w:rFonts w:ascii="Arial" w:hAnsi="Arial" w:cs="Arial"/>
        </w:rPr>
        <w:t xml:space="preserve">A </w:t>
      </w:r>
      <w:r w:rsidR="00072018" w:rsidRPr="007135CB">
        <w:rPr>
          <w:rFonts w:ascii="Arial" w:hAnsi="Arial" w:cs="Arial"/>
        </w:rPr>
        <w:t>continuación,</w:t>
      </w:r>
      <w:r w:rsidRPr="007135CB">
        <w:rPr>
          <w:rFonts w:ascii="Arial" w:hAnsi="Arial" w:cs="Arial"/>
        </w:rPr>
        <w:t xml:space="preserve"> se detalla la ejecución por fuente de financiación:</w:t>
      </w:r>
    </w:p>
    <w:p w:rsidR="00786649" w:rsidRPr="00101AB3" w:rsidRDefault="00202903" w:rsidP="00202903">
      <w:pPr>
        <w:spacing w:line="256" w:lineRule="auto"/>
        <w:jc w:val="center"/>
        <w:rPr>
          <w:rFonts w:ascii="Arial" w:hAnsi="Arial" w:cs="Arial"/>
          <w:b/>
          <w:szCs w:val="24"/>
        </w:rPr>
      </w:pPr>
      <w:r w:rsidRPr="00202903">
        <w:rPr>
          <w:noProof/>
          <w:lang w:eastAsia="es-CO"/>
        </w:rPr>
        <w:drawing>
          <wp:inline distT="0" distB="0" distL="0" distR="0" wp14:anchorId="57E10A22" wp14:editId="6F4E9443">
            <wp:extent cx="4479093" cy="2586355"/>
            <wp:effectExtent l="0" t="0" r="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84552" cy="2589507"/>
                    </a:xfrm>
                    <a:prstGeom prst="rect">
                      <a:avLst/>
                    </a:prstGeom>
                    <a:noFill/>
                    <a:ln>
                      <a:noFill/>
                    </a:ln>
                  </pic:spPr>
                </pic:pic>
              </a:graphicData>
            </a:graphic>
          </wp:inline>
        </w:drawing>
      </w:r>
    </w:p>
    <w:p w:rsidR="00881FD0" w:rsidRPr="002934A7" w:rsidRDefault="00881FD0" w:rsidP="00A85ED4">
      <w:pPr>
        <w:spacing w:line="256" w:lineRule="auto"/>
        <w:jc w:val="both"/>
        <w:rPr>
          <w:rFonts w:ascii="Arial" w:hAnsi="Arial" w:cs="Arial"/>
          <w:szCs w:val="24"/>
        </w:rPr>
      </w:pPr>
    </w:p>
    <w:p w:rsidR="0062711D" w:rsidRPr="008340E7" w:rsidRDefault="0062711D" w:rsidP="00D0183B">
      <w:pPr>
        <w:pStyle w:val="Ttulo2"/>
        <w:numPr>
          <w:ilvl w:val="1"/>
          <w:numId w:val="20"/>
        </w:numPr>
        <w:rPr>
          <w:sz w:val="24"/>
          <w:szCs w:val="24"/>
        </w:rPr>
      </w:pPr>
      <w:bookmarkStart w:id="14" w:name="_Toc30774600"/>
      <w:r w:rsidRPr="008340E7">
        <w:rPr>
          <w:sz w:val="24"/>
          <w:szCs w:val="24"/>
        </w:rPr>
        <w:t>EJECUCIÓN DE GASTOS</w:t>
      </w:r>
      <w:bookmarkEnd w:id="14"/>
    </w:p>
    <w:p w:rsidR="0062711D" w:rsidRPr="007135CB" w:rsidRDefault="0062711D" w:rsidP="007135CB">
      <w:pPr>
        <w:spacing w:line="276" w:lineRule="auto"/>
        <w:jc w:val="both"/>
        <w:rPr>
          <w:rFonts w:ascii="Arial" w:hAnsi="Arial" w:cs="Arial"/>
        </w:rPr>
      </w:pPr>
      <w:r w:rsidRPr="007135CB">
        <w:rPr>
          <w:rFonts w:ascii="Arial" w:hAnsi="Arial" w:cs="Arial"/>
        </w:rPr>
        <w:lastRenderedPageBreak/>
        <w:t>El Presupuesto vigente de Gastos e Inversiones al igual que el de Rentas e Ingresos a 3</w:t>
      </w:r>
      <w:r w:rsidR="00AE0EB1">
        <w:rPr>
          <w:rFonts w:ascii="Arial" w:hAnsi="Arial" w:cs="Arial"/>
        </w:rPr>
        <w:t>1</w:t>
      </w:r>
      <w:r w:rsidRPr="007135CB">
        <w:rPr>
          <w:rFonts w:ascii="Arial" w:hAnsi="Arial" w:cs="Arial"/>
        </w:rPr>
        <w:t xml:space="preserve"> de </w:t>
      </w:r>
      <w:r w:rsidR="00202903">
        <w:rPr>
          <w:rFonts w:ascii="Arial" w:hAnsi="Arial" w:cs="Arial"/>
        </w:rPr>
        <w:t>diciembre</w:t>
      </w:r>
      <w:r w:rsidR="00747194">
        <w:rPr>
          <w:rFonts w:ascii="Arial" w:hAnsi="Arial" w:cs="Arial"/>
        </w:rPr>
        <w:t xml:space="preserve"> de 2019, </w:t>
      </w:r>
      <w:r w:rsidR="00202903">
        <w:rPr>
          <w:rFonts w:ascii="Arial" w:hAnsi="Arial" w:cs="Arial"/>
        </w:rPr>
        <w:t>ascendió a la suma de</w:t>
      </w:r>
      <w:r w:rsidR="00747194">
        <w:rPr>
          <w:rFonts w:ascii="Arial" w:hAnsi="Arial" w:cs="Arial"/>
        </w:rPr>
        <w:t xml:space="preserve"> $</w:t>
      </w:r>
      <w:r w:rsidR="001A5C49">
        <w:rPr>
          <w:rFonts w:ascii="Arial" w:hAnsi="Arial" w:cs="Arial"/>
        </w:rPr>
        <w:t>2,8</w:t>
      </w:r>
      <w:r w:rsidR="00747194">
        <w:rPr>
          <w:rFonts w:ascii="Arial" w:hAnsi="Arial" w:cs="Arial"/>
        </w:rPr>
        <w:t xml:space="preserve"> billones.</w:t>
      </w:r>
    </w:p>
    <w:p w:rsidR="0062711D" w:rsidRDefault="0062711D" w:rsidP="007135CB">
      <w:pPr>
        <w:pStyle w:val="Descripcin"/>
        <w:rPr>
          <w:rFonts w:ascii="Arial" w:hAnsi="Arial" w:cs="Arial"/>
          <w:color w:val="auto"/>
          <w:sz w:val="20"/>
          <w:szCs w:val="20"/>
        </w:rPr>
      </w:pPr>
      <w:bookmarkStart w:id="15" w:name="_Toc27665525"/>
      <w:r w:rsidRPr="00987B1A">
        <w:rPr>
          <w:rFonts w:ascii="Arial" w:hAnsi="Arial" w:cs="Arial"/>
          <w:color w:val="auto"/>
          <w:sz w:val="20"/>
          <w:szCs w:val="20"/>
        </w:rPr>
        <w:t>Presupuesto de gastos e inversión 2019</w:t>
      </w:r>
      <w:bookmarkEnd w:id="15"/>
    </w:p>
    <w:p w:rsidR="001A5C49" w:rsidRPr="001A5C49" w:rsidRDefault="001A5C49" w:rsidP="00202903">
      <w:pPr>
        <w:jc w:val="center"/>
      </w:pPr>
      <w:r w:rsidRPr="001A5C49">
        <w:rPr>
          <w:noProof/>
          <w:lang w:eastAsia="es-CO"/>
        </w:rPr>
        <w:drawing>
          <wp:inline distT="0" distB="0" distL="0" distR="0" wp14:anchorId="349ACD58" wp14:editId="31C47E50">
            <wp:extent cx="4677253" cy="2224405"/>
            <wp:effectExtent l="0" t="0" r="9525" b="4445"/>
            <wp:docPr id="2097" name="Imagen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87128" cy="2229102"/>
                    </a:xfrm>
                    <a:prstGeom prst="rect">
                      <a:avLst/>
                    </a:prstGeom>
                    <a:noFill/>
                    <a:ln>
                      <a:noFill/>
                    </a:ln>
                  </pic:spPr>
                </pic:pic>
              </a:graphicData>
            </a:graphic>
          </wp:inline>
        </w:drawing>
      </w:r>
    </w:p>
    <w:p w:rsidR="001A5C49" w:rsidRDefault="00AE0EB1" w:rsidP="007135CB">
      <w:pPr>
        <w:spacing w:line="276" w:lineRule="auto"/>
        <w:jc w:val="both"/>
        <w:rPr>
          <w:rFonts w:ascii="Arial" w:hAnsi="Arial" w:cs="Arial"/>
        </w:rPr>
      </w:pPr>
      <w:r>
        <w:rPr>
          <w:rFonts w:ascii="Arial" w:hAnsi="Arial" w:cs="Arial"/>
        </w:rPr>
        <w:t>A 31</w:t>
      </w:r>
      <w:r w:rsidR="0062711D" w:rsidRPr="007135CB">
        <w:rPr>
          <w:rFonts w:ascii="Arial" w:hAnsi="Arial" w:cs="Arial"/>
        </w:rPr>
        <w:t xml:space="preserve"> de </w:t>
      </w:r>
      <w:r w:rsidR="00202903">
        <w:rPr>
          <w:rFonts w:ascii="Arial" w:hAnsi="Arial" w:cs="Arial"/>
        </w:rPr>
        <w:t>diciembre</w:t>
      </w:r>
      <w:r w:rsidR="0062711D" w:rsidRPr="007135CB">
        <w:rPr>
          <w:rFonts w:ascii="Arial" w:hAnsi="Arial" w:cs="Arial"/>
        </w:rPr>
        <w:t xml:space="preserve"> de 2019, se comprometieron recursos por $1.</w:t>
      </w:r>
      <w:r w:rsidR="001A5C49">
        <w:rPr>
          <w:rFonts w:ascii="Arial" w:hAnsi="Arial" w:cs="Arial"/>
        </w:rPr>
        <w:t>668,842</w:t>
      </w:r>
      <w:r w:rsidR="0062711D" w:rsidRPr="007135CB">
        <w:rPr>
          <w:rFonts w:ascii="Arial" w:hAnsi="Arial" w:cs="Arial"/>
        </w:rPr>
        <w:t xml:space="preserve"> millones, dando como resultado un porcentaje de ejecución del </w:t>
      </w:r>
      <w:r w:rsidR="001A5C49">
        <w:rPr>
          <w:rFonts w:ascii="Arial" w:hAnsi="Arial" w:cs="Arial"/>
        </w:rPr>
        <w:t>59,47.</w:t>
      </w:r>
    </w:p>
    <w:p w:rsidR="00607048" w:rsidRPr="007135CB" w:rsidRDefault="0062711D" w:rsidP="007135CB">
      <w:pPr>
        <w:spacing w:line="276" w:lineRule="auto"/>
        <w:jc w:val="both"/>
        <w:rPr>
          <w:rFonts w:ascii="Arial" w:hAnsi="Arial" w:cs="Arial"/>
        </w:rPr>
      </w:pPr>
      <w:r w:rsidRPr="007135CB">
        <w:rPr>
          <w:rFonts w:ascii="Arial" w:hAnsi="Arial" w:cs="Arial"/>
        </w:rPr>
        <w:t>En los Pasivos Exigibles la apropiación definitiva va incluida dentro de la inve</w:t>
      </w:r>
      <w:r w:rsidR="007135CB">
        <w:rPr>
          <w:rFonts w:ascii="Arial" w:hAnsi="Arial" w:cs="Arial"/>
        </w:rPr>
        <w:t>rsión directa para el año 2019.</w:t>
      </w:r>
    </w:p>
    <w:p w:rsidR="00607048" w:rsidRPr="00551731" w:rsidRDefault="00607048" w:rsidP="00A85ED4">
      <w:pPr>
        <w:spacing w:line="256" w:lineRule="auto"/>
        <w:jc w:val="both"/>
        <w:rPr>
          <w:rFonts w:ascii="Arial" w:hAnsi="Arial" w:cs="Arial"/>
        </w:rPr>
      </w:pPr>
      <w:r w:rsidRPr="00551731">
        <w:rPr>
          <w:rFonts w:ascii="Arial" w:hAnsi="Arial" w:cs="Arial"/>
        </w:rPr>
        <w:t>La gestión presupuestal y la ejecución de los recursos se ha realizado de manera eficiente, gracias a la gestión clara, transparente, oportuna y confiable frente del presupuesto asignado a la Entidad, permitiendo dejar como legado para la gestión por Bogotá haber contribuido de manera significativa a obtener, producto de las Auditorias de Regularidad de los años 2016, 2017 y 2018 efectuadas por la Contraloría de Bogotá, concepto de confiabilidad sobre el Control Interno Contable; presentación oportuna de la Cuenta Anual; Estados Contables con razonabilidad en la situación financiera y presupuestal de la Entidad y, lo más importante, concepto de fenecimiento para esas vigencias</w:t>
      </w:r>
    </w:p>
    <w:p w:rsidR="00607048" w:rsidRPr="00551731" w:rsidRDefault="00607048" w:rsidP="00A85ED4">
      <w:pPr>
        <w:spacing w:line="256" w:lineRule="auto"/>
        <w:jc w:val="both"/>
        <w:rPr>
          <w:rFonts w:ascii="Arial" w:hAnsi="Arial" w:cs="Arial"/>
        </w:rPr>
      </w:pPr>
      <w:r w:rsidRPr="00551731">
        <w:rPr>
          <w:rFonts w:ascii="Arial" w:hAnsi="Arial" w:cs="Arial"/>
        </w:rPr>
        <w:t>Dentro de la gestión presupuestal resulta innovador en la gestión y ejemplo de éxito, la implementación del nuevo plan de cuentas presupuestal indicado por el Gobierno Nacional para las entidades territoriales, ya aplicado y en ejecución al interior del Instituto de Desarrollo Urbano, desde la vigencia 2019.</w:t>
      </w:r>
    </w:p>
    <w:p w:rsidR="00872137" w:rsidRDefault="00607048" w:rsidP="00A85ED4">
      <w:pPr>
        <w:spacing w:line="256" w:lineRule="auto"/>
        <w:jc w:val="both"/>
        <w:rPr>
          <w:rFonts w:ascii="Arial" w:hAnsi="Arial" w:cs="Arial"/>
        </w:rPr>
      </w:pPr>
      <w:r w:rsidRPr="00551731">
        <w:rPr>
          <w:rFonts w:ascii="Arial" w:hAnsi="Arial" w:cs="Arial"/>
        </w:rPr>
        <w:t>La realización eficiente de la ejecución de los recursos presupuestales esta cimentada en las buenas prácticas implementadas, la innovación y los logros obtenidos a partir de la generación de confianza en el trabajo y competencias, enmarcadas en un trabajo en equipo, caracterizado por la incansable labor de liderazgo ejercida desde la Dirección General.</w:t>
      </w:r>
    </w:p>
    <w:p w:rsidR="00551731" w:rsidRPr="00551731" w:rsidRDefault="00551731" w:rsidP="00A85ED4">
      <w:pPr>
        <w:spacing w:line="256" w:lineRule="auto"/>
        <w:jc w:val="both"/>
        <w:rPr>
          <w:rFonts w:ascii="Arial" w:hAnsi="Arial" w:cs="Arial"/>
        </w:rPr>
      </w:pPr>
    </w:p>
    <w:p w:rsidR="003A3A63" w:rsidRPr="00551731" w:rsidRDefault="00A44A6B" w:rsidP="003D08ED">
      <w:pPr>
        <w:pStyle w:val="Ttulo2"/>
        <w:numPr>
          <w:ilvl w:val="0"/>
          <w:numId w:val="0"/>
        </w:numPr>
        <w:ind w:left="1428" w:hanging="360"/>
        <w:jc w:val="center"/>
        <w:rPr>
          <w:sz w:val="22"/>
        </w:rPr>
      </w:pPr>
      <w:bookmarkStart w:id="16" w:name="_Toc30774601"/>
      <w:r w:rsidRPr="00551731">
        <w:rPr>
          <w:sz w:val="22"/>
        </w:rPr>
        <w:t>CAPITULO 3 GESTIÓN DE PROCESOS ESTRATÉGICOS Y DE CONTROL</w:t>
      </w:r>
      <w:bookmarkEnd w:id="16"/>
    </w:p>
    <w:p w:rsidR="003D08ED" w:rsidRPr="00551731" w:rsidRDefault="003D08ED" w:rsidP="003D08ED">
      <w:pPr>
        <w:rPr>
          <w:rFonts w:ascii="Arial" w:hAnsi="Arial" w:cs="Arial"/>
          <w:b/>
        </w:rPr>
      </w:pPr>
    </w:p>
    <w:p w:rsidR="003A3A63" w:rsidRPr="00551731" w:rsidRDefault="002B4C96" w:rsidP="003D08ED">
      <w:pPr>
        <w:pStyle w:val="Ttulo3"/>
        <w:keepNext w:val="0"/>
        <w:keepLines w:val="0"/>
        <w:numPr>
          <w:ilvl w:val="1"/>
          <w:numId w:val="5"/>
        </w:numPr>
        <w:spacing w:before="0" w:line="276" w:lineRule="auto"/>
        <w:jc w:val="center"/>
        <w:rPr>
          <w:rFonts w:ascii="Arial" w:eastAsiaTheme="minorHAnsi" w:hAnsi="Arial" w:cs="Arial"/>
          <w:b/>
          <w:color w:val="auto"/>
          <w:sz w:val="22"/>
          <w:szCs w:val="22"/>
        </w:rPr>
      </w:pPr>
      <w:bookmarkStart w:id="17" w:name="_Toc27665263"/>
      <w:bookmarkStart w:id="18" w:name="_Toc30774602"/>
      <w:r w:rsidRPr="00551731">
        <w:rPr>
          <w:rFonts w:ascii="Arial" w:eastAsiaTheme="minorHAnsi" w:hAnsi="Arial" w:cs="Arial"/>
          <w:b/>
          <w:color w:val="auto"/>
          <w:sz w:val="22"/>
          <w:szCs w:val="22"/>
        </w:rPr>
        <w:t>MODELO INTEGRADO DE PLANEACIÓN Y GESTIÓN</w:t>
      </w:r>
      <w:bookmarkEnd w:id="17"/>
      <w:bookmarkEnd w:id="18"/>
    </w:p>
    <w:p w:rsidR="003D08ED" w:rsidRPr="00551731" w:rsidRDefault="003D08ED" w:rsidP="003D08ED">
      <w:pPr>
        <w:rPr>
          <w:rFonts w:ascii="Arial" w:hAnsi="Arial" w:cs="Arial"/>
          <w:b/>
        </w:rPr>
      </w:pPr>
    </w:p>
    <w:p w:rsidR="004001AB" w:rsidRPr="004001AB" w:rsidRDefault="004001AB" w:rsidP="004001AB">
      <w:pPr>
        <w:spacing w:line="276" w:lineRule="auto"/>
        <w:jc w:val="both"/>
        <w:rPr>
          <w:rFonts w:ascii="Arial" w:hAnsi="Arial" w:cs="Arial"/>
        </w:rPr>
      </w:pPr>
      <w:r w:rsidRPr="004001AB">
        <w:rPr>
          <w:rFonts w:ascii="Arial" w:hAnsi="Arial" w:cs="Arial"/>
        </w:rPr>
        <w:t>Durante el cuatrienio la base normativa de los Sistemas de Gestión en el sector público sufrió un drástico cambio con la derogación de la norma NTCGP 1000:2009 adoptada mediante la ley 872 de 2003, base del Sistema de Gestión de Calidad, a través del Decreto 1499 de 2017, en el cual se adopta el Modelo Integrado de Planeación y Gestión - MIPG.</w:t>
      </w:r>
    </w:p>
    <w:p w:rsidR="004001AB" w:rsidRPr="004001AB" w:rsidRDefault="004001AB" w:rsidP="004001AB">
      <w:pPr>
        <w:spacing w:line="276" w:lineRule="auto"/>
        <w:jc w:val="both"/>
        <w:rPr>
          <w:rFonts w:ascii="Arial" w:hAnsi="Arial" w:cs="Arial"/>
        </w:rPr>
      </w:pPr>
      <w:r w:rsidRPr="004001AB">
        <w:rPr>
          <w:rFonts w:ascii="Arial" w:hAnsi="Arial" w:cs="Arial"/>
        </w:rPr>
        <w:t xml:space="preserve">El MIPG además de absorber los conceptos frente a calidad para el Sector Público, incluye el Sistema de Desarrollo Administrativo y el Modelo Estándar de Control Interno (MECI). </w:t>
      </w:r>
    </w:p>
    <w:p w:rsidR="004001AB" w:rsidRPr="004001AB" w:rsidRDefault="004001AB" w:rsidP="004001AB">
      <w:pPr>
        <w:spacing w:line="276" w:lineRule="auto"/>
        <w:jc w:val="both"/>
        <w:rPr>
          <w:rFonts w:ascii="Arial" w:hAnsi="Arial" w:cs="Arial"/>
        </w:rPr>
      </w:pPr>
      <w:r w:rsidRPr="004001AB">
        <w:rPr>
          <w:rFonts w:ascii="Arial" w:hAnsi="Arial" w:cs="Arial"/>
        </w:rPr>
        <w:t>El MIPG está orientado a cumplir 17 políticas transversales del sector, emanadas por 11 Entidades públicas. La políticas son: Planeación Institucional; Gestión Presupuestal y eficiencia del gasto público; Talento Humano; Integridad; Transparencia, acceso a la información pública y lucha contra la corrupción; Fortalecimiento organizacional y simplificación de procesos; Servicio al ciudadano; Participación ciudadana en la gestión pública; Racionalización de trámites;  Gestión documental; Gobierno Digital; Seguridad Digital; Defensa jurídica; Gestión del conocimiento y la innovación; Control Interno; y Seguimiento y evaluación del desempeño institucional.</w:t>
      </w:r>
    </w:p>
    <w:p w:rsidR="004001AB" w:rsidRDefault="004001AB" w:rsidP="004001AB">
      <w:pPr>
        <w:spacing w:line="276" w:lineRule="auto"/>
        <w:jc w:val="both"/>
        <w:rPr>
          <w:rFonts w:ascii="Arial" w:hAnsi="Arial" w:cs="Arial"/>
        </w:rPr>
      </w:pPr>
      <w:r w:rsidRPr="004001AB">
        <w:rPr>
          <w:rFonts w:ascii="Arial" w:hAnsi="Arial" w:cs="Arial"/>
        </w:rPr>
        <w:t>El MIPG incluye diecisiete planes institucionales, los cuales son requeridos por seis entidades distintas, como puede evidenciarse en la gráfica adjunta.</w:t>
      </w:r>
    </w:p>
    <w:p w:rsidR="00551731" w:rsidRDefault="00551731" w:rsidP="004001AB">
      <w:pPr>
        <w:pStyle w:val="Descripcin"/>
        <w:spacing w:after="0"/>
        <w:jc w:val="center"/>
        <w:rPr>
          <w:rFonts w:ascii="Arial" w:hAnsi="Arial" w:cs="Arial"/>
          <w:color w:val="auto"/>
          <w:sz w:val="22"/>
          <w:szCs w:val="22"/>
        </w:rPr>
      </w:pPr>
      <w:bookmarkStart w:id="19" w:name="_Toc27665774"/>
    </w:p>
    <w:p w:rsidR="004001AB" w:rsidRPr="004001AB" w:rsidRDefault="004001AB" w:rsidP="004001AB">
      <w:pPr>
        <w:pStyle w:val="Descripcin"/>
        <w:spacing w:after="0"/>
        <w:jc w:val="center"/>
        <w:rPr>
          <w:rFonts w:ascii="Arial" w:hAnsi="Arial" w:cs="Arial"/>
          <w:sz w:val="22"/>
          <w:szCs w:val="22"/>
        </w:rPr>
      </w:pPr>
      <w:r w:rsidRPr="004001AB">
        <w:rPr>
          <w:rFonts w:ascii="Arial" w:hAnsi="Arial" w:cs="Arial"/>
          <w:color w:val="auto"/>
          <w:sz w:val="22"/>
          <w:szCs w:val="22"/>
        </w:rPr>
        <w:t>Planes institucionales incluidos en el MIPG</w:t>
      </w:r>
      <w:bookmarkEnd w:id="19"/>
    </w:p>
    <w:p w:rsidR="004001AB" w:rsidRPr="004001AB" w:rsidRDefault="004001AB" w:rsidP="00202903">
      <w:pPr>
        <w:keepNext/>
        <w:spacing w:line="276" w:lineRule="auto"/>
        <w:jc w:val="center"/>
        <w:rPr>
          <w:rFonts w:ascii="Arial" w:hAnsi="Arial" w:cs="Arial"/>
          <w:lang w:val="en-US"/>
        </w:rPr>
      </w:pPr>
      <w:r w:rsidRPr="004001AB">
        <w:rPr>
          <w:rFonts w:ascii="Arial" w:hAnsi="Arial" w:cs="Arial"/>
          <w:noProof/>
          <w:lang w:eastAsia="es-CO"/>
        </w:rPr>
        <w:drawing>
          <wp:inline distT="0" distB="0" distL="0" distR="0" wp14:anchorId="5A2E98A1" wp14:editId="48A242F6">
            <wp:extent cx="4053593" cy="2782318"/>
            <wp:effectExtent l="0" t="0" r="444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93004" cy="2809369"/>
                    </a:xfrm>
                    <a:prstGeom prst="rect">
                      <a:avLst/>
                    </a:prstGeom>
                    <a:noFill/>
                    <a:ln>
                      <a:noFill/>
                    </a:ln>
                  </pic:spPr>
                </pic:pic>
              </a:graphicData>
            </a:graphic>
          </wp:inline>
        </w:drawing>
      </w:r>
    </w:p>
    <w:p w:rsidR="004001AB" w:rsidRPr="004001AB" w:rsidRDefault="004001AB" w:rsidP="004001AB">
      <w:pPr>
        <w:pStyle w:val="Descripcin"/>
        <w:spacing w:line="276" w:lineRule="auto"/>
        <w:rPr>
          <w:rFonts w:ascii="Arial" w:hAnsi="Arial" w:cs="Arial"/>
          <w:color w:val="auto"/>
          <w:sz w:val="20"/>
          <w:szCs w:val="20"/>
        </w:rPr>
      </w:pPr>
      <w:bookmarkStart w:id="20" w:name="_Ref27057288"/>
      <w:r w:rsidRPr="004001AB">
        <w:rPr>
          <w:rFonts w:ascii="Arial" w:hAnsi="Arial" w:cs="Arial"/>
          <w:color w:val="auto"/>
          <w:sz w:val="20"/>
          <w:szCs w:val="20"/>
        </w:rPr>
        <w:t xml:space="preserve"> Fuente: </w:t>
      </w:r>
      <w:hyperlink r:id="rId17" w:history="1">
        <w:r w:rsidRPr="004001AB">
          <w:rPr>
            <w:rStyle w:val="Hipervnculo"/>
            <w:rFonts w:ascii="Arial" w:hAnsi="Arial" w:cs="Arial"/>
            <w:color w:val="auto"/>
            <w:sz w:val="20"/>
            <w:szCs w:val="20"/>
          </w:rPr>
          <w:t>https://www.funcionpublica.gov.co/eva/mipg/pdf/Presentacion_MIPG.pdf</w:t>
        </w:r>
      </w:hyperlink>
      <w:bookmarkEnd w:id="20"/>
    </w:p>
    <w:p w:rsidR="004001AB" w:rsidRPr="004001AB" w:rsidRDefault="004001AB" w:rsidP="004001AB">
      <w:pPr>
        <w:spacing w:line="276" w:lineRule="auto"/>
        <w:jc w:val="both"/>
        <w:rPr>
          <w:rFonts w:ascii="Arial" w:hAnsi="Arial" w:cs="Arial"/>
        </w:rPr>
      </w:pPr>
      <w:r w:rsidRPr="004001AB">
        <w:rPr>
          <w:rFonts w:ascii="Arial" w:hAnsi="Arial" w:cs="Arial"/>
        </w:rPr>
        <w:t xml:space="preserve">De acuerdo con la información entregada por el DAFP con corte a diciembre de 2018, el IDU alcanzó el 79,3% de avance. Dicho avance ubica al IDU como la quinta mejor Entidad </w:t>
      </w:r>
      <w:r w:rsidRPr="004001AB">
        <w:rPr>
          <w:rFonts w:ascii="Arial" w:hAnsi="Arial" w:cs="Arial"/>
        </w:rPr>
        <w:lastRenderedPageBreak/>
        <w:t xml:space="preserve">en el Distrito, hecho reconocido oficialmente por la Dirección Distrital de Desarrollo Institucional de la Secretaria General, líder del Premio Distrital a la Gestión (PDG). </w:t>
      </w:r>
    </w:p>
    <w:p w:rsidR="004001AB" w:rsidRPr="004001AB" w:rsidRDefault="004001AB" w:rsidP="004001AB">
      <w:pPr>
        <w:spacing w:line="276" w:lineRule="auto"/>
        <w:jc w:val="both"/>
        <w:rPr>
          <w:rFonts w:ascii="Arial" w:hAnsi="Arial" w:cs="Arial"/>
        </w:rPr>
      </w:pPr>
      <w:r w:rsidRPr="004001AB">
        <w:rPr>
          <w:rFonts w:ascii="Arial" w:hAnsi="Arial" w:cs="Arial"/>
        </w:rPr>
        <w:t>En el PDG 2019, el IDU en la categoría Entidad Grande, recibió la mención de honor por sus avances en el MIPG cuantificados a partir del FURAG II, el tres de septiembre de 2019.</w:t>
      </w:r>
    </w:p>
    <w:p w:rsidR="004001AB" w:rsidRPr="002E1DFD" w:rsidRDefault="004001AB" w:rsidP="002E1DFD">
      <w:pPr>
        <w:pStyle w:val="Descripcin"/>
        <w:spacing w:after="0" w:line="276" w:lineRule="auto"/>
        <w:jc w:val="center"/>
        <w:rPr>
          <w:rFonts w:ascii="Arial" w:hAnsi="Arial" w:cs="Arial"/>
          <w:color w:val="auto"/>
          <w:sz w:val="20"/>
          <w:szCs w:val="20"/>
        </w:rPr>
      </w:pPr>
      <w:bookmarkStart w:id="21" w:name="_Toc27665775"/>
      <w:r w:rsidRPr="002E1DFD">
        <w:rPr>
          <w:rFonts w:ascii="Arial" w:hAnsi="Arial" w:cs="Arial"/>
          <w:color w:val="auto"/>
          <w:sz w:val="20"/>
          <w:szCs w:val="20"/>
        </w:rPr>
        <w:t>Ceremonia de entrega PDG 2019</w:t>
      </w:r>
      <w:bookmarkEnd w:id="21"/>
    </w:p>
    <w:p w:rsidR="004001AB" w:rsidRPr="004001AB" w:rsidRDefault="004001AB" w:rsidP="002E1DFD">
      <w:pPr>
        <w:keepNext/>
        <w:spacing w:line="276" w:lineRule="auto"/>
        <w:jc w:val="center"/>
        <w:rPr>
          <w:rFonts w:ascii="Arial" w:hAnsi="Arial" w:cs="Arial"/>
          <w:lang w:val="en-US"/>
        </w:rPr>
      </w:pPr>
      <w:r w:rsidRPr="004001AB">
        <w:rPr>
          <w:rFonts w:ascii="Arial" w:hAnsi="Arial" w:cs="Arial"/>
          <w:noProof/>
          <w:lang w:eastAsia="es-CO"/>
        </w:rPr>
        <w:drawing>
          <wp:inline distT="0" distB="0" distL="0" distR="0" wp14:anchorId="13EFB57B" wp14:editId="6E11E88D">
            <wp:extent cx="2637766" cy="1973580"/>
            <wp:effectExtent l="0" t="0" r="0" b="7620"/>
            <wp:docPr id="16" name="Imagen 16" descr="Ver imagen en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Ver imagen en Twitte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37766" cy="1973580"/>
                    </a:xfrm>
                    <a:prstGeom prst="rect">
                      <a:avLst/>
                    </a:prstGeom>
                    <a:noFill/>
                    <a:ln>
                      <a:noFill/>
                    </a:ln>
                  </pic:spPr>
                </pic:pic>
              </a:graphicData>
            </a:graphic>
          </wp:inline>
        </w:drawing>
      </w:r>
    </w:p>
    <w:p w:rsidR="004001AB" w:rsidRPr="004B40A4" w:rsidRDefault="004001AB" w:rsidP="002E1DFD">
      <w:pPr>
        <w:pStyle w:val="Descripcin"/>
        <w:spacing w:after="0" w:line="276" w:lineRule="auto"/>
        <w:jc w:val="center"/>
        <w:rPr>
          <w:rFonts w:ascii="Arial" w:hAnsi="Arial" w:cs="Arial"/>
          <w:color w:val="auto"/>
          <w:sz w:val="20"/>
          <w:szCs w:val="20"/>
        </w:rPr>
      </w:pPr>
      <w:r w:rsidRPr="004B40A4">
        <w:rPr>
          <w:rFonts w:ascii="Arial" w:hAnsi="Arial" w:cs="Arial"/>
          <w:color w:val="auto"/>
          <w:sz w:val="20"/>
          <w:szCs w:val="20"/>
        </w:rPr>
        <w:t xml:space="preserve">Fuente: </w:t>
      </w:r>
      <w:hyperlink r:id="rId19" w:history="1">
        <w:r w:rsidR="004B40A4" w:rsidRPr="004B40A4">
          <w:rPr>
            <w:rStyle w:val="Hipervnculo"/>
            <w:rFonts w:ascii="Arial" w:hAnsi="Arial" w:cs="Arial"/>
            <w:color w:val="auto"/>
            <w:sz w:val="20"/>
            <w:szCs w:val="20"/>
          </w:rPr>
          <w:t>https://secretariageneral.gov.co/noticias/bogota-entrego-premio-gestion-2019</w:t>
        </w:r>
      </w:hyperlink>
    </w:p>
    <w:p w:rsidR="004B40A4" w:rsidRPr="00CB1E1C" w:rsidRDefault="004B40A4" w:rsidP="004B40A4">
      <w:pPr>
        <w:rPr>
          <w:rFonts w:ascii="Arial" w:hAnsi="Arial" w:cs="Arial"/>
        </w:rPr>
      </w:pPr>
    </w:p>
    <w:p w:rsidR="00CB1E1C" w:rsidRPr="00CB1E1C" w:rsidRDefault="00CB1E1C" w:rsidP="00D0183B">
      <w:pPr>
        <w:pStyle w:val="Ttulo3"/>
        <w:keepNext w:val="0"/>
        <w:keepLines w:val="0"/>
        <w:numPr>
          <w:ilvl w:val="1"/>
          <w:numId w:val="6"/>
        </w:numPr>
        <w:tabs>
          <w:tab w:val="left" w:pos="851"/>
        </w:tabs>
        <w:spacing w:before="0" w:line="276" w:lineRule="auto"/>
        <w:jc w:val="both"/>
        <w:rPr>
          <w:rFonts w:ascii="Arial" w:hAnsi="Arial" w:cs="Arial"/>
          <w:b/>
          <w:color w:val="auto"/>
          <w:sz w:val="22"/>
          <w:szCs w:val="22"/>
        </w:rPr>
      </w:pPr>
      <w:bookmarkStart w:id="22" w:name="_Toc27665265"/>
      <w:bookmarkStart w:id="23" w:name="_Toc30774603"/>
      <w:r w:rsidRPr="00CB1E1C">
        <w:rPr>
          <w:rFonts w:ascii="Arial" w:hAnsi="Arial" w:cs="Arial"/>
          <w:b/>
          <w:color w:val="auto"/>
          <w:sz w:val="22"/>
          <w:szCs w:val="22"/>
        </w:rPr>
        <w:t>SUBSISTEMAS DE GESTIÓN</w:t>
      </w:r>
      <w:bookmarkEnd w:id="22"/>
      <w:bookmarkEnd w:id="23"/>
    </w:p>
    <w:p w:rsidR="00CB1E1C" w:rsidRPr="00CB1E1C" w:rsidRDefault="00CB1E1C" w:rsidP="00CB1E1C">
      <w:pPr>
        <w:spacing w:line="276" w:lineRule="auto"/>
        <w:rPr>
          <w:rFonts w:ascii="Arial" w:hAnsi="Arial" w:cs="Arial"/>
        </w:rPr>
      </w:pPr>
    </w:p>
    <w:p w:rsidR="00CB1E1C" w:rsidRDefault="00CB1E1C" w:rsidP="00551731">
      <w:pPr>
        <w:spacing w:line="276" w:lineRule="auto"/>
        <w:jc w:val="both"/>
        <w:rPr>
          <w:rFonts w:ascii="Arial" w:hAnsi="Arial" w:cs="Arial"/>
        </w:rPr>
      </w:pPr>
      <w:r w:rsidRPr="00CB1E1C">
        <w:rPr>
          <w:rFonts w:ascii="Arial" w:hAnsi="Arial" w:cs="Arial"/>
        </w:rPr>
        <w:t>El MIPG-SIG está conformado por nueve subsistemas que reúnen las buenas prácticas de los ámbitos de gestión considerados como claves o relevantes para la estrategia organizacional. Los subsistemas se basan en normas de gestión internacionales referentes para la temática o materia. A continuación, será explicado de forma breve, cada uno de ellos:</w:t>
      </w:r>
    </w:p>
    <w:p w:rsidR="00551731" w:rsidRPr="00CB1E1C" w:rsidRDefault="00551731" w:rsidP="00551731">
      <w:pPr>
        <w:spacing w:line="276" w:lineRule="auto"/>
        <w:jc w:val="both"/>
        <w:rPr>
          <w:rFonts w:ascii="Arial" w:hAnsi="Arial" w:cs="Arial"/>
        </w:rPr>
      </w:pPr>
    </w:p>
    <w:p w:rsidR="00CB1E1C" w:rsidRPr="006A7A45" w:rsidRDefault="00CB1E1C" w:rsidP="00551731">
      <w:pPr>
        <w:pStyle w:val="Ttulo3"/>
        <w:keepNext w:val="0"/>
        <w:keepLines w:val="0"/>
        <w:numPr>
          <w:ilvl w:val="2"/>
          <w:numId w:val="6"/>
        </w:numPr>
        <w:tabs>
          <w:tab w:val="left" w:pos="851"/>
        </w:tabs>
        <w:spacing w:before="0" w:line="276" w:lineRule="auto"/>
        <w:jc w:val="both"/>
        <w:rPr>
          <w:rFonts w:ascii="Arial" w:hAnsi="Arial" w:cs="Arial"/>
          <w:b/>
          <w:color w:val="auto"/>
          <w:sz w:val="22"/>
          <w:szCs w:val="22"/>
        </w:rPr>
      </w:pPr>
      <w:r w:rsidRPr="006A7A45">
        <w:rPr>
          <w:rFonts w:ascii="Arial" w:hAnsi="Arial" w:cs="Arial"/>
          <w:b/>
          <w:color w:val="auto"/>
          <w:sz w:val="22"/>
          <w:szCs w:val="22"/>
        </w:rPr>
        <w:t xml:space="preserve"> </w:t>
      </w:r>
      <w:bookmarkStart w:id="24" w:name="_Toc30774604"/>
      <w:r w:rsidRPr="006A7A45">
        <w:rPr>
          <w:rFonts w:ascii="Arial" w:hAnsi="Arial" w:cs="Arial"/>
          <w:b/>
          <w:color w:val="auto"/>
          <w:sz w:val="22"/>
          <w:szCs w:val="22"/>
        </w:rPr>
        <w:t>Subsistema de Gestión de Calidad (SGC).</w:t>
      </w:r>
      <w:bookmarkEnd w:id="24"/>
      <w:r w:rsidRPr="006A7A45">
        <w:rPr>
          <w:rFonts w:ascii="Arial" w:hAnsi="Arial" w:cs="Arial"/>
          <w:b/>
          <w:color w:val="auto"/>
          <w:sz w:val="22"/>
          <w:szCs w:val="22"/>
        </w:rPr>
        <w:t xml:space="preserve"> </w:t>
      </w:r>
    </w:p>
    <w:p w:rsidR="00CB1E1C" w:rsidRDefault="00CB1E1C" w:rsidP="00551731">
      <w:pPr>
        <w:spacing w:line="276" w:lineRule="auto"/>
        <w:jc w:val="both"/>
        <w:rPr>
          <w:rFonts w:ascii="Arial" w:hAnsi="Arial" w:cs="Arial"/>
        </w:rPr>
      </w:pPr>
      <w:r w:rsidRPr="00CB1E1C">
        <w:rPr>
          <w:rFonts w:ascii="Arial" w:hAnsi="Arial" w:cs="Arial"/>
        </w:rPr>
        <w:t>Define prácticas tendientes a satisfacer las necesidades y expectativas de los grupos de interés basado en la norma ISO 9001:2015. El SGC es la base de los elementos comunes y buenas prácticas transversales de todos los subsistemas. El SGC se encuentra certificado desde 2015. El IDU en 2017 realizó la transición a la última versión del estándar, ISO 9001:2015.</w:t>
      </w:r>
    </w:p>
    <w:p w:rsidR="00551731" w:rsidRPr="00CB1E1C" w:rsidRDefault="00551731" w:rsidP="00CB1E1C">
      <w:pPr>
        <w:spacing w:line="276" w:lineRule="auto"/>
        <w:rPr>
          <w:rFonts w:ascii="Arial" w:hAnsi="Arial" w:cs="Arial"/>
        </w:rPr>
      </w:pPr>
    </w:p>
    <w:p w:rsidR="00CB1E1C" w:rsidRPr="006A7A45" w:rsidRDefault="00CB1E1C" w:rsidP="00D0183B">
      <w:pPr>
        <w:pStyle w:val="Ttulo3"/>
        <w:keepNext w:val="0"/>
        <w:keepLines w:val="0"/>
        <w:numPr>
          <w:ilvl w:val="2"/>
          <w:numId w:val="6"/>
        </w:numPr>
        <w:tabs>
          <w:tab w:val="left" w:pos="851"/>
        </w:tabs>
        <w:spacing w:before="0" w:line="276" w:lineRule="auto"/>
        <w:jc w:val="both"/>
        <w:rPr>
          <w:rFonts w:ascii="Arial" w:hAnsi="Arial" w:cs="Arial"/>
          <w:b/>
          <w:color w:val="auto"/>
          <w:sz w:val="22"/>
          <w:szCs w:val="22"/>
        </w:rPr>
      </w:pPr>
      <w:r w:rsidRPr="006A7A45">
        <w:rPr>
          <w:rFonts w:ascii="Arial" w:hAnsi="Arial" w:cs="Arial"/>
          <w:b/>
          <w:color w:val="auto"/>
          <w:sz w:val="22"/>
          <w:szCs w:val="22"/>
        </w:rPr>
        <w:t xml:space="preserve"> </w:t>
      </w:r>
      <w:bookmarkStart w:id="25" w:name="_Toc30774605"/>
      <w:r w:rsidRPr="006A7A45">
        <w:rPr>
          <w:rFonts w:ascii="Arial" w:hAnsi="Arial" w:cs="Arial"/>
          <w:b/>
          <w:color w:val="auto"/>
          <w:sz w:val="22"/>
          <w:szCs w:val="22"/>
        </w:rPr>
        <w:t>Subsistema de Responsabilidad Social (SGRS).</w:t>
      </w:r>
      <w:bookmarkEnd w:id="25"/>
      <w:r w:rsidRPr="006A7A45">
        <w:rPr>
          <w:rFonts w:ascii="Arial" w:hAnsi="Arial" w:cs="Arial"/>
          <w:b/>
          <w:color w:val="auto"/>
          <w:sz w:val="22"/>
          <w:szCs w:val="22"/>
        </w:rPr>
        <w:t xml:space="preserve"> </w:t>
      </w:r>
    </w:p>
    <w:p w:rsidR="00CB1E1C" w:rsidRDefault="00CB1E1C" w:rsidP="00551731">
      <w:pPr>
        <w:spacing w:line="276" w:lineRule="auto"/>
        <w:jc w:val="both"/>
        <w:rPr>
          <w:rFonts w:ascii="Arial" w:hAnsi="Arial" w:cs="Arial"/>
        </w:rPr>
      </w:pPr>
      <w:r w:rsidRPr="00CB1E1C">
        <w:rPr>
          <w:rFonts w:ascii="Arial" w:hAnsi="Arial" w:cs="Arial"/>
        </w:rPr>
        <w:t xml:space="preserve">En el ámbito de la Responsabilidad Social, el IDU identificó la oportunidad de implementar buenas prácticas sobre derechos laborales, derechos humanos, gestión ambiental y anticorrupción, a través de la adhesión a Pacto Global. El IDU se encuentra adherido desde 2016. Siendo la segunda entidad distrital en tomar dicha iniciativa. La adhesión a pacto </w:t>
      </w:r>
      <w:r w:rsidRPr="00CB1E1C">
        <w:rPr>
          <w:rFonts w:ascii="Arial" w:hAnsi="Arial" w:cs="Arial"/>
        </w:rPr>
        <w:lastRenderedPageBreak/>
        <w:t>global implica la identificación y contribución al cumplimiento de los ODS (objetivos de desarrollo sostenible).</w:t>
      </w:r>
    </w:p>
    <w:p w:rsidR="00551731" w:rsidRPr="00CB1E1C" w:rsidRDefault="00551731" w:rsidP="00CB1E1C">
      <w:pPr>
        <w:spacing w:line="276" w:lineRule="auto"/>
        <w:rPr>
          <w:rFonts w:ascii="Arial" w:hAnsi="Arial" w:cs="Arial"/>
        </w:rPr>
      </w:pPr>
    </w:p>
    <w:p w:rsidR="00CB1E1C" w:rsidRPr="006A7A45" w:rsidRDefault="00CB1E1C" w:rsidP="00D0183B">
      <w:pPr>
        <w:pStyle w:val="Ttulo3"/>
        <w:keepNext w:val="0"/>
        <w:keepLines w:val="0"/>
        <w:numPr>
          <w:ilvl w:val="2"/>
          <w:numId w:val="6"/>
        </w:numPr>
        <w:tabs>
          <w:tab w:val="left" w:pos="851"/>
        </w:tabs>
        <w:spacing w:before="0" w:line="276" w:lineRule="auto"/>
        <w:jc w:val="both"/>
        <w:rPr>
          <w:rFonts w:ascii="Arial" w:hAnsi="Arial" w:cs="Arial"/>
          <w:b/>
          <w:color w:val="auto"/>
          <w:sz w:val="22"/>
          <w:szCs w:val="22"/>
        </w:rPr>
      </w:pPr>
      <w:r w:rsidRPr="006A7A45">
        <w:rPr>
          <w:rFonts w:ascii="Arial" w:hAnsi="Arial" w:cs="Arial"/>
          <w:b/>
          <w:color w:val="auto"/>
          <w:sz w:val="22"/>
          <w:szCs w:val="22"/>
        </w:rPr>
        <w:t xml:space="preserve"> </w:t>
      </w:r>
      <w:bookmarkStart w:id="26" w:name="_Toc30774606"/>
      <w:r w:rsidRPr="006A7A45">
        <w:rPr>
          <w:rFonts w:ascii="Arial" w:hAnsi="Arial" w:cs="Arial"/>
          <w:b/>
          <w:color w:val="auto"/>
          <w:sz w:val="22"/>
          <w:szCs w:val="22"/>
        </w:rPr>
        <w:t>Subsistema de Gestión Ambiental (SGA)</w:t>
      </w:r>
      <w:bookmarkEnd w:id="26"/>
    </w:p>
    <w:p w:rsidR="00CB1E1C" w:rsidRDefault="00CB1E1C" w:rsidP="00551731">
      <w:pPr>
        <w:spacing w:line="276" w:lineRule="auto"/>
        <w:jc w:val="both"/>
        <w:rPr>
          <w:rFonts w:ascii="Arial" w:hAnsi="Arial" w:cs="Arial"/>
        </w:rPr>
      </w:pPr>
      <w:r w:rsidRPr="00CB1E1C">
        <w:rPr>
          <w:rFonts w:ascii="Arial" w:hAnsi="Arial" w:cs="Arial"/>
        </w:rPr>
        <w:t>Define prácticas para mitigar los impactos ambientales generados en el ciclo de vida del producto de la Entidad (Inicio y Fin de la cadena de valor institucional o procesos misionales) basado en la norma ISO 14001:2015. El SGA aplica a los procesos internos, operaciones tercerizadas (contratos de consultoría, obra y conservación) y contratos de servicios internos. El IDU se encuentra certificado en ISO 14001:2015 desde 2018.</w:t>
      </w:r>
    </w:p>
    <w:p w:rsidR="00551731" w:rsidRPr="00CB1E1C" w:rsidRDefault="00551731" w:rsidP="00CB1E1C">
      <w:pPr>
        <w:spacing w:line="276" w:lineRule="auto"/>
        <w:rPr>
          <w:rFonts w:ascii="Arial" w:hAnsi="Arial" w:cs="Arial"/>
        </w:rPr>
      </w:pPr>
    </w:p>
    <w:p w:rsidR="00CB1E1C" w:rsidRPr="006A7A45" w:rsidRDefault="00CB1E1C" w:rsidP="00D0183B">
      <w:pPr>
        <w:pStyle w:val="Ttulo3"/>
        <w:keepNext w:val="0"/>
        <w:keepLines w:val="0"/>
        <w:numPr>
          <w:ilvl w:val="2"/>
          <w:numId w:val="6"/>
        </w:numPr>
        <w:tabs>
          <w:tab w:val="left" w:pos="851"/>
        </w:tabs>
        <w:spacing w:before="0" w:line="276" w:lineRule="auto"/>
        <w:jc w:val="both"/>
        <w:rPr>
          <w:rFonts w:ascii="Arial" w:hAnsi="Arial" w:cs="Arial"/>
          <w:b/>
          <w:color w:val="auto"/>
          <w:sz w:val="22"/>
          <w:szCs w:val="22"/>
        </w:rPr>
      </w:pPr>
      <w:r w:rsidRPr="006A7A45">
        <w:rPr>
          <w:rFonts w:ascii="Arial" w:hAnsi="Arial" w:cs="Arial"/>
          <w:b/>
          <w:color w:val="auto"/>
          <w:sz w:val="22"/>
          <w:szCs w:val="22"/>
        </w:rPr>
        <w:t xml:space="preserve"> </w:t>
      </w:r>
      <w:bookmarkStart w:id="27" w:name="_Toc30774607"/>
      <w:r w:rsidRPr="006A7A45">
        <w:rPr>
          <w:rFonts w:ascii="Arial" w:hAnsi="Arial" w:cs="Arial"/>
          <w:b/>
          <w:color w:val="auto"/>
          <w:sz w:val="22"/>
          <w:szCs w:val="22"/>
        </w:rPr>
        <w:t>Subsistema efr (SGefr)</w:t>
      </w:r>
      <w:bookmarkEnd w:id="27"/>
    </w:p>
    <w:p w:rsidR="00CB1E1C" w:rsidRDefault="00CB1E1C" w:rsidP="00551731">
      <w:pPr>
        <w:spacing w:line="276" w:lineRule="auto"/>
        <w:jc w:val="both"/>
        <w:rPr>
          <w:rFonts w:ascii="Arial" w:hAnsi="Arial" w:cs="Arial"/>
        </w:rPr>
      </w:pPr>
      <w:r w:rsidRPr="00CB1E1C">
        <w:rPr>
          <w:rFonts w:ascii="Arial" w:hAnsi="Arial" w:cs="Arial"/>
        </w:rPr>
        <w:t xml:space="preserve">Sobre el ámbito de la Responsabilidad Social, el IDU ha implementado el estándar efr 1000-1 para implementar buenas prácticas en el equilibrio de la vida personal, profesional y familiar de los Servidores Públicos. El IDU recibió en mayo de 2019 la certificación, </w:t>
      </w:r>
      <w:r w:rsidRPr="00EE00F3">
        <w:rPr>
          <w:rFonts w:ascii="Arial" w:hAnsi="Arial" w:cs="Arial"/>
        </w:rPr>
        <w:t>convirtiéndose en la primera entidad 100% pública en lograrlo.</w:t>
      </w:r>
    </w:p>
    <w:p w:rsidR="00551731" w:rsidRPr="00EE00F3" w:rsidRDefault="00551731" w:rsidP="00CB1E1C">
      <w:pPr>
        <w:spacing w:line="276" w:lineRule="auto"/>
        <w:rPr>
          <w:rFonts w:ascii="Arial" w:hAnsi="Arial" w:cs="Arial"/>
        </w:rPr>
      </w:pPr>
    </w:p>
    <w:p w:rsidR="00CB1E1C" w:rsidRPr="006A7A45" w:rsidRDefault="00CB1E1C" w:rsidP="00D0183B">
      <w:pPr>
        <w:pStyle w:val="Ttulo3"/>
        <w:keepNext w:val="0"/>
        <w:keepLines w:val="0"/>
        <w:numPr>
          <w:ilvl w:val="2"/>
          <w:numId w:val="6"/>
        </w:numPr>
        <w:tabs>
          <w:tab w:val="left" w:pos="851"/>
        </w:tabs>
        <w:spacing w:before="0" w:line="276" w:lineRule="auto"/>
        <w:jc w:val="both"/>
        <w:rPr>
          <w:rFonts w:ascii="Arial" w:hAnsi="Arial" w:cs="Arial"/>
          <w:b/>
          <w:color w:val="auto"/>
          <w:sz w:val="22"/>
          <w:szCs w:val="22"/>
        </w:rPr>
      </w:pPr>
      <w:r w:rsidRPr="006A7A45">
        <w:rPr>
          <w:rFonts w:ascii="Arial" w:hAnsi="Arial" w:cs="Arial"/>
          <w:b/>
          <w:color w:val="auto"/>
          <w:sz w:val="22"/>
          <w:szCs w:val="22"/>
        </w:rPr>
        <w:t xml:space="preserve"> </w:t>
      </w:r>
      <w:bookmarkStart w:id="28" w:name="_Toc30774608"/>
      <w:r w:rsidRPr="006A7A45">
        <w:rPr>
          <w:rFonts w:ascii="Arial" w:hAnsi="Arial" w:cs="Arial"/>
          <w:b/>
          <w:color w:val="auto"/>
          <w:sz w:val="22"/>
          <w:szCs w:val="22"/>
        </w:rPr>
        <w:t>Subsistema de Gestión de Seguridad y Salud en el trabajo (SGSST)</w:t>
      </w:r>
      <w:bookmarkEnd w:id="28"/>
    </w:p>
    <w:p w:rsidR="00CB1E1C" w:rsidRDefault="00CB1E1C" w:rsidP="00551731">
      <w:pPr>
        <w:spacing w:line="276" w:lineRule="auto"/>
        <w:jc w:val="both"/>
        <w:rPr>
          <w:rFonts w:ascii="Arial" w:hAnsi="Arial" w:cs="Arial"/>
        </w:rPr>
      </w:pPr>
      <w:r w:rsidRPr="00EE00F3">
        <w:rPr>
          <w:rFonts w:ascii="Arial" w:hAnsi="Arial" w:cs="Arial"/>
        </w:rPr>
        <w:t xml:space="preserve">Define </w:t>
      </w:r>
      <w:r w:rsidRPr="00CB1E1C">
        <w:rPr>
          <w:rFonts w:ascii="Arial" w:hAnsi="Arial" w:cs="Arial"/>
        </w:rPr>
        <w:t xml:space="preserve">prácticas para mitigar los riesgos de salud y seguridad, crear cultura del autocuidado y mejorar continuamente el desempeño de SST de la Gente IDU, basado en la norma ISO 45001. El IDU es la primera entidad pública certificada en la norma con </w:t>
      </w:r>
      <w:r w:rsidRPr="00EE00F3">
        <w:rPr>
          <w:rFonts w:ascii="Arial" w:hAnsi="Arial" w:cs="Arial"/>
        </w:rPr>
        <w:t xml:space="preserve">respaldo del organismo acreditador UKAS.  El SGCN fue </w:t>
      </w:r>
      <w:r w:rsidR="002C505A" w:rsidRPr="00EE00F3">
        <w:rPr>
          <w:rFonts w:ascii="Arial" w:hAnsi="Arial" w:cs="Arial"/>
        </w:rPr>
        <w:t>certificado en octubre de 2019.</w:t>
      </w:r>
    </w:p>
    <w:p w:rsidR="00551731" w:rsidRPr="00EE00F3" w:rsidRDefault="00551731" w:rsidP="00551731">
      <w:pPr>
        <w:spacing w:line="276" w:lineRule="auto"/>
        <w:jc w:val="both"/>
        <w:rPr>
          <w:rFonts w:ascii="Arial" w:hAnsi="Arial" w:cs="Arial"/>
        </w:rPr>
      </w:pPr>
    </w:p>
    <w:p w:rsidR="00CB1E1C" w:rsidRPr="006A7A45" w:rsidRDefault="00CB1E1C" w:rsidP="00D0183B">
      <w:pPr>
        <w:pStyle w:val="Ttulo3"/>
        <w:keepNext w:val="0"/>
        <w:keepLines w:val="0"/>
        <w:numPr>
          <w:ilvl w:val="2"/>
          <w:numId w:val="6"/>
        </w:numPr>
        <w:tabs>
          <w:tab w:val="left" w:pos="851"/>
        </w:tabs>
        <w:spacing w:before="0" w:line="276" w:lineRule="auto"/>
        <w:jc w:val="both"/>
        <w:rPr>
          <w:rFonts w:ascii="Arial" w:hAnsi="Arial" w:cs="Arial"/>
          <w:b/>
          <w:color w:val="auto"/>
          <w:sz w:val="22"/>
          <w:szCs w:val="22"/>
        </w:rPr>
      </w:pPr>
      <w:r w:rsidRPr="006A7A45">
        <w:rPr>
          <w:rFonts w:ascii="Arial" w:hAnsi="Arial" w:cs="Arial"/>
          <w:b/>
          <w:color w:val="auto"/>
          <w:sz w:val="22"/>
          <w:szCs w:val="22"/>
        </w:rPr>
        <w:t xml:space="preserve"> </w:t>
      </w:r>
      <w:bookmarkStart w:id="29" w:name="_Toc30774609"/>
      <w:r w:rsidRPr="006A7A45">
        <w:rPr>
          <w:rFonts w:ascii="Arial" w:hAnsi="Arial" w:cs="Arial"/>
          <w:b/>
          <w:color w:val="auto"/>
          <w:sz w:val="22"/>
          <w:szCs w:val="22"/>
        </w:rPr>
        <w:t>Subsistema de gestión de Seguridad de la Información (SGSI)</w:t>
      </w:r>
      <w:bookmarkEnd w:id="29"/>
    </w:p>
    <w:p w:rsidR="00CB1E1C" w:rsidRDefault="00CB1E1C" w:rsidP="00551731">
      <w:pPr>
        <w:spacing w:line="276" w:lineRule="auto"/>
        <w:jc w:val="both"/>
        <w:rPr>
          <w:rFonts w:ascii="Arial" w:hAnsi="Arial" w:cs="Arial"/>
        </w:rPr>
      </w:pPr>
      <w:r w:rsidRPr="00EE00F3">
        <w:rPr>
          <w:rFonts w:ascii="Arial" w:hAnsi="Arial" w:cs="Arial"/>
        </w:rPr>
        <w:t xml:space="preserve">Mantener </w:t>
      </w:r>
      <w:r w:rsidRPr="00CB1E1C">
        <w:rPr>
          <w:rFonts w:ascii="Arial" w:hAnsi="Arial" w:cs="Arial"/>
        </w:rPr>
        <w:t>la disponibilidad, confidencialidad e integridad de la información clave para la organización es el principal propósito de la norma ISO 27001:2013. El SGSI fue certificado en octubre de 2019. El IDU es la segunda Entidad distrital en recib</w:t>
      </w:r>
      <w:r w:rsidR="002C505A">
        <w:rPr>
          <w:rFonts w:ascii="Arial" w:hAnsi="Arial" w:cs="Arial"/>
        </w:rPr>
        <w:t>ir dicho tipo de certificación.</w:t>
      </w:r>
    </w:p>
    <w:p w:rsidR="006A7A45" w:rsidRPr="00CB1E1C" w:rsidRDefault="006A7A45" w:rsidP="002C505A">
      <w:pPr>
        <w:spacing w:line="276" w:lineRule="auto"/>
        <w:rPr>
          <w:rFonts w:ascii="Arial" w:hAnsi="Arial" w:cs="Arial"/>
        </w:rPr>
      </w:pPr>
    </w:p>
    <w:p w:rsidR="00CB1E1C" w:rsidRPr="006A7A45" w:rsidRDefault="00CB1E1C" w:rsidP="00D0183B">
      <w:pPr>
        <w:pStyle w:val="Ttulo3"/>
        <w:keepNext w:val="0"/>
        <w:keepLines w:val="0"/>
        <w:numPr>
          <w:ilvl w:val="2"/>
          <w:numId w:val="6"/>
        </w:numPr>
        <w:tabs>
          <w:tab w:val="left" w:pos="851"/>
        </w:tabs>
        <w:spacing w:before="0" w:line="276" w:lineRule="auto"/>
        <w:jc w:val="both"/>
        <w:rPr>
          <w:rFonts w:ascii="Arial" w:hAnsi="Arial" w:cs="Arial"/>
          <w:b/>
          <w:color w:val="auto"/>
          <w:sz w:val="22"/>
          <w:szCs w:val="22"/>
        </w:rPr>
      </w:pPr>
      <w:r w:rsidRPr="006A7A45">
        <w:rPr>
          <w:rFonts w:ascii="Arial" w:hAnsi="Arial" w:cs="Arial"/>
          <w:b/>
          <w:color w:val="auto"/>
          <w:sz w:val="22"/>
          <w:szCs w:val="22"/>
        </w:rPr>
        <w:t xml:space="preserve"> </w:t>
      </w:r>
      <w:bookmarkStart w:id="30" w:name="_Toc30774610"/>
      <w:r w:rsidRPr="006A7A45">
        <w:rPr>
          <w:rFonts w:ascii="Arial" w:hAnsi="Arial" w:cs="Arial"/>
          <w:b/>
          <w:color w:val="auto"/>
          <w:sz w:val="22"/>
          <w:szCs w:val="22"/>
        </w:rPr>
        <w:t>Subsistema de Continuidad del Negocio (SGCN)</w:t>
      </w:r>
      <w:bookmarkEnd w:id="30"/>
    </w:p>
    <w:p w:rsidR="00CB1E1C" w:rsidRDefault="00CB1E1C" w:rsidP="00551731">
      <w:pPr>
        <w:spacing w:line="276" w:lineRule="auto"/>
        <w:jc w:val="both"/>
        <w:rPr>
          <w:rFonts w:ascii="Arial" w:hAnsi="Arial" w:cs="Arial"/>
        </w:rPr>
      </w:pPr>
      <w:r w:rsidRPr="00CB1E1C">
        <w:rPr>
          <w:rFonts w:ascii="Arial" w:hAnsi="Arial" w:cs="Arial"/>
        </w:rPr>
        <w:t>Define prácticas para enfrentar los eventos de indisponibilidad de las actividades críticas de la organización. El SGCN aplica la norma ISO 22301:2012. El IDU es la primera Entidad Nacional es recibir dicho tipo de certificación. El SGCN fue ce</w:t>
      </w:r>
      <w:r w:rsidR="002C505A">
        <w:rPr>
          <w:rFonts w:ascii="Arial" w:hAnsi="Arial" w:cs="Arial"/>
        </w:rPr>
        <w:t xml:space="preserve">rtificado en </w:t>
      </w:r>
      <w:r w:rsidR="0051573F">
        <w:rPr>
          <w:rFonts w:ascii="Arial" w:hAnsi="Arial" w:cs="Arial"/>
        </w:rPr>
        <w:t>Diciembre</w:t>
      </w:r>
      <w:r w:rsidR="002C505A">
        <w:rPr>
          <w:rFonts w:ascii="Arial" w:hAnsi="Arial" w:cs="Arial"/>
        </w:rPr>
        <w:t xml:space="preserve"> de 2019.</w:t>
      </w:r>
    </w:p>
    <w:p w:rsidR="00551731" w:rsidRPr="00CB1E1C" w:rsidRDefault="00551731" w:rsidP="00551731">
      <w:pPr>
        <w:spacing w:line="276" w:lineRule="auto"/>
        <w:jc w:val="both"/>
        <w:rPr>
          <w:rFonts w:ascii="Arial" w:hAnsi="Arial" w:cs="Arial"/>
        </w:rPr>
      </w:pPr>
    </w:p>
    <w:p w:rsidR="00CB1E1C" w:rsidRPr="006A7A45" w:rsidRDefault="00CB1E1C" w:rsidP="00D0183B">
      <w:pPr>
        <w:pStyle w:val="Ttulo3"/>
        <w:keepNext w:val="0"/>
        <w:keepLines w:val="0"/>
        <w:numPr>
          <w:ilvl w:val="2"/>
          <w:numId w:val="6"/>
        </w:numPr>
        <w:tabs>
          <w:tab w:val="left" w:pos="851"/>
        </w:tabs>
        <w:spacing w:before="0" w:line="276" w:lineRule="auto"/>
        <w:jc w:val="both"/>
        <w:rPr>
          <w:rFonts w:ascii="Arial" w:hAnsi="Arial" w:cs="Arial"/>
          <w:b/>
          <w:color w:val="auto"/>
          <w:sz w:val="22"/>
          <w:szCs w:val="22"/>
        </w:rPr>
      </w:pPr>
      <w:r w:rsidRPr="006A7A45">
        <w:rPr>
          <w:rFonts w:ascii="Arial" w:hAnsi="Arial" w:cs="Arial"/>
          <w:b/>
          <w:color w:val="auto"/>
          <w:sz w:val="22"/>
          <w:szCs w:val="22"/>
        </w:rPr>
        <w:t xml:space="preserve"> </w:t>
      </w:r>
      <w:bookmarkStart w:id="31" w:name="_Toc30774611"/>
      <w:r w:rsidRPr="006A7A45">
        <w:rPr>
          <w:rFonts w:ascii="Arial" w:hAnsi="Arial" w:cs="Arial"/>
          <w:b/>
          <w:color w:val="auto"/>
          <w:sz w:val="22"/>
          <w:szCs w:val="22"/>
        </w:rPr>
        <w:t>Subsistema Antisoborno (SGCN)</w:t>
      </w:r>
      <w:bookmarkEnd w:id="31"/>
    </w:p>
    <w:p w:rsidR="00CB1E1C" w:rsidRDefault="00CB1E1C" w:rsidP="002C505A">
      <w:pPr>
        <w:spacing w:line="276" w:lineRule="auto"/>
        <w:rPr>
          <w:rFonts w:ascii="Arial" w:hAnsi="Arial" w:cs="Arial"/>
        </w:rPr>
      </w:pPr>
      <w:r w:rsidRPr="00CB1E1C">
        <w:rPr>
          <w:rFonts w:ascii="Arial" w:hAnsi="Arial" w:cs="Arial"/>
        </w:rPr>
        <w:lastRenderedPageBreak/>
        <w:t>Define prácticas para enfrentar los eventos de indisponibilidad de las actividades críticas de la organización. El SGCN aplica la norma ISO 22301:2012. El IDU es la primera Entidad Nacional es recibir dicho tipo de certificación. El SGCN fue ce</w:t>
      </w:r>
      <w:r w:rsidR="002C505A">
        <w:rPr>
          <w:rFonts w:ascii="Arial" w:hAnsi="Arial" w:cs="Arial"/>
        </w:rPr>
        <w:t xml:space="preserve">rtificado en </w:t>
      </w:r>
      <w:r w:rsidR="0051573F">
        <w:rPr>
          <w:rFonts w:ascii="Arial" w:hAnsi="Arial" w:cs="Arial"/>
        </w:rPr>
        <w:t>Diciembre</w:t>
      </w:r>
      <w:r w:rsidR="002C505A">
        <w:rPr>
          <w:rFonts w:ascii="Arial" w:hAnsi="Arial" w:cs="Arial"/>
        </w:rPr>
        <w:t xml:space="preserve"> de 2019.</w:t>
      </w:r>
    </w:p>
    <w:p w:rsidR="00551731" w:rsidRPr="00CB1E1C" w:rsidRDefault="00551731" w:rsidP="002C505A">
      <w:pPr>
        <w:spacing w:line="276" w:lineRule="auto"/>
        <w:rPr>
          <w:rFonts w:ascii="Arial" w:hAnsi="Arial" w:cs="Arial"/>
        </w:rPr>
      </w:pPr>
    </w:p>
    <w:p w:rsidR="00CB1E1C" w:rsidRPr="006A7A45" w:rsidRDefault="00CB1E1C" w:rsidP="00D0183B">
      <w:pPr>
        <w:pStyle w:val="Ttulo3"/>
        <w:keepNext w:val="0"/>
        <w:keepLines w:val="0"/>
        <w:numPr>
          <w:ilvl w:val="2"/>
          <w:numId w:val="6"/>
        </w:numPr>
        <w:tabs>
          <w:tab w:val="left" w:pos="851"/>
        </w:tabs>
        <w:spacing w:before="0" w:line="276" w:lineRule="auto"/>
        <w:jc w:val="both"/>
        <w:rPr>
          <w:rFonts w:ascii="Arial" w:hAnsi="Arial" w:cs="Arial"/>
          <w:b/>
          <w:color w:val="auto"/>
          <w:sz w:val="22"/>
          <w:szCs w:val="22"/>
        </w:rPr>
      </w:pPr>
      <w:r w:rsidRPr="006A7A45">
        <w:rPr>
          <w:rFonts w:ascii="Arial" w:hAnsi="Arial" w:cs="Arial"/>
          <w:b/>
          <w:color w:val="auto"/>
          <w:sz w:val="22"/>
          <w:szCs w:val="22"/>
        </w:rPr>
        <w:t xml:space="preserve"> </w:t>
      </w:r>
      <w:bookmarkStart w:id="32" w:name="_Toc30774612"/>
      <w:r w:rsidRPr="006A7A45">
        <w:rPr>
          <w:rFonts w:ascii="Arial" w:hAnsi="Arial" w:cs="Arial"/>
          <w:b/>
          <w:color w:val="auto"/>
          <w:sz w:val="22"/>
          <w:szCs w:val="22"/>
        </w:rPr>
        <w:t>Subsistema de Gestión documental y archivo (SIGA)</w:t>
      </w:r>
      <w:bookmarkEnd w:id="32"/>
    </w:p>
    <w:p w:rsidR="00CB1E1C" w:rsidRPr="00CB1E1C" w:rsidRDefault="00CB1E1C" w:rsidP="00CB1E1C">
      <w:pPr>
        <w:spacing w:line="276" w:lineRule="auto"/>
        <w:rPr>
          <w:rFonts w:ascii="Arial" w:hAnsi="Arial" w:cs="Arial"/>
        </w:rPr>
      </w:pPr>
      <w:r w:rsidRPr="00CB1E1C">
        <w:rPr>
          <w:rFonts w:ascii="Arial" w:hAnsi="Arial" w:cs="Arial"/>
        </w:rPr>
        <w:t>El SIGA busca asegurar la conservación de la memoria institucional desde la producción documental hasta la disposición final (conservación histórica o destrucción). El IDU ha implementado la norma ISO 15489.</w:t>
      </w:r>
    </w:p>
    <w:p w:rsidR="004C32DC" w:rsidRDefault="00CB1E1C" w:rsidP="00425579">
      <w:pPr>
        <w:spacing w:line="276" w:lineRule="auto"/>
        <w:rPr>
          <w:rFonts w:ascii="Arial" w:hAnsi="Arial" w:cs="Arial"/>
        </w:rPr>
      </w:pPr>
      <w:r w:rsidRPr="00CB1E1C">
        <w:rPr>
          <w:rFonts w:ascii="Arial" w:hAnsi="Arial" w:cs="Arial"/>
        </w:rPr>
        <w:t>Las certificaciones evidencian la total implementación de buenas prácticas de gestión y brindan, a través de los ejercicios de auditoria de tercera parte, la identificación de oportunidades de mejora que redundan en el aumento de la satisfacción de las necesidades de los grupos de interés o valor.</w:t>
      </w:r>
    </w:p>
    <w:p w:rsidR="00202903" w:rsidRDefault="00202903" w:rsidP="00425579">
      <w:pPr>
        <w:spacing w:line="276" w:lineRule="auto"/>
        <w:rPr>
          <w:rFonts w:ascii="Arial" w:hAnsi="Arial" w:cs="Arial"/>
        </w:rPr>
      </w:pPr>
    </w:p>
    <w:p w:rsidR="00551731" w:rsidRPr="00425579" w:rsidRDefault="00551731" w:rsidP="00425579">
      <w:pPr>
        <w:spacing w:line="276" w:lineRule="auto"/>
        <w:rPr>
          <w:rFonts w:ascii="Arial" w:hAnsi="Arial" w:cs="Arial"/>
        </w:rPr>
      </w:pPr>
    </w:p>
    <w:p w:rsidR="008F1065" w:rsidRPr="008F1065" w:rsidRDefault="008F1065" w:rsidP="00D0183B">
      <w:pPr>
        <w:pStyle w:val="Ttulo3"/>
        <w:keepNext w:val="0"/>
        <w:keepLines w:val="0"/>
        <w:numPr>
          <w:ilvl w:val="1"/>
          <w:numId w:val="6"/>
        </w:numPr>
        <w:tabs>
          <w:tab w:val="left" w:pos="851"/>
        </w:tabs>
        <w:spacing w:before="0" w:line="276" w:lineRule="auto"/>
        <w:jc w:val="both"/>
        <w:rPr>
          <w:rFonts w:ascii="Arial" w:hAnsi="Arial" w:cs="Arial"/>
          <w:b/>
          <w:color w:val="auto"/>
          <w:sz w:val="22"/>
          <w:szCs w:val="22"/>
        </w:rPr>
      </w:pPr>
      <w:bookmarkStart w:id="33" w:name="_Toc27665227"/>
      <w:bookmarkStart w:id="34" w:name="_Toc30774613"/>
      <w:r w:rsidRPr="008F1065">
        <w:rPr>
          <w:rFonts w:ascii="Arial" w:hAnsi="Arial" w:cs="Arial"/>
          <w:b/>
          <w:color w:val="auto"/>
          <w:sz w:val="22"/>
          <w:szCs w:val="22"/>
        </w:rPr>
        <w:t>PLAN DE ACCIÓN, METAS E INDICADORES DE LA OFICINA DE ATENCIÓN AL CIUDADANO</w:t>
      </w:r>
      <w:bookmarkEnd w:id="33"/>
      <w:bookmarkEnd w:id="34"/>
    </w:p>
    <w:p w:rsidR="008F1065" w:rsidRPr="008F1065" w:rsidRDefault="008F1065" w:rsidP="008F1065">
      <w:pPr>
        <w:spacing w:line="276" w:lineRule="auto"/>
        <w:ind w:left="284"/>
        <w:jc w:val="both"/>
        <w:rPr>
          <w:rFonts w:ascii="Arial" w:hAnsi="Arial" w:cs="Arial"/>
          <w:szCs w:val="24"/>
          <w:lang w:val="es-ES"/>
        </w:rPr>
      </w:pPr>
    </w:p>
    <w:p w:rsidR="008F1065" w:rsidRPr="008F1065" w:rsidRDefault="008F1065" w:rsidP="00D0183B">
      <w:pPr>
        <w:pStyle w:val="Ttulo4"/>
        <w:keepNext w:val="0"/>
        <w:keepLines w:val="0"/>
        <w:numPr>
          <w:ilvl w:val="2"/>
          <w:numId w:val="13"/>
        </w:numPr>
        <w:spacing w:before="0" w:line="276" w:lineRule="auto"/>
        <w:jc w:val="both"/>
        <w:rPr>
          <w:rFonts w:ascii="Arial" w:hAnsi="Arial" w:cs="Arial"/>
          <w:i w:val="0"/>
          <w:color w:val="auto"/>
          <w:lang w:val="es-ES"/>
        </w:rPr>
      </w:pPr>
      <w:r w:rsidRPr="008F1065">
        <w:rPr>
          <w:rFonts w:ascii="Arial" w:hAnsi="Arial" w:cs="Arial"/>
          <w:b/>
          <w:i w:val="0"/>
          <w:color w:val="auto"/>
          <w:lang w:val="es-ES"/>
        </w:rPr>
        <w:t>Planeación y formulación de los objetivos y las acciones de la gestión social y el servicio a la ciudadanía</w:t>
      </w:r>
      <w:r w:rsidRPr="008F1065">
        <w:rPr>
          <w:rFonts w:ascii="Arial" w:hAnsi="Arial" w:cs="Arial"/>
          <w:i w:val="0"/>
          <w:color w:val="auto"/>
          <w:lang w:val="es-ES"/>
        </w:rPr>
        <w:t>.</w:t>
      </w:r>
    </w:p>
    <w:p w:rsidR="008F1065" w:rsidRPr="008F1065" w:rsidRDefault="008F1065" w:rsidP="008F1065">
      <w:pPr>
        <w:spacing w:line="276" w:lineRule="auto"/>
        <w:jc w:val="both"/>
        <w:rPr>
          <w:rFonts w:ascii="Arial" w:hAnsi="Arial" w:cs="Arial"/>
          <w:color w:val="222222"/>
          <w:szCs w:val="24"/>
          <w:lang w:val="es-ES"/>
        </w:rPr>
      </w:pPr>
    </w:p>
    <w:p w:rsidR="008F1065" w:rsidRPr="006A7A45" w:rsidRDefault="008F1065" w:rsidP="008F1065">
      <w:pPr>
        <w:spacing w:line="276" w:lineRule="auto"/>
        <w:jc w:val="both"/>
        <w:rPr>
          <w:rFonts w:ascii="Arial" w:hAnsi="Arial" w:cs="Arial"/>
          <w:color w:val="222222"/>
          <w:szCs w:val="24"/>
          <w:lang w:val="es-ES"/>
        </w:rPr>
      </w:pPr>
      <w:r w:rsidRPr="008F1065">
        <w:rPr>
          <w:rFonts w:ascii="Arial" w:hAnsi="Arial" w:cs="Arial"/>
          <w:color w:val="222222"/>
          <w:szCs w:val="24"/>
          <w:lang w:val="es-ES"/>
        </w:rPr>
        <w:t>La Oficina de Atención al Ciudadano en el marco de lo formulado en el Plan Estratégico de la Entidad a partir de la metodología “Alineación Total”, lideró durante este cuatrienio el factor de éxito “satisfacción ciudadana” y la Iniciativa estratégica “Gestión social y servicio a la ciudadanía”. A partir de ellas desarrolla las actividades necesarias para el cumplimiento de las metas propuestas.</w:t>
      </w:r>
    </w:p>
    <w:p w:rsidR="008F1065" w:rsidRPr="008F1065" w:rsidRDefault="008F1065" w:rsidP="008F1065">
      <w:pPr>
        <w:pStyle w:val="Descripcin"/>
        <w:spacing w:after="0" w:line="276" w:lineRule="auto"/>
        <w:rPr>
          <w:rFonts w:ascii="Arial" w:hAnsi="Arial" w:cs="Arial"/>
          <w:szCs w:val="24"/>
          <w:lang w:val="es-ES"/>
        </w:rPr>
      </w:pPr>
      <w:r w:rsidRPr="008F1065">
        <w:rPr>
          <w:rFonts w:ascii="Arial" w:hAnsi="Arial" w:cs="Arial"/>
          <w:szCs w:val="24"/>
          <w:lang w:val="es-ES"/>
        </w:rPr>
        <w:t xml:space="preserve"> </w:t>
      </w:r>
      <w:bookmarkStart w:id="35" w:name="_Toc27665327"/>
      <w:r w:rsidRPr="008F1065">
        <w:rPr>
          <w:rFonts w:ascii="Arial" w:hAnsi="Arial" w:cs="Arial"/>
          <w:szCs w:val="24"/>
          <w:lang w:val="es-ES"/>
        </w:rPr>
        <w:t xml:space="preserve">Tabla </w:t>
      </w:r>
      <w:r w:rsidRPr="008F1065">
        <w:rPr>
          <w:rFonts w:ascii="Arial" w:hAnsi="Arial" w:cs="Arial"/>
          <w:szCs w:val="24"/>
          <w:lang w:val="es-ES"/>
        </w:rPr>
        <w:fldChar w:fldCharType="begin"/>
      </w:r>
      <w:r w:rsidRPr="008F1065">
        <w:rPr>
          <w:rFonts w:ascii="Arial" w:hAnsi="Arial" w:cs="Arial"/>
          <w:szCs w:val="24"/>
          <w:lang w:val="es-ES"/>
        </w:rPr>
        <w:instrText xml:space="preserve"> SEQ Tabla \* ARABIC </w:instrText>
      </w:r>
      <w:r w:rsidRPr="008F1065">
        <w:rPr>
          <w:rFonts w:ascii="Arial" w:hAnsi="Arial" w:cs="Arial"/>
          <w:szCs w:val="24"/>
          <w:lang w:val="es-ES"/>
        </w:rPr>
        <w:fldChar w:fldCharType="separate"/>
      </w:r>
      <w:r w:rsidR="002D104F">
        <w:rPr>
          <w:rFonts w:ascii="Arial" w:hAnsi="Arial" w:cs="Arial"/>
          <w:noProof/>
          <w:szCs w:val="24"/>
          <w:lang w:val="es-ES"/>
        </w:rPr>
        <w:t>1</w:t>
      </w:r>
      <w:r w:rsidRPr="008F1065">
        <w:rPr>
          <w:rFonts w:ascii="Arial" w:hAnsi="Arial" w:cs="Arial"/>
          <w:szCs w:val="24"/>
          <w:lang w:val="es-ES"/>
        </w:rPr>
        <w:fldChar w:fldCharType="end"/>
      </w:r>
      <w:r w:rsidRPr="008F1065">
        <w:rPr>
          <w:rFonts w:ascii="Arial" w:hAnsi="Arial" w:cs="Arial"/>
          <w:szCs w:val="24"/>
          <w:lang w:val="es-ES"/>
        </w:rPr>
        <w:t>. Avance en el cumplimiento del Plan de Acción, Metas e Indicadores.</w:t>
      </w:r>
      <w:bookmarkEnd w:id="35"/>
      <w:r w:rsidRPr="008F1065">
        <w:rPr>
          <w:rFonts w:ascii="Arial" w:hAnsi="Arial" w:cs="Arial"/>
          <w:szCs w:val="24"/>
          <w:lang w:val="es-E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492"/>
        <w:gridCol w:w="3839"/>
        <w:gridCol w:w="1497"/>
      </w:tblGrid>
      <w:tr w:rsidR="008F1065" w:rsidRPr="00551731" w:rsidTr="00AC30EC">
        <w:trPr>
          <w:trHeight w:val="20"/>
          <w:tblHeader/>
        </w:trPr>
        <w:tc>
          <w:tcPr>
            <w:tcW w:w="1977" w:type="pct"/>
            <w:shd w:val="clear" w:color="auto" w:fill="BDD6EE" w:themeFill="accent1" w:themeFillTint="66"/>
            <w:tcMar>
              <w:top w:w="15" w:type="dxa"/>
              <w:left w:w="47" w:type="dxa"/>
              <w:bottom w:w="0" w:type="dxa"/>
              <w:right w:w="47" w:type="dxa"/>
            </w:tcMar>
            <w:vAlign w:val="center"/>
            <w:hideMark/>
          </w:tcPr>
          <w:p w:rsidR="008F1065" w:rsidRPr="00551731" w:rsidRDefault="008F1065" w:rsidP="008F1065">
            <w:pPr>
              <w:spacing w:line="276" w:lineRule="auto"/>
              <w:jc w:val="both"/>
              <w:rPr>
                <w:rFonts w:ascii="Arial" w:hAnsi="Arial" w:cs="Arial"/>
                <w:b/>
                <w:sz w:val="18"/>
                <w:szCs w:val="24"/>
                <w:lang w:eastAsia="es-ES"/>
              </w:rPr>
            </w:pPr>
            <w:r w:rsidRPr="00551731">
              <w:rPr>
                <w:rFonts w:ascii="Arial" w:hAnsi="Arial" w:cs="Arial"/>
                <w:b/>
                <w:bCs/>
                <w:sz w:val="18"/>
                <w:szCs w:val="24"/>
              </w:rPr>
              <w:t xml:space="preserve">PRODUCTO / ACTIVIDAD PRINCIPAL </w:t>
            </w:r>
          </w:p>
        </w:tc>
        <w:tc>
          <w:tcPr>
            <w:tcW w:w="2174" w:type="pct"/>
            <w:shd w:val="clear" w:color="auto" w:fill="BDD6EE" w:themeFill="accent1" w:themeFillTint="66"/>
            <w:tcMar>
              <w:top w:w="15" w:type="dxa"/>
              <w:left w:w="47" w:type="dxa"/>
              <w:bottom w:w="0" w:type="dxa"/>
              <w:right w:w="47" w:type="dxa"/>
            </w:tcMar>
            <w:vAlign w:val="center"/>
            <w:hideMark/>
          </w:tcPr>
          <w:p w:rsidR="008F1065" w:rsidRPr="00551731" w:rsidRDefault="008F1065" w:rsidP="008F1065">
            <w:pPr>
              <w:spacing w:line="276" w:lineRule="auto"/>
              <w:jc w:val="both"/>
              <w:rPr>
                <w:rFonts w:ascii="Arial" w:hAnsi="Arial" w:cs="Arial"/>
                <w:b/>
                <w:sz w:val="18"/>
                <w:szCs w:val="24"/>
                <w:lang w:eastAsia="es-ES"/>
              </w:rPr>
            </w:pPr>
            <w:r w:rsidRPr="00551731">
              <w:rPr>
                <w:rFonts w:ascii="Arial" w:hAnsi="Arial" w:cs="Arial"/>
                <w:b/>
                <w:bCs/>
                <w:sz w:val="18"/>
                <w:szCs w:val="24"/>
              </w:rPr>
              <w:t>FÓRMULA INDICADOR DE CUMPLIMIENTO DEL PRODUCTO</w:t>
            </w:r>
          </w:p>
        </w:tc>
        <w:tc>
          <w:tcPr>
            <w:tcW w:w="848" w:type="pct"/>
            <w:shd w:val="clear" w:color="auto" w:fill="BDD6EE" w:themeFill="accent1" w:themeFillTint="66"/>
            <w:tcMar>
              <w:top w:w="15" w:type="dxa"/>
              <w:left w:w="47" w:type="dxa"/>
              <w:bottom w:w="0" w:type="dxa"/>
              <w:right w:w="47" w:type="dxa"/>
            </w:tcMar>
            <w:vAlign w:val="center"/>
            <w:hideMark/>
          </w:tcPr>
          <w:p w:rsidR="008F1065" w:rsidRPr="00551731" w:rsidRDefault="008F1065" w:rsidP="008F1065">
            <w:pPr>
              <w:spacing w:line="276" w:lineRule="auto"/>
              <w:jc w:val="both"/>
              <w:rPr>
                <w:rFonts w:ascii="Arial" w:hAnsi="Arial" w:cs="Arial"/>
                <w:b/>
                <w:sz w:val="18"/>
                <w:szCs w:val="24"/>
                <w:lang w:eastAsia="es-ES"/>
              </w:rPr>
            </w:pPr>
            <w:r w:rsidRPr="00551731">
              <w:rPr>
                <w:rFonts w:ascii="Arial" w:hAnsi="Arial" w:cs="Arial"/>
                <w:b/>
                <w:bCs/>
                <w:sz w:val="18"/>
                <w:szCs w:val="24"/>
              </w:rPr>
              <w:t>META</w:t>
            </w:r>
          </w:p>
        </w:tc>
      </w:tr>
      <w:tr w:rsidR="008F1065" w:rsidRPr="00551731" w:rsidTr="00AC30EC">
        <w:trPr>
          <w:trHeight w:val="20"/>
        </w:trPr>
        <w:tc>
          <w:tcPr>
            <w:tcW w:w="1977" w:type="pct"/>
            <w:shd w:val="clear" w:color="auto" w:fill="auto"/>
            <w:tcMar>
              <w:top w:w="15" w:type="dxa"/>
              <w:left w:w="47" w:type="dxa"/>
              <w:bottom w:w="0" w:type="dxa"/>
              <w:right w:w="47" w:type="dxa"/>
            </w:tcMar>
            <w:vAlign w:val="center"/>
            <w:hideMark/>
          </w:tcPr>
          <w:p w:rsidR="008F1065" w:rsidRPr="00551731" w:rsidRDefault="008F1065" w:rsidP="008F1065">
            <w:pPr>
              <w:spacing w:line="276" w:lineRule="auto"/>
              <w:jc w:val="both"/>
              <w:rPr>
                <w:rFonts w:ascii="Arial" w:hAnsi="Arial" w:cs="Arial"/>
                <w:sz w:val="18"/>
                <w:szCs w:val="24"/>
                <w:lang w:eastAsia="es-ES"/>
              </w:rPr>
            </w:pPr>
            <w:r w:rsidRPr="00551731">
              <w:rPr>
                <w:rFonts w:ascii="Arial" w:hAnsi="Arial" w:cs="Arial"/>
                <w:bCs/>
                <w:sz w:val="18"/>
                <w:szCs w:val="24"/>
              </w:rPr>
              <w:t>Planes de articulación interinstitucional (Gestión Social y Servicio a la Ciudadanía)</w:t>
            </w:r>
          </w:p>
        </w:tc>
        <w:tc>
          <w:tcPr>
            <w:tcW w:w="2174" w:type="pct"/>
            <w:shd w:val="clear" w:color="auto" w:fill="auto"/>
            <w:tcMar>
              <w:top w:w="15" w:type="dxa"/>
              <w:left w:w="47" w:type="dxa"/>
              <w:bottom w:w="0" w:type="dxa"/>
              <w:right w:w="47" w:type="dxa"/>
            </w:tcMar>
            <w:vAlign w:val="center"/>
            <w:hideMark/>
          </w:tcPr>
          <w:p w:rsidR="008F1065" w:rsidRPr="00551731" w:rsidRDefault="008F1065" w:rsidP="008F1065">
            <w:pPr>
              <w:spacing w:line="276" w:lineRule="auto"/>
              <w:jc w:val="both"/>
              <w:rPr>
                <w:rFonts w:ascii="Arial" w:hAnsi="Arial" w:cs="Arial"/>
                <w:sz w:val="18"/>
                <w:szCs w:val="24"/>
                <w:lang w:eastAsia="es-ES"/>
              </w:rPr>
            </w:pPr>
            <w:r w:rsidRPr="00551731">
              <w:rPr>
                <w:rFonts w:ascii="Arial" w:hAnsi="Arial" w:cs="Arial"/>
                <w:sz w:val="18"/>
                <w:szCs w:val="24"/>
              </w:rPr>
              <w:t>Promedio del porcentaje de avance de los Planes de Articulación en 6 proyectos de la Entidad</w:t>
            </w:r>
          </w:p>
        </w:tc>
        <w:tc>
          <w:tcPr>
            <w:tcW w:w="848" w:type="pct"/>
            <w:shd w:val="clear" w:color="auto" w:fill="auto"/>
            <w:tcMar>
              <w:top w:w="15" w:type="dxa"/>
              <w:left w:w="47" w:type="dxa"/>
              <w:bottom w:w="0" w:type="dxa"/>
              <w:right w:w="47" w:type="dxa"/>
            </w:tcMar>
            <w:vAlign w:val="center"/>
            <w:hideMark/>
          </w:tcPr>
          <w:p w:rsidR="008F1065" w:rsidRPr="00551731" w:rsidRDefault="008F1065" w:rsidP="008F1065">
            <w:pPr>
              <w:spacing w:line="276" w:lineRule="auto"/>
              <w:jc w:val="both"/>
              <w:rPr>
                <w:rFonts w:ascii="Arial" w:hAnsi="Arial" w:cs="Arial"/>
                <w:sz w:val="18"/>
                <w:szCs w:val="24"/>
                <w:lang w:eastAsia="es-ES"/>
              </w:rPr>
            </w:pPr>
            <w:r w:rsidRPr="00551731">
              <w:rPr>
                <w:rFonts w:ascii="Arial" w:hAnsi="Arial" w:cs="Arial"/>
                <w:sz w:val="18"/>
                <w:szCs w:val="24"/>
              </w:rPr>
              <w:t>100%</w:t>
            </w:r>
          </w:p>
        </w:tc>
      </w:tr>
      <w:tr w:rsidR="008F1065" w:rsidRPr="00551731" w:rsidTr="00AC30EC">
        <w:trPr>
          <w:trHeight w:val="20"/>
        </w:trPr>
        <w:tc>
          <w:tcPr>
            <w:tcW w:w="1977" w:type="pct"/>
            <w:shd w:val="clear" w:color="auto" w:fill="auto"/>
            <w:tcMar>
              <w:top w:w="15" w:type="dxa"/>
              <w:left w:w="47" w:type="dxa"/>
              <w:bottom w:w="0" w:type="dxa"/>
              <w:right w:w="47" w:type="dxa"/>
            </w:tcMar>
            <w:vAlign w:val="center"/>
            <w:hideMark/>
          </w:tcPr>
          <w:p w:rsidR="008F1065" w:rsidRPr="00551731" w:rsidRDefault="008F1065" w:rsidP="008F1065">
            <w:pPr>
              <w:spacing w:line="276" w:lineRule="auto"/>
              <w:jc w:val="both"/>
              <w:rPr>
                <w:rFonts w:ascii="Arial" w:hAnsi="Arial" w:cs="Arial"/>
                <w:sz w:val="18"/>
                <w:szCs w:val="24"/>
                <w:lang w:eastAsia="es-ES"/>
              </w:rPr>
            </w:pPr>
            <w:r w:rsidRPr="00551731">
              <w:rPr>
                <w:rFonts w:ascii="Arial" w:hAnsi="Arial" w:cs="Arial"/>
                <w:bCs/>
                <w:sz w:val="18"/>
                <w:szCs w:val="24"/>
              </w:rPr>
              <w:t>Derechos de Petición respondidos con oportunidad</w:t>
            </w:r>
          </w:p>
        </w:tc>
        <w:tc>
          <w:tcPr>
            <w:tcW w:w="2174" w:type="pct"/>
            <w:shd w:val="clear" w:color="auto" w:fill="auto"/>
            <w:tcMar>
              <w:top w:w="15" w:type="dxa"/>
              <w:left w:w="47" w:type="dxa"/>
              <w:bottom w:w="0" w:type="dxa"/>
              <w:right w:w="47" w:type="dxa"/>
            </w:tcMar>
            <w:vAlign w:val="center"/>
            <w:hideMark/>
          </w:tcPr>
          <w:p w:rsidR="008F1065" w:rsidRPr="00551731" w:rsidRDefault="008F1065" w:rsidP="008F1065">
            <w:pPr>
              <w:spacing w:line="276" w:lineRule="auto"/>
              <w:jc w:val="both"/>
              <w:rPr>
                <w:rFonts w:ascii="Arial" w:hAnsi="Arial" w:cs="Arial"/>
                <w:sz w:val="18"/>
                <w:szCs w:val="24"/>
                <w:lang w:eastAsia="es-ES"/>
              </w:rPr>
            </w:pPr>
            <w:r w:rsidRPr="00551731">
              <w:rPr>
                <w:rFonts w:ascii="Arial" w:hAnsi="Arial" w:cs="Arial"/>
                <w:sz w:val="18"/>
                <w:szCs w:val="24"/>
              </w:rPr>
              <w:t>Derechos de petición respondidos dentro términos / Derechos de Petición Radicados</w:t>
            </w:r>
          </w:p>
        </w:tc>
        <w:tc>
          <w:tcPr>
            <w:tcW w:w="848" w:type="pct"/>
            <w:shd w:val="clear" w:color="auto" w:fill="auto"/>
            <w:tcMar>
              <w:top w:w="15" w:type="dxa"/>
              <w:left w:w="47" w:type="dxa"/>
              <w:bottom w:w="0" w:type="dxa"/>
              <w:right w:w="47" w:type="dxa"/>
            </w:tcMar>
            <w:vAlign w:val="center"/>
            <w:hideMark/>
          </w:tcPr>
          <w:p w:rsidR="008F1065" w:rsidRPr="00551731" w:rsidRDefault="008F1065" w:rsidP="008F1065">
            <w:pPr>
              <w:spacing w:line="276" w:lineRule="auto"/>
              <w:jc w:val="both"/>
              <w:rPr>
                <w:rFonts w:ascii="Arial" w:hAnsi="Arial" w:cs="Arial"/>
                <w:sz w:val="18"/>
                <w:szCs w:val="24"/>
                <w:lang w:eastAsia="es-ES"/>
              </w:rPr>
            </w:pPr>
            <w:r w:rsidRPr="00551731">
              <w:rPr>
                <w:rFonts w:ascii="Arial" w:hAnsi="Arial" w:cs="Arial"/>
                <w:sz w:val="18"/>
                <w:szCs w:val="24"/>
              </w:rPr>
              <w:t>91%</w:t>
            </w:r>
          </w:p>
        </w:tc>
      </w:tr>
      <w:tr w:rsidR="008F1065" w:rsidRPr="00551731" w:rsidTr="00AC30EC">
        <w:trPr>
          <w:trHeight w:val="20"/>
        </w:trPr>
        <w:tc>
          <w:tcPr>
            <w:tcW w:w="1977" w:type="pct"/>
            <w:shd w:val="clear" w:color="auto" w:fill="auto"/>
            <w:tcMar>
              <w:top w:w="15" w:type="dxa"/>
              <w:left w:w="47" w:type="dxa"/>
              <w:bottom w:w="0" w:type="dxa"/>
              <w:right w:w="47" w:type="dxa"/>
            </w:tcMar>
            <w:vAlign w:val="center"/>
            <w:hideMark/>
          </w:tcPr>
          <w:p w:rsidR="008F1065" w:rsidRPr="00551731" w:rsidRDefault="008F1065" w:rsidP="008F1065">
            <w:pPr>
              <w:spacing w:line="276" w:lineRule="auto"/>
              <w:jc w:val="both"/>
              <w:rPr>
                <w:rFonts w:ascii="Arial" w:hAnsi="Arial" w:cs="Arial"/>
                <w:sz w:val="18"/>
                <w:szCs w:val="24"/>
                <w:lang w:eastAsia="es-ES"/>
              </w:rPr>
            </w:pPr>
            <w:r w:rsidRPr="00551731">
              <w:rPr>
                <w:rFonts w:ascii="Arial" w:hAnsi="Arial" w:cs="Arial"/>
                <w:bCs/>
                <w:sz w:val="18"/>
                <w:szCs w:val="24"/>
              </w:rPr>
              <w:t>Satisfacción ciudadana frente a la atención por canales</w:t>
            </w:r>
          </w:p>
        </w:tc>
        <w:tc>
          <w:tcPr>
            <w:tcW w:w="2174" w:type="pct"/>
            <w:shd w:val="clear" w:color="auto" w:fill="auto"/>
            <w:tcMar>
              <w:top w:w="15" w:type="dxa"/>
              <w:left w:w="47" w:type="dxa"/>
              <w:bottom w:w="0" w:type="dxa"/>
              <w:right w:w="47" w:type="dxa"/>
            </w:tcMar>
            <w:vAlign w:val="center"/>
            <w:hideMark/>
          </w:tcPr>
          <w:p w:rsidR="008F1065" w:rsidRPr="00551731" w:rsidRDefault="008F1065" w:rsidP="008F1065">
            <w:pPr>
              <w:spacing w:line="276" w:lineRule="auto"/>
              <w:jc w:val="both"/>
              <w:rPr>
                <w:rFonts w:ascii="Arial" w:hAnsi="Arial" w:cs="Arial"/>
                <w:sz w:val="18"/>
                <w:szCs w:val="24"/>
                <w:lang w:eastAsia="es-ES"/>
              </w:rPr>
            </w:pPr>
            <w:r w:rsidRPr="00551731">
              <w:rPr>
                <w:rFonts w:ascii="Arial" w:hAnsi="Arial" w:cs="Arial"/>
                <w:sz w:val="18"/>
                <w:szCs w:val="24"/>
              </w:rPr>
              <w:t xml:space="preserve">N° de ciudadanos que calificaron positivamente la atención y servicio ofrecido/ total de ciudadanos encuestados. </w:t>
            </w:r>
          </w:p>
        </w:tc>
        <w:tc>
          <w:tcPr>
            <w:tcW w:w="848" w:type="pct"/>
            <w:shd w:val="clear" w:color="auto" w:fill="auto"/>
            <w:tcMar>
              <w:top w:w="15" w:type="dxa"/>
              <w:left w:w="47" w:type="dxa"/>
              <w:bottom w:w="0" w:type="dxa"/>
              <w:right w:w="47" w:type="dxa"/>
            </w:tcMar>
            <w:vAlign w:val="center"/>
            <w:hideMark/>
          </w:tcPr>
          <w:p w:rsidR="008F1065" w:rsidRPr="00551731" w:rsidRDefault="008F1065" w:rsidP="008F1065">
            <w:pPr>
              <w:spacing w:line="276" w:lineRule="auto"/>
              <w:jc w:val="both"/>
              <w:rPr>
                <w:rFonts w:ascii="Arial" w:hAnsi="Arial" w:cs="Arial"/>
                <w:sz w:val="18"/>
                <w:szCs w:val="24"/>
                <w:lang w:eastAsia="es-ES"/>
              </w:rPr>
            </w:pPr>
            <w:r w:rsidRPr="00551731">
              <w:rPr>
                <w:rFonts w:ascii="Arial" w:hAnsi="Arial" w:cs="Arial"/>
                <w:sz w:val="18"/>
                <w:szCs w:val="24"/>
              </w:rPr>
              <w:t>88%</w:t>
            </w:r>
          </w:p>
        </w:tc>
      </w:tr>
      <w:tr w:rsidR="008F1065" w:rsidRPr="00551731" w:rsidTr="00AC30EC">
        <w:trPr>
          <w:trHeight w:val="20"/>
        </w:trPr>
        <w:tc>
          <w:tcPr>
            <w:tcW w:w="1977" w:type="pct"/>
            <w:shd w:val="clear" w:color="auto" w:fill="auto"/>
            <w:tcMar>
              <w:top w:w="15" w:type="dxa"/>
              <w:left w:w="47" w:type="dxa"/>
              <w:bottom w:w="0" w:type="dxa"/>
              <w:right w:w="47" w:type="dxa"/>
            </w:tcMar>
            <w:vAlign w:val="center"/>
            <w:hideMark/>
          </w:tcPr>
          <w:p w:rsidR="008F1065" w:rsidRPr="00551731" w:rsidRDefault="008F1065" w:rsidP="008F1065">
            <w:pPr>
              <w:spacing w:line="276" w:lineRule="auto"/>
              <w:jc w:val="both"/>
              <w:rPr>
                <w:rFonts w:ascii="Arial" w:hAnsi="Arial" w:cs="Arial"/>
                <w:sz w:val="18"/>
                <w:szCs w:val="24"/>
                <w:lang w:eastAsia="es-ES"/>
              </w:rPr>
            </w:pPr>
            <w:r w:rsidRPr="00551731">
              <w:rPr>
                <w:rFonts w:ascii="Arial" w:hAnsi="Arial" w:cs="Arial"/>
                <w:bCs/>
                <w:sz w:val="18"/>
                <w:szCs w:val="24"/>
              </w:rPr>
              <w:lastRenderedPageBreak/>
              <w:t>Avance en la implementación del marco de acción de la política de gestión social y servicio a la ciudadanía</w:t>
            </w:r>
          </w:p>
        </w:tc>
        <w:tc>
          <w:tcPr>
            <w:tcW w:w="2174" w:type="pct"/>
            <w:shd w:val="clear" w:color="auto" w:fill="auto"/>
            <w:tcMar>
              <w:top w:w="15" w:type="dxa"/>
              <w:left w:w="47" w:type="dxa"/>
              <w:bottom w:w="0" w:type="dxa"/>
              <w:right w:w="47" w:type="dxa"/>
            </w:tcMar>
            <w:vAlign w:val="center"/>
            <w:hideMark/>
          </w:tcPr>
          <w:p w:rsidR="008F1065" w:rsidRPr="00551731" w:rsidRDefault="008F1065" w:rsidP="008F1065">
            <w:pPr>
              <w:spacing w:line="276" w:lineRule="auto"/>
              <w:jc w:val="both"/>
              <w:rPr>
                <w:rFonts w:ascii="Arial" w:hAnsi="Arial" w:cs="Arial"/>
                <w:sz w:val="18"/>
                <w:szCs w:val="24"/>
                <w:lang w:eastAsia="es-ES"/>
              </w:rPr>
            </w:pPr>
            <w:r w:rsidRPr="00551731">
              <w:rPr>
                <w:rFonts w:ascii="Arial" w:hAnsi="Arial" w:cs="Arial"/>
                <w:sz w:val="18"/>
                <w:szCs w:val="24"/>
              </w:rPr>
              <w:t>Número de actividades realizadas/ Número de actividades proyectadas en el marco de acción de la política de gestión social y servicio a la ciudadanía</w:t>
            </w:r>
          </w:p>
        </w:tc>
        <w:tc>
          <w:tcPr>
            <w:tcW w:w="848" w:type="pct"/>
            <w:shd w:val="clear" w:color="auto" w:fill="auto"/>
            <w:tcMar>
              <w:top w:w="15" w:type="dxa"/>
              <w:left w:w="47" w:type="dxa"/>
              <w:bottom w:w="0" w:type="dxa"/>
              <w:right w:w="47" w:type="dxa"/>
            </w:tcMar>
            <w:vAlign w:val="center"/>
            <w:hideMark/>
          </w:tcPr>
          <w:p w:rsidR="008F1065" w:rsidRPr="00551731" w:rsidRDefault="008F1065" w:rsidP="008F1065">
            <w:pPr>
              <w:spacing w:line="276" w:lineRule="auto"/>
              <w:jc w:val="both"/>
              <w:rPr>
                <w:rFonts w:ascii="Arial" w:hAnsi="Arial" w:cs="Arial"/>
                <w:sz w:val="18"/>
                <w:szCs w:val="24"/>
                <w:lang w:eastAsia="es-ES"/>
              </w:rPr>
            </w:pPr>
            <w:r w:rsidRPr="00551731">
              <w:rPr>
                <w:rFonts w:ascii="Arial" w:hAnsi="Arial" w:cs="Arial"/>
                <w:sz w:val="18"/>
                <w:szCs w:val="24"/>
              </w:rPr>
              <w:t>100%</w:t>
            </w:r>
          </w:p>
        </w:tc>
      </w:tr>
      <w:tr w:rsidR="008F1065" w:rsidRPr="00551731" w:rsidTr="00AC30EC">
        <w:trPr>
          <w:trHeight w:val="20"/>
        </w:trPr>
        <w:tc>
          <w:tcPr>
            <w:tcW w:w="1977" w:type="pct"/>
            <w:shd w:val="clear" w:color="auto" w:fill="auto"/>
            <w:tcMar>
              <w:top w:w="15" w:type="dxa"/>
              <w:left w:w="47" w:type="dxa"/>
              <w:bottom w:w="0" w:type="dxa"/>
              <w:right w:w="47" w:type="dxa"/>
            </w:tcMar>
            <w:vAlign w:val="center"/>
            <w:hideMark/>
          </w:tcPr>
          <w:p w:rsidR="008F1065" w:rsidRPr="00551731" w:rsidRDefault="008F1065" w:rsidP="008F1065">
            <w:pPr>
              <w:spacing w:line="276" w:lineRule="auto"/>
              <w:jc w:val="both"/>
              <w:rPr>
                <w:rFonts w:ascii="Arial" w:hAnsi="Arial" w:cs="Arial"/>
                <w:sz w:val="18"/>
                <w:szCs w:val="24"/>
                <w:lang w:eastAsia="es-ES"/>
              </w:rPr>
            </w:pPr>
            <w:r w:rsidRPr="00551731">
              <w:rPr>
                <w:rFonts w:ascii="Arial" w:hAnsi="Arial" w:cs="Arial"/>
                <w:bCs/>
                <w:sz w:val="18"/>
                <w:szCs w:val="24"/>
              </w:rPr>
              <w:t>Avance en la gestión para  integración de los sistemas de información del IDU (BACHUÉ y ORFEO)</w:t>
            </w:r>
          </w:p>
        </w:tc>
        <w:tc>
          <w:tcPr>
            <w:tcW w:w="2174" w:type="pct"/>
            <w:shd w:val="clear" w:color="auto" w:fill="auto"/>
            <w:tcMar>
              <w:top w:w="15" w:type="dxa"/>
              <w:left w:w="47" w:type="dxa"/>
              <w:bottom w:w="0" w:type="dxa"/>
              <w:right w:w="47" w:type="dxa"/>
            </w:tcMar>
            <w:vAlign w:val="center"/>
            <w:hideMark/>
          </w:tcPr>
          <w:p w:rsidR="008F1065" w:rsidRPr="00551731" w:rsidRDefault="008F1065" w:rsidP="008F1065">
            <w:pPr>
              <w:spacing w:line="276" w:lineRule="auto"/>
              <w:jc w:val="both"/>
              <w:rPr>
                <w:rFonts w:ascii="Arial" w:hAnsi="Arial" w:cs="Arial"/>
                <w:sz w:val="18"/>
                <w:szCs w:val="24"/>
                <w:lang w:eastAsia="es-ES"/>
              </w:rPr>
            </w:pPr>
            <w:r w:rsidRPr="00551731">
              <w:rPr>
                <w:rFonts w:ascii="Arial" w:hAnsi="Arial" w:cs="Arial"/>
                <w:sz w:val="18"/>
                <w:szCs w:val="24"/>
              </w:rPr>
              <w:t>Número de actividades realizadas ante  STRT / Número de actividades planeadas</w:t>
            </w:r>
          </w:p>
        </w:tc>
        <w:tc>
          <w:tcPr>
            <w:tcW w:w="848" w:type="pct"/>
            <w:shd w:val="clear" w:color="auto" w:fill="auto"/>
            <w:tcMar>
              <w:top w:w="15" w:type="dxa"/>
              <w:left w:w="47" w:type="dxa"/>
              <w:bottom w:w="0" w:type="dxa"/>
              <w:right w:w="47" w:type="dxa"/>
            </w:tcMar>
            <w:vAlign w:val="center"/>
            <w:hideMark/>
          </w:tcPr>
          <w:p w:rsidR="008F1065" w:rsidRPr="00551731" w:rsidRDefault="008F1065" w:rsidP="008F1065">
            <w:pPr>
              <w:spacing w:line="276" w:lineRule="auto"/>
              <w:jc w:val="both"/>
              <w:rPr>
                <w:rFonts w:ascii="Arial" w:hAnsi="Arial" w:cs="Arial"/>
                <w:sz w:val="18"/>
                <w:szCs w:val="24"/>
                <w:lang w:eastAsia="es-ES"/>
              </w:rPr>
            </w:pPr>
            <w:r w:rsidRPr="00551731">
              <w:rPr>
                <w:rFonts w:ascii="Arial" w:hAnsi="Arial" w:cs="Arial"/>
                <w:sz w:val="18"/>
                <w:szCs w:val="24"/>
              </w:rPr>
              <w:t>100%</w:t>
            </w:r>
          </w:p>
        </w:tc>
      </w:tr>
      <w:tr w:rsidR="008F1065" w:rsidRPr="00551731" w:rsidTr="00AC30EC">
        <w:trPr>
          <w:trHeight w:val="20"/>
        </w:trPr>
        <w:tc>
          <w:tcPr>
            <w:tcW w:w="1977" w:type="pct"/>
            <w:shd w:val="clear" w:color="auto" w:fill="auto"/>
            <w:tcMar>
              <w:top w:w="15" w:type="dxa"/>
              <w:left w:w="47" w:type="dxa"/>
              <w:bottom w:w="0" w:type="dxa"/>
              <w:right w:w="47" w:type="dxa"/>
            </w:tcMar>
            <w:vAlign w:val="center"/>
            <w:hideMark/>
          </w:tcPr>
          <w:p w:rsidR="008F1065" w:rsidRPr="00551731" w:rsidRDefault="008F1065" w:rsidP="008F1065">
            <w:pPr>
              <w:spacing w:line="276" w:lineRule="auto"/>
              <w:jc w:val="both"/>
              <w:rPr>
                <w:rFonts w:ascii="Arial" w:hAnsi="Arial" w:cs="Arial"/>
                <w:sz w:val="18"/>
                <w:szCs w:val="24"/>
                <w:lang w:eastAsia="es-ES"/>
              </w:rPr>
            </w:pPr>
            <w:r w:rsidRPr="00551731">
              <w:rPr>
                <w:rFonts w:ascii="Arial" w:hAnsi="Arial" w:cs="Arial"/>
                <w:bCs/>
                <w:sz w:val="18"/>
                <w:szCs w:val="24"/>
              </w:rPr>
              <w:t>Satisfacción con los proyectos IDU como aporte en la mejoría de calidad de vida de los ciudadanos</w:t>
            </w:r>
          </w:p>
        </w:tc>
        <w:tc>
          <w:tcPr>
            <w:tcW w:w="2174" w:type="pct"/>
            <w:shd w:val="clear" w:color="auto" w:fill="auto"/>
            <w:tcMar>
              <w:top w:w="15" w:type="dxa"/>
              <w:left w:w="47" w:type="dxa"/>
              <w:bottom w:w="0" w:type="dxa"/>
              <w:right w:w="47" w:type="dxa"/>
            </w:tcMar>
            <w:vAlign w:val="center"/>
            <w:hideMark/>
          </w:tcPr>
          <w:p w:rsidR="008F1065" w:rsidRPr="00551731" w:rsidRDefault="008F1065" w:rsidP="008F1065">
            <w:pPr>
              <w:spacing w:line="276" w:lineRule="auto"/>
              <w:jc w:val="both"/>
              <w:rPr>
                <w:rFonts w:ascii="Arial" w:hAnsi="Arial" w:cs="Arial"/>
                <w:sz w:val="18"/>
                <w:szCs w:val="24"/>
                <w:lang w:eastAsia="es-ES"/>
              </w:rPr>
            </w:pPr>
            <w:r w:rsidRPr="00551731">
              <w:rPr>
                <w:rFonts w:ascii="Arial" w:hAnsi="Arial" w:cs="Arial"/>
                <w:sz w:val="18"/>
                <w:szCs w:val="24"/>
              </w:rPr>
              <w:t>60 puntos o más en el Índice de Satisfacción de los proyectos IDU culminados</w:t>
            </w:r>
          </w:p>
        </w:tc>
        <w:tc>
          <w:tcPr>
            <w:tcW w:w="848" w:type="pct"/>
            <w:shd w:val="clear" w:color="auto" w:fill="auto"/>
            <w:tcMar>
              <w:top w:w="15" w:type="dxa"/>
              <w:left w:w="47" w:type="dxa"/>
              <w:bottom w:w="0" w:type="dxa"/>
              <w:right w:w="47" w:type="dxa"/>
            </w:tcMar>
            <w:vAlign w:val="center"/>
            <w:hideMark/>
          </w:tcPr>
          <w:p w:rsidR="008F1065" w:rsidRPr="00551731" w:rsidRDefault="008F1065" w:rsidP="008F1065">
            <w:pPr>
              <w:spacing w:line="276" w:lineRule="auto"/>
              <w:jc w:val="both"/>
              <w:rPr>
                <w:rFonts w:ascii="Arial" w:hAnsi="Arial" w:cs="Arial"/>
                <w:sz w:val="18"/>
                <w:szCs w:val="24"/>
                <w:lang w:eastAsia="es-ES"/>
              </w:rPr>
            </w:pPr>
            <w:r w:rsidRPr="00551731">
              <w:rPr>
                <w:rFonts w:ascii="Arial" w:hAnsi="Arial" w:cs="Arial"/>
                <w:sz w:val="18"/>
                <w:szCs w:val="24"/>
              </w:rPr>
              <w:t>80</w:t>
            </w:r>
          </w:p>
        </w:tc>
      </w:tr>
    </w:tbl>
    <w:p w:rsidR="008F1065" w:rsidRPr="008F1065" w:rsidRDefault="008F1065" w:rsidP="008F1065">
      <w:pPr>
        <w:spacing w:line="276" w:lineRule="auto"/>
        <w:jc w:val="both"/>
        <w:rPr>
          <w:rFonts w:ascii="Arial" w:hAnsi="Arial" w:cs="Arial"/>
          <w:szCs w:val="24"/>
          <w:lang w:val="es-ES" w:eastAsia="es-ES"/>
        </w:rPr>
      </w:pPr>
      <w:r w:rsidRPr="008F1065">
        <w:rPr>
          <w:rFonts w:ascii="Arial" w:hAnsi="Arial" w:cs="Arial"/>
          <w:szCs w:val="24"/>
          <w:lang w:val="es-ES"/>
        </w:rPr>
        <w:t xml:space="preserve"> </w:t>
      </w:r>
    </w:p>
    <w:p w:rsidR="008F1065" w:rsidRPr="008F1065" w:rsidRDefault="008F1065" w:rsidP="008F1065">
      <w:pPr>
        <w:spacing w:line="276" w:lineRule="auto"/>
        <w:ind w:left="40"/>
        <w:jc w:val="both"/>
        <w:rPr>
          <w:rFonts w:ascii="Arial" w:hAnsi="Arial" w:cs="Arial"/>
          <w:color w:val="222222"/>
          <w:szCs w:val="24"/>
          <w:lang w:val="es-ES"/>
        </w:rPr>
      </w:pPr>
      <w:r w:rsidRPr="008F1065">
        <w:rPr>
          <w:rFonts w:ascii="Arial" w:hAnsi="Arial" w:cs="Arial"/>
          <w:color w:val="222222"/>
          <w:szCs w:val="24"/>
          <w:lang w:val="es-ES"/>
        </w:rPr>
        <w:t>Además de estos productos, la OTC reportó durante el cuatrienio indicadores transversales como son:</w:t>
      </w:r>
    </w:p>
    <w:p w:rsidR="008F1065" w:rsidRPr="008F1065" w:rsidRDefault="008F1065" w:rsidP="008F1065">
      <w:pPr>
        <w:spacing w:line="276" w:lineRule="auto"/>
        <w:ind w:left="40"/>
        <w:jc w:val="both"/>
        <w:rPr>
          <w:rFonts w:ascii="Arial" w:hAnsi="Arial" w:cs="Arial"/>
          <w:color w:val="222222"/>
          <w:szCs w:val="24"/>
          <w:lang w:val="es-ES"/>
        </w:rPr>
      </w:pPr>
    </w:p>
    <w:p w:rsidR="008F1065" w:rsidRPr="008F1065" w:rsidRDefault="008F1065" w:rsidP="00D0183B">
      <w:pPr>
        <w:numPr>
          <w:ilvl w:val="0"/>
          <w:numId w:val="12"/>
        </w:numPr>
        <w:spacing w:after="0" w:line="276" w:lineRule="auto"/>
        <w:ind w:left="567" w:hanging="283"/>
        <w:jc w:val="both"/>
        <w:rPr>
          <w:rFonts w:ascii="Arial" w:hAnsi="Arial" w:cs="Arial"/>
          <w:szCs w:val="24"/>
          <w:lang w:val="es-ES"/>
        </w:rPr>
      </w:pPr>
      <w:r w:rsidRPr="008F1065">
        <w:rPr>
          <w:rFonts w:ascii="Arial" w:hAnsi="Arial" w:cs="Arial"/>
          <w:szCs w:val="24"/>
          <w:lang w:val="es-ES"/>
        </w:rPr>
        <w:t>Objetivos del SIG implementados: la Oficina es la líder del Subsistema de Responsabilidad Social, para el cual se hace seguimiento a las actividades formuladas en planes de acción anuales, cumpliendo cada año con las actividades propuestas.</w:t>
      </w:r>
    </w:p>
    <w:p w:rsidR="008F1065" w:rsidRPr="008F1065" w:rsidRDefault="008F1065" w:rsidP="008F1065">
      <w:pPr>
        <w:spacing w:line="276" w:lineRule="auto"/>
        <w:ind w:left="567" w:hanging="283"/>
        <w:jc w:val="both"/>
        <w:rPr>
          <w:rFonts w:ascii="Arial" w:hAnsi="Arial" w:cs="Arial"/>
          <w:szCs w:val="24"/>
          <w:lang w:val="es-ES"/>
        </w:rPr>
      </w:pPr>
    </w:p>
    <w:p w:rsidR="008F1065" w:rsidRPr="008F1065" w:rsidRDefault="008F1065" w:rsidP="00D0183B">
      <w:pPr>
        <w:numPr>
          <w:ilvl w:val="0"/>
          <w:numId w:val="12"/>
        </w:numPr>
        <w:spacing w:after="0" w:line="276" w:lineRule="auto"/>
        <w:ind w:left="567" w:hanging="283"/>
        <w:jc w:val="both"/>
        <w:rPr>
          <w:rFonts w:ascii="Arial" w:hAnsi="Arial" w:cs="Arial"/>
          <w:szCs w:val="24"/>
          <w:lang w:val="es-ES"/>
        </w:rPr>
      </w:pPr>
      <w:r w:rsidRPr="008F1065">
        <w:rPr>
          <w:rFonts w:ascii="Arial" w:hAnsi="Arial" w:cs="Arial"/>
          <w:szCs w:val="24"/>
          <w:lang w:val="es-ES"/>
        </w:rPr>
        <w:t>Cumplimiento Rendición de Cuentas Plan Anticorrupción y de Atención al Ciudadano (PAAC): responde al seguimiento de las actividades programadas en la estrategia de rendición de cuentas de la entidad formuladas en el PAAC.</w:t>
      </w:r>
    </w:p>
    <w:p w:rsidR="008F1065" w:rsidRPr="008F1065" w:rsidRDefault="008F1065" w:rsidP="008F1065">
      <w:pPr>
        <w:spacing w:line="276" w:lineRule="auto"/>
        <w:ind w:left="567" w:hanging="283"/>
        <w:jc w:val="both"/>
        <w:rPr>
          <w:rFonts w:ascii="Arial" w:hAnsi="Arial" w:cs="Arial"/>
          <w:szCs w:val="24"/>
          <w:lang w:val="es-ES"/>
        </w:rPr>
      </w:pPr>
    </w:p>
    <w:p w:rsidR="008F1065" w:rsidRPr="008F1065" w:rsidRDefault="008F1065" w:rsidP="00D0183B">
      <w:pPr>
        <w:numPr>
          <w:ilvl w:val="0"/>
          <w:numId w:val="12"/>
        </w:numPr>
        <w:spacing w:after="0" w:line="276" w:lineRule="auto"/>
        <w:ind w:left="567" w:hanging="283"/>
        <w:jc w:val="both"/>
        <w:rPr>
          <w:rFonts w:ascii="Arial" w:hAnsi="Arial" w:cs="Arial"/>
          <w:szCs w:val="24"/>
          <w:lang w:val="es-ES"/>
        </w:rPr>
      </w:pPr>
      <w:r w:rsidRPr="008F1065">
        <w:rPr>
          <w:rFonts w:ascii="Arial" w:hAnsi="Arial" w:cs="Arial"/>
          <w:szCs w:val="24"/>
          <w:lang w:val="es-ES"/>
        </w:rPr>
        <w:t>Acciones cumplidas del plan de mejoramiento interno: este indicador se reporta de acuerdo al seguimiento que hace la Oficina de Control Interno de las acciones cumplidas por la OTC en los planes de mejoramiento adoptados con ocasión de las Auditorías internas programadas en el Plan Anual.</w:t>
      </w:r>
    </w:p>
    <w:p w:rsidR="008F1065" w:rsidRPr="008F1065" w:rsidRDefault="008F1065" w:rsidP="008F1065">
      <w:pPr>
        <w:spacing w:line="276" w:lineRule="auto"/>
        <w:ind w:left="567" w:hanging="283"/>
        <w:jc w:val="both"/>
        <w:rPr>
          <w:rFonts w:ascii="Arial" w:hAnsi="Arial" w:cs="Arial"/>
          <w:szCs w:val="24"/>
          <w:lang w:val="es-ES"/>
        </w:rPr>
      </w:pPr>
    </w:p>
    <w:p w:rsidR="008F1065" w:rsidRPr="008F1065" w:rsidRDefault="008F1065" w:rsidP="00D0183B">
      <w:pPr>
        <w:numPr>
          <w:ilvl w:val="0"/>
          <w:numId w:val="12"/>
        </w:numPr>
        <w:spacing w:after="0" w:line="276" w:lineRule="auto"/>
        <w:ind w:left="567" w:hanging="283"/>
        <w:jc w:val="both"/>
        <w:rPr>
          <w:rFonts w:ascii="Arial" w:hAnsi="Arial" w:cs="Arial"/>
          <w:szCs w:val="24"/>
          <w:lang w:val="es-ES"/>
        </w:rPr>
      </w:pPr>
      <w:r w:rsidRPr="008F1065">
        <w:rPr>
          <w:rFonts w:ascii="Arial" w:hAnsi="Arial" w:cs="Arial"/>
          <w:szCs w:val="24"/>
          <w:lang w:val="es-ES"/>
        </w:rPr>
        <w:t>Ejecución presupuestal inversión de la vigencia: se reporta de acuerdo con la programación presupuestal, la ejecución de los recursos de inversión aprobados anualmente para la gestión de la OTC (Proyecto 1047).</w:t>
      </w:r>
    </w:p>
    <w:p w:rsidR="008F1065" w:rsidRPr="008F1065" w:rsidRDefault="008F1065" w:rsidP="008F1065">
      <w:pPr>
        <w:spacing w:line="276" w:lineRule="auto"/>
        <w:ind w:left="40"/>
        <w:jc w:val="both"/>
        <w:rPr>
          <w:rFonts w:ascii="Arial" w:hAnsi="Arial" w:cs="Arial"/>
          <w:szCs w:val="24"/>
          <w:lang w:val="es-ES"/>
        </w:rPr>
      </w:pPr>
    </w:p>
    <w:p w:rsidR="008F1065" w:rsidRPr="005E3DEE" w:rsidRDefault="008F1065" w:rsidP="00D0183B">
      <w:pPr>
        <w:pStyle w:val="Ttulo4"/>
        <w:keepNext w:val="0"/>
        <w:keepLines w:val="0"/>
        <w:numPr>
          <w:ilvl w:val="2"/>
          <w:numId w:val="13"/>
        </w:numPr>
        <w:spacing w:before="0" w:line="276" w:lineRule="auto"/>
        <w:jc w:val="both"/>
        <w:rPr>
          <w:rFonts w:ascii="Arial" w:hAnsi="Arial" w:cs="Arial"/>
          <w:b/>
          <w:i w:val="0"/>
          <w:color w:val="auto"/>
          <w:lang w:val="es-ES"/>
        </w:rPr>
      </w:pPr>
      <w:r w:rsidRPr="005E3DEE">
        <w:rPr>
          <w:rFonts w:ascii="Arial" w:hAnsi="Arial" w:cs="Arial"/>
          <w:b/>
          <w:i w:val="0"/>
          <w:color w:val="auto"/>
          <w:lang w:val="es-ES"/>
        </w:rPr>
        <w:t>Estrategias y acciones implementadas para la gestión social y el servicio a la ciudadanía.</w:t>
      </w:r>
    </w:p>
    <w:p w:rsidR="008F1065" w:rsidRPr="008F1065" w:rsidRDefault="008F1065" w:rsidP="008F1065">
      <w:pPr>
        <w:spacing w:line="276" w:lineRule="auto"/>
        <w:jc w:val="both"/>
        <w:rPr>
          <w:rFonts w:ascii="Arial" w:hAnsi="Arial" w:cs="Arial"/>
          <w:szCs w:val="24"/>
          <w:lang w:val="es-ES"/>
        </w:rPr>
      </w:pPr>
    </w:p>
    <w:p w:rsidR="008F1065" w:rsidRPr="008F1065" w:rsidRDefault="008F1065" w:rsidP="00D0183B">
      <w:pPr>
        <w:pStyle w:val="Prrafodelista"/>
        <w:numPr>
          <w:ilvl w:val="0"/>
          <w:numId w:val="11"/>
        </w:numPr>
        <w:spacing w:after="0" w:line="276" w:lineRule="auto"/>
        <w:jc w:val="both"/>
        <w:rPr>
          <w:rFonts w:ascii="Arial" w:hAnsi="Arial" w:cs="Arial"/>
          <w:szCs w:val="24"/>
          <w:lang w:val="es-ES"/>
        </w:rPr>
      </w:pPr>
      <w:r w:rsidRPr="008F1065">
        <w:rPr>
          <w:rFonts w:ascii="Arial" w:hAnsi="Arial" w:cs="Arial"/>
          <w:szCs w:val="24"/>
          <w:lang w:val="es-ES"/>
        </w:rPr>
        <w:t>Mejoramiento de la percepción ciudadana sobre los proyectos</w:t>
      </w:r>
    </w:p>
    <w:p w:rsidR="008F1065" w:rsidRPr="008F1065" w:rsidRDefault="008F1065" w:rsidP="00D0183B">
      <w:pPr>
        <w:pStyle w:val="Prrafodelista"/>
        <w:numPr>
          <w:ilvl w:val="1"/>
          <w:numId w:val="11"/>
        </w:numPr>
        <w:spacing w:after="0" w:line="360" w:lineRule="auto"/>
        <w:jc w:val="both"/>
        <w:rPr>
          <w:rFonts w:ascii="Arial" w:hAnsi="Arial" w:cs="Arial"/>
          <w:szCs w:val="24"/>
          <w:lang w:val="es-ES"/>
        </w:rPr>
      </w:pPr>
      <w:r w:rsidRPr="008F1065">
        <w:rPr>
          <w:rFonts w:ascii="Arial" w:hAnsi="Arial" w:cs="Arial"/>
          <w:szCs w:val="24"/>
          <w:lang w:val="es-ES"/>
        </w:rPr>
        <w:lastRenderedPageBreak/>
        <w:t xml:space="preserve">  Indicadores Exante y Expost</w:t>
      </w:r>
    </w:p>
    <w:p w:rsidR="008F1065" w:rsidRPr="008F1065" w:rsidRDefault="008F1065" w:rsidP="00D0183B">
      <w:pPr>
        <w:pStyle w:val="Prrafodelista"/>
        <w:numPr>
          <w:ilvl w:val="0"/>
          <w:numId w:val="11"/>
        </w:numPr>
        <w:spacing w:after="0" w:line="276" w:lineRule="auto"/>
        <w:jc w:val="both"/>
        <w:rPr>
          <w:rFonts w:ascii="Arial" w:hAnsi="Arial" w:cs="Arial"/>
          <w:szCs w:val="24"/>
          <w:lang w:val="es-ES"/>
        </w:rPr>
      </w:pPr>
      <w:r w:rsidRPr="008F1065">
        <w:rPr>
          <w:rFonts w:ascii="Arial" w:hAnsi="Arial" w:cs="Arial"/>
          <w:szCs w:val="24"/>
          <w:lang w:val="es-ES"/>
        </w:rPr>
        <w:t>Fortalecimiento de la Gestión Territorial</w:t>
      </w:r>
    </w:p>
    <w:p w:rsidR="008F1065" w:rsidRPr="008F1065" w:rsidRDefault="008F1065" w:rsidP="00D0183B">
      <w:pPr>
        <w:pStyle w:val="Prrafodelista"/>
        <w:numPr>
          <w:ilvl w:val="0"/>
          <w:numId w:val="11"/>
        </w:numPr>
        <w:spacing w:after="0" w:line="276" w:lineRule="auto"/>
        <w:jc w:val="both"/>
        <w:rPr>
          <w:rFonts w:ascii="Arial" w:hAnsi="Arial" w:cs="Arial"/>
          <w:szCs w:val="24"/>
          <w:lang w:val="es-ES"/>
        </w:rPr>
      </w:pPr>
      <w:r w:rsidRPr="008F1065">
        <w:rPr>
          <w:rFonts w:ascii="Arial" w:hAnsi="Arial" w:cs="Arial"/>
          <w:szCs w:val="24"/>
          <w:lang w:val="es-ES"/>
        </w:rPr>
        <w:t>Modelo de gestión social público – privado</w:t>
      </w:r>
    </w:p>
    <w:p w:rsidR="008F1065" w:rsidRPr="008F1065" w:rsidRDefault="008F1065" w:rsidP="00D0183B">
      <w:pPr>
        <w:pStyle w:val="Prrafodelista"/>
        <w:numPr>
          <w:ilvl w:val="0"/>
          <w:numId w:val="11"/>
        </w:numPr>
        <w:spacing w:after="0" w:line="276" w:lineRule="auto"/>
        <w:jc w:val="both"/>
        <w:rPr>
          <w:rFonts w:ascii="Arial" w:hAnsi="Arial" w:cs="Arial"/>
          <w:szCs w:val="24"/>
          <w:lang w:val="es-ES"/>
        </w:rPr>
      </w:pPr>
      <w:r w:rsidRPr="008F1065">
        <w:rPr>
          <w:rFonts w:ascii="Arial" w:hAnsi="Arial" w:cs="Arial"/>
          <w:szCs w:val="24"/>
          <w:lang w:val="es-ES"/>
        </w:rPr>
        <w:t>Nuevos Pliegos</w:t>
      </w:r>
    </w:p>
    <w:p w:rsidR="008F1065" w:rsidRPr="008F1065" w:rsidRDefault="008F1065" w:rsidP="00D0183B">
      <w:pPr>
        <w:pStyle w:val="Prrafodelista"/>
        <w:numPr>
          <w:ilvl w:val="0"/>
          <w:numId w:val="11"/>
        </w:numPr>
        <w:spacing w:after="0" w:line="276" w:lineRule="auto"/>
        <w:jc w:val="both"/>
        <w:rPr>
          <w:rFonts w:ascii="Arial" w:hAnsi="Arial" w:cs="Arial"/>
          <w:szCs w:val="24"/>
          <w:lang w:val="es-ES"/>
        </w:rPr>
      </w:pPr>
      <w:r w:rsidRPr="008F1065">
        <w:rPr>
          <w:rFonts w:ascii="Arial" w:hAnsi="Arial" w:cs="Arial"/>
          <w:szCs w:val="24"/>
          <w:lang w:val="es-ES"/>
        </w:rPr>
        <w:t>Curso de Desarrollo Urbano y Cultura Ciudadana</w:t>
      </w:r>
    </w:p>
    <w:p w:rsidR="008F1065" w:rsidRPr="008F1065" w:rsidRDefault="008F1065" w:rsidP="00D0183B">
      <w:pPr>
        <w:pStyle w:val="Prrafodelista"/>
        <w:numPr>
          <w:ilvl w:val="0"/>
          <w:numId w:val="11"/>
        </w:numPr>
        <w:spacing w:after="0" w:line="276" w:lineRule="auto"/>
        <w:jc w:val="both"/>
        <w:rPr>
          <w:rFonts w:ascii="Arial" w:hAnsi="Arial" w:cs="Arial"/>
          <w:szCs w:val="24"/>
          <w:lang w:val="es-ES"/>
        </w:rPr>
      </w:pPr>
      <w:r w:rsidRPr="008F1065">
        <w:rPr>
          <w:rFonts w:ascii="Arial" w:hAnsi="Arial" w:cs="Arial"/>
          <w:szCs w:val="24"/>
          <w:lang w:val="es-ES"/>
        </w:rPr>
        <w:t>Mesas de Construcción de Ciudad y Ciudadanía</w:t>
      </w:r>
    </w:p>
    <w:p w:rsidR="008F1065" w:rsidRPr="008F1065" w:rsidRDefault="008F1065" w:rsidP="00D0183B">
      <w:pPr>
        <w:pStyle w:val="Prrafodelista"/>
        <w:numPr>
          <w:ilvl w:val="0"/>
          <w:numId w:val="11"/>
        </w:numPr>
        <w:spacing w:after="0" w:line="276" w:lineRule="auto"/>
        <w:jc w:val="both"/>
        <w:rPr>
          <w:rFonts w:ascii="Arial" w:hAnsi="Arial" w:cs="Arial"/>
          <w:szCs w:val="24"/>
          <w:lang w:val="es-ES"/>
        </w:rPr>
      </w:pPr>
      <w:r w:rsidRPr="008F1065">
        <w:rPr>
          <w:rFonts w:ascii="Arial" w:hAnsi="Arial" w:cs="Arial"/>
          <w:szCs w:val="24"/>
          <w:lang w:val="es-ES"/>
        </w:rPr>
        <w:t>Estrategia: La ciudad es para la gente</w:t>
      </w:r>
    </w:p>
    <w:p w:rsidR="008F1065" w:rsidRPr="008F1065" w:rsidRDefault="008F1065" w:rsidP="00D0183B">
      <w:pPr>
        <w:pStyle w:val="Prrafodelista"/>
        <w:numPr>
          <w:ilvl w:val="1"/>
          <w:numId w:val="11"/>
        </w:numPr>
        <w:spacing w:after="0" w:line="276" w:lineRule="auto"/>
        <w:jc w:val="both"/>
        <w:rPr>
          <w:rFonts w:ascii="Arial" w:hAnsi="Arial" w:cs="Arial"/>
          <w:szCs w:val="24"/>
          <w:lang w:val="es-ES"/>
        </w:rPr>
      </w:pPr>
      <w:r w:rsidRPr="008F1065">
        <w:rPr>
          <w:rFonts w:ascii="Arial" w:hAnsi="Arial" w:cs="Arial"/>
          <w:szCs w:val="24"/>
          <w:lang w:val="es-ES"/>
        </w:rPr>
        <w:t>Transmicable</w:t>
      </w:r>
    </w:p>
    <w:p w:rsidR="008F1065" w:rsidRPr="008F1065" w:rsidRDefault="008F1065" w:rsidP="00D0183B">
      <w:pPr>
        <w:pStyle w:val="Prrafodelista"/>
        <w:numPr>
          <w:ilvl w:val="1"/>
          <w:numId w:val="11"/>
        </w:numPr>
        <w:spacing w:after="0" w:line="276" w:lineRule="auto"/>
        <w:jc w:val="both"/>
        <w:rPr>
          <w:rFonts w:ascii="Arial" w:hAnsi="Arial" w:cs="Arial"/>
          <w:szCs w:val="24"/>
          <w:lang w:val="es-ES"/>
        </w:rPr>
      </w:pPr>
      <w:r w:rsidRPr="008F1065">
        <w:rPr>
          <w:rFonts w:ascii="Arial" w:hAnsi="Arial" w:cs="Arial"/>
          <w:szCs w:val="24"/>
          <w:lang w:val="es-ES"/>
        </w:rPr>
        <w:t>Av. Guayacanes</w:t>
      </w:r>
    </w:p>
    <w:p w:rsidR="008F1065" w:rsidRPr="008F1065" w:rsidRDefault="008F1065" w:rsidP="00D0183B">
      <w:pPr>
        <w:pStyle w:val="Prrafodelista"/>
        <w:numPr>
          <w:ilvl w:val="1"/>
          <w:numId w:val="11"/>
        </w:numPr>
        <w:spacing w:after="0" w:line="276" w:lineRule="auto"/>
        <w:jc w:val="both"/>
        <w:rPr>
          <w:rFonts w:ascii="Arial" w:hAnsi="Arial" w:cs="Arial"/>
          <w:szCs w:val="24"/>
          <w:lang w:val="es-ES"/>
        </w:rPr>
      </w:pPr>
      <w:r w:rsidRPr="008F1065">
        <w:rPr>
          <w:rFonts w:ascii="Arial" w:hAnsi="Arial" w:cs="Arial"/>
          <w:szCs w:val="24"/>
          <w:lang w:val="es-ES"/>
        </w:rPr>
        <w:t>Nueva Séptima</w:t>
      </w:r>
    </w:p>
    <w:p w:rsidR="008F1065" w:rsidRPr="008F1065" w:rsidRDefault="008F1065" w:rsidP="00D0183B">
      <w:pPr>
        <w:pStyle w:val="Prrafodelista"/>
        <w:numPr>
          <w:ilvl w:val="1"/>
          <w:numId w:val="11"/>
        </w:numPr>
        <w:spacing w:after="0" w:line="276" w:lineRule="auto"/>
        <w:jc w:val="both"/>
        <w:rPr>
          <w:rFonts w:ascii="Arial" w:hAnsi="Arial" w:cs="Arial"/>
          <w:szCs w:val="24"/>
          <w:lang w:val="es-ES"/>
        </w:rPr>
      </w:pPr>
      <w:r w:rsidRPr="008F1065">
        <w:rPr>
          <w:rFonts w:ascii="Arial" w:hAnsi="Arial" w:cs="Arial"/>
          <w:szCs w:val="24"/>
          <w:lang w:val="es-ES"/>
        </w:rPr>
        <w:t>Troncal Av. 68</w:t>
      </w:r>
    </w:p>
    <w:p w:rsidR="008F1065" w:rsidRPr="008F1065" w:rsidRDefault="008F1065" w:rsidP="00D0183B">
      <w:pPr>
        <w:pStyle w:val="Prrafodelista"/>
        <w:numPr>
          <w:ilvl w:val="1"/>
          <w:numId w:val="11"/>
        </w:numPr>
        <w:spacing w:after="0" w:line="276" w:lineRule="auto"/>
        <w:jc w:val="both"/>
        <w:rPr>
          <w:rFonts w:ascii="Arial" w:hAnsi="Arial" w:cs="Arial"/>
          <w:szCs w:val="24"/>
          <w:lang w:val="es-ES"/>
        </w:rPr>
      </w:pPr>
      <w:r w:rsidRPr="008F1065">
        <w:rPr>
          <w:rFonts w:ascii="Arial" w:hAnsi="Arial" w:cs="Arial"/>
          <w:szCs w:val="24"/>
          <w:lang w:val="es-ES"/>
        </w:rPr>
        <w:t>Peatonalización Séptima</w:t>
      </w:r>
    </w:p>
    <w:p w:rsidR="008F1065" w:rsidRPr="008F1065" w:rsidRDefault="008F1065" w:rsidP="00D0183B">
      <w:pPr>
        <w:pStyle w:val="Prrafodelista"/>
        <w:numPr>
          <w:ilvl w:val="1"/>
          <w:numId w:val="11"/>
        </w:numPr>
        <w:spacing w:after="0" w:line="276" w:lineRule="auto"/>
        <w:jc w:val="both"/>
        <w:rPr>
          <w:rFonts w:ascii="Arial" w:hAnsi="Arial" w:cs="Arial"/>
          <w:szCs w:val="24"/>
          <w:lang w:val="es-ES"/>
        </w:rPr>
      </w:pPr>
      <w:r w:rsidRPr="008F1065">
        <w:rPr>
          <w:rFonts w:ascii="Arial" w:hAnsi="Arial" w:cs="Arial"/>
          <w:szCs w:val="24"/>
          <w:lang w:val="es-ES"/>
        </w:rPr>
        <w:t>Proyectos de Valorización</w:t>
      </w:r>
    </w:p>
    <w:p w:rsidR="008F1065" w:rsidRPr="008F1065" w:rsidRDefault="008F1065" w:rsidP="00D0183B">
      <w:pPr>
        <w:pStyle w:val="Prrafodelista"/>
        <w:numPr>
          <w:ilvl w:val="1"/>
          <w:numId w:val="11"/>
        </w:numPr>
        <w:spacing w:after="0" w:line="276" w:lineRule="auto"/>
        <w:jc w:val="both"/>
        <w:rPr>
          <w:rFonts w:ascii="Arial" w:hAnsi="Arial" w:cs="Arial"/>
          <w:szCs w:val="24"/>
          <w:lang w:val="es-ES"/>
        </w:rPr>
      </w:pPr>
      <w:r w:rsidRPr="008F1065">
        <w:rPr>
          <w:rFonts w:ascii="Arial" w:hAnsi="Arial" w:cs="Arial"/>
          <w:szCs w:val="24"/>
          <w:lang w:val="es-ES"/>
        </w:rPr>
        <w:t>Proyectos de Regalías</w:t>
      </w:r>
    </w:p>
    <w:p w:rsidR="008F1065" w:rsidRPr="008F1065" w:rsidRDefault="008F1065" w:rsidP="00D0183B">
      <w:pPr>
        <w:pStyle w:val="Prrafodelista"/>
        <w:numPr>
          <w:ilvl w:val="0"/>
          <w:numId w:val="11"/>
        </w:numPr>
        <w:spacing w:after="0" w:line="276" w:lineRule="auto"/>
        <w:jc w:val="both"/>
        <w:rPr>
          <w:rFonts w:ascii="Arial" w:hAnsi="Arial" w:cs="Arial"/>
          <w:szCs w:val="24"/>
          <w:lang w:val="es-ES"/>
        </w:rPr>
      </w:pPr>
      <w:r w:rsidRPr="008F1065">
        <w:rPr>
          <w:rFonts w:ascii="Arial" w:hAnsi="Arial" w:cs="Arial"/>
          <w:szCs w:val="24"/>
          <w:lang w:val="es-ES"/>
        </w:rPr>
        <w:t>Todos somos Atención al Ciudadano</w:t>
      </w:r>
    </w:p>
    <w:p w:rsidR="008F1065" w:rsidRPr="008F1065" w:rsidRDefault="008F1065" w:rsidP="008F1065">
      <w:pPr>
        <w:spacing w:line="276" w:lineRule="auto"/>
        <w:jc w:val="both"/>
        <w:rPr>
          <w:rFonts w:ascii="Arial" w:hAnsi="Arial" w:cs="Arial"/>
          <w:szCs w:val="24"/>
          <w:lang w:val="es-ES"/>
        </w:rPr>
      </w:pPr>
    </w:p>
    <w:p w:rsidR="008F1065" w:rsidRPr="005E3DEE" w:rsidRDefault="008F1065" w:rsidP="00D0183B">
      <w:pPr>
        <w:pStyle w:val="Ttulo4"/>
        <w:keepNext w:val="0"/>
        <w:keepLines w:val="0"/>
        <w:numPr>
          <w:ilvl w:val="2"/>
          <w:numId w:val="13"/>
        </w:numPr>
        <w:spacing w:before="0" w:line="276" w:lineRule="auto"/>
        <w:ind w:left="709"/>
        <w:jc w:val="both"/>
        <w:rPr>
          <w:rFonts w:ascii="Arial" w:hAnsi="Arial" w:cs="Arial"/>
          <w:b/>
          <w:i w:val="0"/>
          <w:color w:val="auto"/>
          <w:lang w:val="es-ES"/>
        </w:rPr>
      </w:pPr>
      <w:r w:rsidRPr="005E3DEE">
        <w:rPr>
          <w:rFonts w:ascii="Arial" w:hAnsi="Arial" w:cs="Arial"/>
          <w:b/>
          <w:i w:val="0"/>
          <w:color w:val="auto"/>
          <w:lang w:val="es-ES"/>
        </w:rPr>
        <w:t>Seguimiento y evaluación a la gestión social y servicio a la ciudadanía.</w:t>
      </w:r>
    </w:p>
    <w:p w:rsidR="008F1065" w:rsidRPr="008F1065" w:rsidRDefault="008F1065" w:rsidP="008F1065">
      <w:pPr>
        <w:spacing w:line="276" w:lineRule="auto"/>
        <w:jc w:val="both"/>
        <w:rPr>
          <w:rFonts w:ascii="Arial" w:hAnsi="Arial" w:cs="Arial"/>
          <w:szCs w:val="24"/>
          <w:lang w:val="es-ES"/>
        </w:rPr>
      </w:pPr>
    </w:p>
    <w:p w:rsidR="008F1065" w:rsidRPr="008F1065" w:rsidRDefault="008F1065" w:rsidP="008F1065">
      <w:pPr>
        <w:pStyle w:val="NormalWeb"/>
        <w:shd w:val="clear" w:color="auto" w:fill="FFFFFF"/>
        <w:spacing w:before="0" w:beforeAutospacing="0" w:after="0" w:afterAutospacing="0" w:line="276" w:lineRule="auto"/>
        <w:jc w:val="both"/>
        <w:rPr>
          <w:rFonts w:eastAsia="Arial" w:cs="Arial"/>
          <w:lang w:val="es-ES"/>
        </w:rPr>
      </w:pPr>
      <w:r w:rsidRPr="008F1065">
        <w:rPr>
          <w:rFonts w:eastAsia="Arial" w:cs="Arial"/>
          <w:lang w:val="es-ES"/>
        </w:rPr>
        <w:t xml:space="preserve">La Oficina de Atención al Ciudadano cuenta con un equipo de seguimiento y evaluación, que tiene como objetivo mantener informado al IDU y al ciudadano en general sobre las opiniones, expectativas, percepciones e impactos que generan en la ciudadanía los servicios ofrecidos por la Entidad, así como los proyectos de infraestructura para la movilidad y el espacio público que realiza. </w:t>
      </w:r>
    </w:p>
    <w:p w:rsidR="008F1065" w:rsidRPr="008F1065" w:rsidRDefault="008F1065" w:rsidP="008F1065">
      <w:pPr>
        <w:pStyle w:val="NormalWeb"/>
        <w:shd w:val="clear" w:color="auto" w:fill="FFFFFF"/>
        <w:spacing w:before="0" w:beforeAutospacing="0" w:after="0" w:afterAutospacing="0" w:line="276" w:lineRule="auto"/>
        <w:jc w:val="both"/>
        <w:rPr>
          <w:rFonts w:eastAsia="Arial" w:cs="Arial"/>
          <w:lang w:val="es-ES"/>
        </w:rPr>
      </w:pPr>
    </w:p>
    <w:p w:rsidR="008F1065" w:rsidRPr="008F1065" w:rsidRDefault="008F1065" w:rsidP="008F1065">
      <w:pPr>
        <w:pStyle w:val="NormalWeb"/>
        <w:shd w:val="clear" w:color="auto" w:fill="FFFFFF"/>
        <w:spacing w:before="0" w:beforeAutospacing="0" w:after="0" w:afterAutospacing="0" w:line="276" w:lineRule="auto"/>
        <w:jc w:val="both"/>
        <w:rPr>
          <w:rFonts w:cs="Arial"/>
          <w:lang w:eastAsia="es-CO"/>
        </w:rPr>
      </w:pPr>
      <w:r w:rsidRPr="008F1065">
        <w:rPr>
          <w:rFonts w:eastAsia="Arial" w:cs="Arial"/>
          <w:lang w:val="es-ES"/>
        </w:rPr>
        <w:t>La OTC cuenta con reportes trimestrales de medición de satisfacción por la atención recibida por parte del IDU en los puntos de atención presencial, telefónica y virtual, que se reportan a través de los indicadores del tablero de control de la Entidad. Por su parte, el seguimiento y evaluación de los proyectos mide la expectativa, percepción y satisfacción ciudadana antes, durante y después de los proyectos ejecutados por el Instituto en la ciudad, permitiendo recolectar datos de primera mano sobre la opinión de la ciudadanía en la gestión IDU.</w:t>
      </w:r>
    </w:p>
    <w:p w:rsidR="008F1065" w:rsidRDefault="008F1065" w:rsidP="008F1065">
      <w:pPr>
        <w:spacing w:line="276" w:lineRule="auto"/>
        <w:jc w:val="both"/>
        <w:rPr>
          <w:rFonts w:ascii="Arial" w:hAnsi="Arial" w:cs="Arial"/>
          <w:szCs w:val="24"/>
          <w:lang w:val="es-ES"/>
        </w:rPr>
      </w:pPr>
    </w:p>
    <w:p w:rsidR="00551731" w:rsidRPr="008F1065" w:rsidRDefault="00551731" w:rsidP="008F1065">
      <w:pPr>
        <w:spacing w:line="276" w:lineRule="auto"/>
        <w:jc w:val="both"/>
        <w:rPr>
          <w:rFonts w:ascii="Arial" w:hAnsi="Arial" w:cs="Arial"/>
          <w:szCs w:val="24"/>
          <w:lang w:val="es-ES"/>
        </w:rPr>
      </w:pPr>
    </w:p>
    <w:p w:rsidR="008F1065" w:rsidRPr="005E3DEE" w:rsidRDefault="008F1065" w:rsidP="00D0183B">
      <w:pPr>
        <w:pStyle w:val="Ttulo4"/>
        <w:keepNext w:val="0"/>
        <w:keepLines w:val="0"/>
        <w:numPr>
          <w:ilvl w:val="2"/>
          <w:numId w:val="13"/>
        </w:numPr>
        <w:spacing w:before="0" w:line="276" w:lineRule="auto"/>
        <w:ind w:left="709"/>
        <w:jc w:val="both"/>
        <w:rPr>
          <w:rFonts w:ascii="Arial" w:hAnsi="Arial" w:cs="Arial"/>
          <w:b/>
          <w:i w:val="0"/>
          <w:color w:val="auto"/>
          <w:lang w:val="es-ES"/>
        </w:rPr>
      </w:pPr>
      <w:r w:rsidRPr="005E3DEE">
        <w:rPr>
          <w:rFonts w:ascii="Arial" w:hAnsi="Arial" w:cs="Arial"/>
          <w:b/>
          <w:i w:val="0"/>
          <w:color w:val="auto"/>
          <w:lang w:val="es-ES"/>
        </w:rPr>
        <w:t xml:space="preserve">Identificación de las oportunidades de mejora en la gestión social y servicio a la ciudadanía.  </w:t>
      </w:r>
    </w:p>
    <w:p w:rsidR="008F1065" w:rsidRPr="008F1065" w:rsidRDefault="008F1065" w:rsidP="008F1065">
      <w:pPr>
        <w:spacing w:line="276" w:lineRule="auto"/>
        <w:jc w:val="both"/>
        <w:rPr>
          <w:rFonts w:ascii="Arial" w:eastAsia="Times New Roman" w:hAnsi="Arial" w:cs="Arial"/>
          <w:color w:val="000000"/>
          <w:szCs w:val="24"/>
        </w:rPr>
      </w:pPr>
    </w:p>
    <w:p w:rsidR="008F1065" w:rsidRPr="008F1065" w:rsidRDefault="008F1065" w:rsidP="008F1065">
      <w:pPr>
        <w:spacing w:line="276" w:lineRule="auto"/>
        <w:jc w:val="both"/>
        <w:rPr>
          <w:rFonts w:ascii="Arial" w:eastAsia="Times New Roman" w:hAnsi="Arial" w:cs="Arial"/>
          <w:color w:val="222222"/>
          <w:szCs w:val="24"/>
        </w:rPr>
      </w:pPr>
      <w:r w:rsidRPr="008F1065">
        <w:rPr>
          <w:rFonts w:ascii="Arial" w:eastAsia="Times New Roman" w:hAnsi="Arial" w:cs="Arial"/>
          <w:color w:val="000000"/>
          <w:szCs w:val="24"/>
        </w:rPr>
        <w:t xml:space="preserve">En diversos encuentros las comunidades han reconocido que el IDU ha cualificado su participación en los procesos de construcción de la ciudad, a través de la creación de </w:t>
      </w:r>
      <w:r w:rsidRPr="008F1065">
        <w:rPr>
          <w:rFonts w:ascii="Arial" w:eastAsia="Times New Roman" w:hAnsi="Arial" w:cs="Arial"/>
          <w:color w:val="000000"/>
          <w:szCs w:val="24"/>
        </w:rPr>
        <w:lastRenderedPageBreak/>
        <w:t xml:space="preserve">espacios deliberativos y formativos que mejoran su capacidad de comprender los avances y los retos del desarrollo </w:t>
      </w:r>
      <w:r w:rsidR="00202903" w:rsidRPr="008F1065">
        <w:rPr>
          <w:rFonts w:ascii="Arial" w:eastAsia="Times New Roman" w:hAnsi="Arial" w:cs="Arial"/>
          <w:color w:val="000000"/>
          <w:szCs w:val="24"/>
        </w:rPr>
        <w:t>urbano,</w:t>
      </w:r>
      <w:r w:rsidRPr="008F1065">
        <w:rPr>
          <w:rFonts w:ascii="Arial" w:eastAsia="Times New Roman" w:hAnsi="Arial" w:cs="Arial"/>
          <w:color w:val="000000"/>
          <w:szCs w:val="24"/>
        </w:rPr>
        <w:t xml:space="preserve"> así como procesos y proyectos liderados por la Entidad. Estos resultados fueron reconocidos por </w:t>
      </w:r>
      <w:r w:rsidRPr="008F1065">
        <w:rPr>
          <w:rFonts w:ascii="Arial" w:eastAsia="Times New Roman" w:hAnsi="Arial" w:cs="Arial"/>
          <w:color w:val="222222"/>
          <w:szCs w:val="24"/>
        </w:rPr>
        <w:t xml:space="preserve">la Corporación Financiera Internacional (IFC) del Banco Mundial, que reconoce nuestro Modelo de Relacionamiento y Servicio a la Ciudadanía como modelo replicable a nivel internacional, destacando como prácticas exitosas de liderazgo la formulación de estrategias socio-culturales interinstitucionales, intersectoriales e interdisciplinarias para el abordaje integral de las necesidades sociales y espaciales de las poblaciones. </w:t>
      </w:r>
    </w:p>
    <w:p w:rsidR="00551731" w:rsidRDefault="00551731" w:rsidP="008F1065">
      <w:pPr>
        <w:pStyle w:val="Textocomentario"/>
        <w:spacing w:line="276" w:lineRule="auto"/>
        <w:jc w:val="both"/>
        <w:rPr>
          <w:rFonts w:eastAsia="Times New Roman"/>
          <w:color w:val="222222"/>
          <w:sz w:val="22"/>
          <w:lang w:eastAsia="en-US"/>
        </w:rPr>
      </w:pPr>
    </w:p>
    <w:p w:rsidR="008F1065" w:rsidRPr="008F1065" w:rsidRDefault="008F1065" w:rsidP="008F1065">
      <w:pPr>
        <w:pStyle w:val="Textocomentario"/>
        <w:spacing w:line="276" w:lineRule="auto"/>
        <w:jc w:val="both"/>
        <w:rPr>
          <w:rFonts w:eastAsia="Times New Roman"/>
          <w:color w:val="000000"/>
        </w:rPr>
      </w:pPr>
      <w:r w:rsidRPr="008F1065">
        <w:rPr>
          <w:rFonts w:eastAsia="Times New Roman"/>
          <w:color w:val="000000"/>
        </w:rPr>
        <w:t xml:space="preserve">Hacia el interior de la Entidad también existe un reconocimiento mayoritario sobre los logros y el posicionamiento de la gestión socio-cultural; hemos avanzado en formalizar procesos de cooperación entre los componentes técnicos, ambientales, sociales y culturales de los proyectos. Sin embargo, resultará vital en el futuro consolidar procesos formación y diálogo para diversas áreas técnicas de la Entidad, buscando mejorar su comprensión de la </w:t>
      </w:r>
      <w:r w:rsidRPr="008F1065">
        <w:rPr>
          <w:rFonts w:eastAsia="Times New Roman"/>
          <w:i/>
          <w:iCs/>
          <w:color w:val="000000"/>
        </w:rPr>
        <w:t xml:space="preserve">Política de Gestión Social y Servicio a la Ciudadanía </w:t>
      </w:r>
      <w:r w:rsidRPr="008F1065">
        <w:rPr>
          <w:rFonts w:eastAsia="Times New Roman"/>
          <w:color w:val="000000"/>
        </w:rPr>
        <w:t xml:space="preserve">y el </w:t>
      </w:r>
      <w:r w:rsidRPr="008F1065">
        <w:rPr>
          <w:rFonts w:eastAsia="Times New Roman"/>
          <w:i/>
          <w:iCs/>
          <w:color w:val="000000"/>
        </w:rPr>
        <w:t>Modelo de Relacionamiento y Servicio a la Ciudadanía</w:t>
      </w:r>
      <w:r w:rsidRPr="008F1065">
        <w:rPr>
          <w:rFonts w:eastAsia="Times New Roman"/>
          <w:color w:val="000000"/>
        </w:rPr>
        <w:t xml:space="preserve"> que opera a través suyo, para </w:t>
      </w:r>
      <w:r w:rsidRPr="008F1065">
        <w:rPr>
          <w:rFonts w:eastAsia="Times New Roman"/>
          <w:iCs/>
          <w:color w:val="000000"/>
        </w:rPr>
        <w:t>fortalecer la gobernanza urbana de la ciudad</w:t>
      </w:r>
      <w:r w:rsidRPr="008F1065">
        <w:rPr>
          <w:rFonts w:eastAsia="Times New Roman"/>
          <w:color w:val="000000"/>
        </w:rPr>
        <w:t xml:space="preserve">, </w:t>
      </w:r>
      <w:r w:rsidRPr="008F1065">
        <w:rPr>
          <w:rFonts w:eastAsia="Times New Roman"/>
          <w:iCs/>
          <w:color w:val="000000"/>
        </w:rPr>
        <w:t xml:space="preserve">gestionar útilmente los conocimientos sociales </w:t>
      </w:r>
      <w:r w:rsidRPr="008F1065">
        <w:rPr>
          <w:rFonts w:eastAsia="Times New Roman"/>
          <w:color w:val="000000"/>
        </w:rPr>
        <w:t xml:space="preserve">acumulados por la Entidad, </w:t>
      </w:r>
      <w:r w:rsidRPr="008F1065">
        <w:rPr>
          <w:rFonts w:eastAsia="Times New Roman"/>
          <w:iCs/>
          <w:color w:val="000000"/>
        </w:rPr>
        <w:t>ofrecer insumos para la toma de decisiones institucionales</w:t>
      </w:r>
      <w:r w:rsidRPr="008F1065">
        <w:rPr>
          <w:rFonts w:eastAsia="Times New Roman"/>
          <w:color w:val="000000"/>
        </w:rPr>
        <w:t xml:space="preserve">, </w:t>
      </w:r>
      <w:r w:rsidRPr="008F1065">
        <w:rPr>
          <w:rFonts w:eastAsia="Times New Roman"/>
          <w:iCs/>
          <w:color w:val="000000"/>
        </w:rPr>
        <w:t>potenciar la capacidad de informar y comunicar asertivamente a la ciudadanía sobre los proyectos</w:t>
      </w:r>
      <w:r w:rsidRPr="008F1065">
        <w:rPr>
          <w:rFonts w:eastAsia="Times New Roman"/>
          <w:color w:val="000000"/>
        </w:rPr>
        <w:t xml:space="preserve"> y </w:t>
      </w:r>
      <w:r w:rsidRPr="008F1065">
        <w:rPr>
          <w:rFonts w:eastAsia="Times New Roman"/>
          <w:iCs/>
          <w:color w:val="000000"/>
        </w:rPr>
        <w:t xml:space="preserve">producir mecanismos de apropiación y sostenibilidad sobre estos. </w:t>
      </w:r>
    </w:p>
    <w:p w:rsidR="008F1065" w:rsidRPr="008F1065" w:rsidRDefault="008F1065" w:rsidP="008F1065">
      <w:pPr>
        <w:spacing w:line="276" w:lineRule="auto"/>
        <w:jc w:val="both"/>
        <w:rPr>
          <w:rFonts w:ascii="Arial" w:eastAsia="Times New Roman" w:hAnsi="Arial" w:cs="Arial"/>
          <w:szCs w:val="24"/>
        </w:rPr>
      </w:pPr>
    </w:p>
    <w:p w:rsidR="008F1065" w:rsidRPr="00202903" w:rsidRDefault="008F1065" w:rsidP="008F1065">
      <w:pPr>
        <w:spacing w:line="276" w:lineRule="auto"/>
        <w:jc w:val="both"/>
        <w:rPr>
          <w:rFonts w:ascii="Arial" w:eastAsia="Times New Roman" w:hAnsi="Arial" w:cs="Arial"/>
          <w:iCs/>
          <w:color w:val="000000"/>
          <w:sz w:val="24"/>
          <w:szCs w:val="24"/>
          <w:lang w:eastAsia="es-ES"/>
        </w:rPr>
      </w:pPr>
      <w:r w:rsidRPr="00202903">
        <w:rPr>
          <w:rFonts w:ascii="Arial" w:eastAsia="Times New Roman" w:hAnsi="Arial" w:cs="Arial"/>
          <w:iCs/>
          <w:color w:val="000000"/>
          <w:sz w:val="24"/>
          <w:szCs w:val="24"/>
          <w:lang w:eastAsia="es-ES"/>
        </w:rPr>
        <w:t>Reconociendo que sería imposible realizar una buena gestión sin un adecuado ejercicio de producción, sistematización y gestión de la información y de los conocimientos institucionales, es necesario reconocer la necesidad de continuar mejorando los sistemas de información.</w:t>
      </w:r>
    </w:p>
    <w:p w:rsidR="008F1065" w:rsidRPr="008F1065" w:rsidRDefault="008F1065" w:rsidP="008F1065">
      <w:pPr>
        <w:spacing w:line="276" w:lineRule="auto"/>
        <w:jc w:val="both"/>
        <w:rPr>
          <w:rFonts w:ascii="Arial" w:eastAsia="Times New Roman" w:hAnsi="Arial" w:cs="Arial"/>
          <w:szCs w:val="24"/>
        </w:rPr>
      </w:pPr>
    </w:p>
    <w:p w:rsidR="008F1065" w:rsidRPr="00202903" w:rsidRDefault="008F1065" w:rsidP="008F1065">
      <w:pPr>
        <w:spacing w:line="276" w:lineRule="auto"/>
        <w:jc w:val="both"/>
        <w:rPr>
          <w:rFonts w:ascii="Arial" w:eastAsia="Times New Roman" w:hAnsi="Arial" w:cs="Arial"/>
          <w:iCs/>
          <w:color w:val="000000"/>
          <w:sz w:val="24"/>
          <w:szCs w:val="24"/>
          <w:lang w:eastAsia="es-ES"/>
        </w:rPr>
      </w:pPr>
      <w:r w:rsidRPr="00202903">
        <w:rPr>
          <w:rFonts w:ascii="Arial" w:eastAsia="Times New Roman" w:hAnsi="Arial" w:cs="Arial"/>
          <w:iCs/>
          <w:color w:val="000000"/>
          <w:sz w:val="24"/>
          <w:szCs w:val="24"/>
          <w:lang w:eastAsia="es-ES"/>
        </w:rPr>
        <w:t>Finalmente, se debe lograr que los avances en la gestión identificados como buenas prácticas puedan extenderse a diferentes territorios de la ciudad, la ciudad-región y a otras regiones y municipios del país y de otros países que lo requieran. En este sentido, resulta necesario seguir fortaleciendo las alianzas que ya se han hecho con instituciones como Asocapitales, así como con diferentes representantes y emisarios de diferentes ciudades del mundo que, a través de IFC de Banco Mundial, se han acercado a la Entidad para entender su Modelo de Relacionamiento.</w:t>
      </w:r>
    </w:p>
    <w:p w:rsidR="008F1065" w:rsidRPr="008F1065" w:rsidRDefault="008F1065" w:rsidP="008F1065">
      <w:pPr>
        <w:spacing w:line="276" w:lineRule="auto"/>
        <w:jc w:val="both"/>
        <w:rPr>
          <w:rFonts w:ascii="Arial" w:hAnsi="Arial" w:cs="Arial"/>
          <w:lang w:val="es-ES"/>
        </w:rPr>
      </w:pPr>
    </w:p>
    <w:p w:rsidR="008F1065" w:rsidRPr="008F1065" w:rsidRDefault="008F1065" w:rsidP="008F1065">
      <w:pPr>
        <w:spacing w:line="276" w:lineRule="auto"/>
        <w:jc w:val="both"/>
        <w:rPr>
          <w:rFonts w:ascii="Arial" w:hAnsi="Arial" w:cs="Arial"/>
          <w:lang w:val="es-ES"/>
        </w:rPr>
      </w:pPr>
    </w:p>
    <w:p w:rsidR="008F1065" w:rsidRPr="00DB3A6B" w:rsidRDefault="008F1065" w:rsidP="00D0183B">
      <w:pPr>
        <w:pStyle w:val="Ttulo3"/>
        <w:keepNext w:val="0"/>
        <w:keepLines w:val="0"/>
        <w:numPr>
          <w:ilvl w:val="1"/>
          <w:numId w:val="6"/>
        </w:numPr>
        <w:tabs>
          <w:tab w:val="left" w:pos="851"/>
        </w:tabs>
        <w:spacing w:before="0" w:line="276" w:lineRule="auto"/>
        <w:jc w:val="both"/>
        <w:rPr>
          <w:rFonts w:ascii="Arial" w:hAnsi="Arial" w:cs="Arial"/>
          <w:b/>
          <w:color w:val="auto"/>
          <w:sz w:val="22"/>
          <w:szCs w:val="22"/>
        </w:rPr>
      </w:pPr>
      <w:r w:rsidRPr="00DB3A6B">
        <w:rPr>
          <w:rFonts w:ascii="Arial" w:hAnsi="Arial" w:cs="Arial"/>
          <w:b/>
          <w:color w:val="auto"/>
          <w:sz w:val="22"/>
          <w:szCs w:val="22"/>
        </w:rPr>
        <w:lastRenderedPageBreak/>
        <w:t xml:space="preserve">  </w:t>
      </w:r>
      <w:bookmarkStart w:id="36" w:name="_Toc27665228"/>
      <w:bookmarkStart w:id="37" w:name="_Toc30774614"/>
      <w:r w:rsidRPr="00DB3A6B">
        <w:rPr>
          <w:rFonts w:ascii="Arial" w:hAnsi="Arial" w:cs="Arial"/>
          <w:b/>
          <w:color w:val="auto"/>
          <w:sz w:val="22"/>
          <w:szCs w:val="22"/>
        </w:rPr>
        <w:t>SISTEMA DE GESTIÓN SOCIAL, PARTICIPACIÓN CIUDADANA Y   DATOS ABIERTOS - BACHUÉ</w:t>
      </w:r>
      <w:bookmarkEnd w:id="36"/>
      <w:bookmarkEnd w:id="37"/>
    </w:p>
    <w:p w:rsidR="008F1065" w:rsidRPr="008F1065" w:rsidRDefault="008F1065" w:rsidP="008F1065">
      <w:pPr>
        <w:spacing w:line="276" w:lineRule="auto"/>
        <w:jc w:val="both"/>
        <w:rPr>
          <w:rFonts w:ascii="Arial" w:hAnsi="Arial" w:cs="Arial"/>
          <w:szCs w:val="24"/>
          <w:lang w:val="es-ES"/>
        </w:rPr>
      </w:pPr>
    </w:p>
    <w:p w:rsidR="008F1065" w:rsidRPr="00202903" w:rsidRDefault="008F1065" w:rsidP="008F1065">
      <w:pPr>
        <w:spacing w:line="276" w:lineRule="auto"/>
        <w:jc w:val="both"/>
        <w:rPr>
          <w:rFonts w:ascii="Arial" w:eastAsia="Times New Roman" w:hAnsi="Arial" w:cs="Arial"/>
          <w:iCs/>
          <w:color w:val="000000"/>
          <w:sz w:val="24"/>
          <w:szCs w:val="24"/>
          <w:lang w:eastAsia="es-ES"/>
        </w:rPr>
      </w:pPr>
      <w:r w:rsidRPr="00202903">
        <w:rPr>
          <w:rFonts w:ascii="Arial" w:eastAsia="Times New Roman" w:hAnsi="Arial" w:cs="Arial"/>
          <w:iCs/>
          <w:color w:val="000000"/>
          <w:sz w:val="24"/>
          <w:szCs w:val="24"/>
          <w:lang w:eastAsia="es-ES"/>
        </w:rPr>
        <w:t xml:space="preserve">El Sistema de Gestión Social, Participación Ciudadana y Datos Abiertos - Bachué es una herramienta tecnológica desarrollada por la Entidad, con el objetivo de atender a la misionalidad de la Institución en la ciudad y de responder a las necesidades de la ciudadanía. </w:t>
      </w:r>
    </w:p>
    <w:p w:rsidR="008F1065" w:rsidRPr="008F1065" w:rsidRDefault="008F1065" w:rsidP="008F1065">
      <w:pPr>
        <w:spacing w:line="276" w:lineRule="auto"/>
        <w:jc w:val="both"/>
        <w:rPr>
          <w:rFonts w:ascii="Arial" w:hAnsi="Arial" w:cs="Arial"/>
          <w:szCs w:val="24"/>
          <w:lang w:val="es-ES"/>
        </w:rPr>
      </w:pPr>
    </w:p>
    <w:p w:rsidR="008F1065" w:rsidRPr="00202903" w:rsidRDefault="008F1065" w:rsidP="008F1065">
      <w:pPr>
        <w:spacing w:line="276" w:lineRule="auto"/>
        <w:jc w:val="both"/>
        <w:rPr>
          <w:rFonts w:ascii="Arial" w:eastAsia="Times New Roman" w:hAnsi="Arial" w:cs="Arial"/>
          <w:iCs/>
          <w:color w:val="000000"/>
          <w:sz w:val="24"/>
          <w:szCs w:val="24"/>
          <w:lang w:eastAsia="es-ES"/>
        </w:rPr>
      </w:pPr>
      <w:r w:rsidRPr="00202903">
        <w:rPr>
          <w:rFonts w:ascii="Arial" w:eastAsia="Times New Roman" w:hAnsi="Arial" w:cs="Arial"/>
          <w:iCs/>
          <w:color w:val="000000"/>
          <w:sz w:val="24"/>
          <w:szCs w:val="24"/>
          <w:lang w:eastAsia="es-ES"/>
        </w:rPr>
        <w:t>En este sistema se registran la gestión social, los procesos de formación, la participación ciudadana y la atención a los requerimientos ciudadanos, resultado de la ejecución de los proyectos de infraestructura vial y espacio público en la ciudad de Bogotá. El sistema cuenta con los siguientes módulos, a saber:</w:t>
      </w:r>
    </w:p>
    <w:p w:rsidR="008F1065" w:rsidRPr="008F1065" w:rsidRDefault="008F1065" w:rsidP="008F1065">
      <w:pPr>
        <w:spacing w:line="276" w:lineRule="auto"/>
        <w:jc w:val="both"/>
        <w:rPr>
          <w:rFonts w:ascii="Arial" w:hAnsi="Arial" w:cs="Arial"/>
          <w:szCs w:val="24"/>
          <w:lang w:val="es-ES"/>
        </w:rPr>
      </w:pPr>
    </w:p>
    <w:p w:rsidR="008F1065" w:rsidRPr="008F1065" w:rsidRDefault="008F1065" w:rsidP="008F1065">
      <w:pPr>
        <w:spacing w:line="276" w:lineRule="auto"/>
        <w:jc w:val="both"/>
        <w:rPr>
          <w:rFonts w:ascii="Arial" w:hAnsi="Arial" w:cs="Arial"/>
          <w:szCs w:val="24"/>
          <w:lang w:val="es-ES"/>
        </w:rPr>
      </w:pPr>
    </w:p>
    <w:p w:rsidR="008F1065" w:rsidRPr="00DB3A6B" w:rsidRDefault="008F1065" w:rsidP="00D0183B">
      <w:pPr>
        <w:pStyle w:val="Ttulo4"/>
        <w:keepNext w:val="0"/>
        <w:keepLines w:val="0"/>
        <w:numPr>
          <w:ilvl w:val="2"/>
          <w:numId w:val="6"/>
        </w:numPr>
        <w:spacing w:before="0" w:line="276" w:lineRule="auto"/>
        <w:jc w:val="both"/>
        <w:rPr>
          <w:rFonts w:ascii="Arial" w:hAnsi="Arial" w:cs="Arial"/>
          <w:b/>
          <w:i w:val="0"/>
          <w:color w:val="auto"/>
          <w:lang w:val="es-ES"/>
        </w:rPr>
      </w:pPr>
      <w:r w:rsidRPr="00DB3A6B">
        <w:rPr>
          <w:rFonts w:ascii="Arial" w:hAnsi="Arial" w:cs="Arial"/>
          <w:b/>
          <w:i w:val="0"/>
          <w:color w:val="auto"/>
          <w:lang w:val="es-ES"/>
        </w:rPr>
        <w:t>Módulo de PQRS</w:t>
      </w:r>
    </w:p>
    <w:p w:rsidR="008F1065" w:rsidRPr="008F1065" w:rsidRDefault="008F1065" w:rsidP="008F1065">
      <w:pPr>
        <w:spacing w:line="276" w:lineRule="auto"/>
        <w:jc w:val="both"/>
        <w:rPr>
          <w:rFonts w:ascii="Arial" w:hAnsi="Arial" w:cs="Arial"/>
          <w:lang w:val="es-ES"/>
        </w:rPr>
      </w:pPr>
    </w:p>
    <w:p w:rsidR="008F1065" w:rsidRPr="00202903" w:rsidRDefault="008F1065" w:rsidP="008F1065">
      <w:pPr>
        <w:spacing w:line="276" w:lineRule="auto"/>
        <w:jc w:val="both"/>
        <w:rPr>
          <w:rFonts w:ascii="Arial" w:eastAsia="Times New Roman" w:hAnsi="Arial" w:cs="Arial"/>
          <w:iCs/>
          <w:color w:val="000000"/>
          <w:sz w:val="24"/>
          <w:szCs w:val="24"/>
          <w:lang w:eastAsia="es-ES"/>
        </w:rPr>
      </w:pPr>
      <w:r w:rsidRPr="00202903">
        <w:rPr>
          <w:rFonts w:ascii="Arial" w:eastAsia="Times New Roman" w:hAnsi="Arial" w:cs="Arial"/>
          <w:iCs/>
          <w:color w:val="000000"/>
          <w:sz w:val="24"/>
          <w:szCs w:val="24"/>
          <w:lang w:eastAsia="es-ES"/>
        </w:rPr>
        <w:t>A través de los canales de atención presencial, telefónico y virtual dispuestos por la Entidad, se reciben, clasifican, radican y responden las PQRS interpuestas por la ciudadanía. Así mismo, a los residentes y consultores sociales de obra les permite hacer el registro de todos los requerimientos que se presenten en cada uno de los Puntos IDU y por medio del cual realizan seguimiento a los requerimientos ciudadanos, verificando la oportunidad y la calidad de la respuesta brindada por parte de la entidad.</w:t>
      </w:r>
    </w:p>
    <w:p w:rsidR="008F1065" w:rsidRPr="008F1065" w:rsidRDefault="008F1065" w:rsidP="008F1065">
      <w:pPr>
        <w:spacing w:line="276" w:lineRule="auto"/>
        <w:jc w:val="both"/>
        <w:rPr>
          <w:rFonts w:ascii="Arial" w:hAnsi="Arial" w:cs="Arial"/>
          <w:color w:val="222222"/>
          <w:szCs w:val="24"/>
          <w:shd w:val="clear" w:color="auto" w:fill="FFFFFF"/>
          <w:lang w:val="es-ES"/>
        </w:rPr>
      </w:pPr>
    </w:p>
    <w:p w:rsidR="008F1065" w:rsidRPr="00DB3A6B" w:rsidRDefault="008F1065" w:rsidP="00D0183B">
      <w:pPr>
        <w:pStyle w:val="Ttulo4"/>
        <w:keepNext w:val="0"/>
        <w:keepLines w:val="0"/>
        <w:numPr>
          <w:ilvl w:val="2"/>
          <w:numId w:val="6"/>
        </w:numPr>
        <w:spacing w:before="0" w:line="276" w:lineRule="auto"/>
        <w:ind w:left="709"/>
        <w:jc w:val="both"/>
        <w:rPr>
          <w:rFonts w:ascii="Arial" w:hAnsi="Arial" w:cs="Arial"/>
          <w:b/>
          <w:i w:val="0"/>
          <w:color w:val="auto"/>
          <w:lang w:val="es-ES"/>
        </w:rPr>
      </w:pPr>
      <w:r w:rsidRPr="00DB3A6B">
        <w:rPr>
          <w:rFonts w:ascii="Arial" w:hAnsi="Arial" w:cs="Arial"/>
          <w:b/>
          <w:i w:val="0"/>
          <w:color w:val="auto"/>
          <w:lang w:val="es-ES"/>
        </w:rPr>
        <w:t>Módulo de Predios</w:t>
      </w:r>
    </w:p>
    <w:p w:rsidR="008F1065" w:rsidRPr="008F1065" w:rsidRDefault="008F1065" w:rsidP="008F1065">
      <w:pPr>
        <w:spacing w:line="276" w:lineRule="auto"/>
        <w:jc w:val="both"/>
        <w:rPr>
          <w:rFonts w:ascii="Arial" w:hAnsi="Arial" w:cs="Arial"/>
          <w:lang w:val="es-ES"/>
        </w:rPr>
      </w:pPr>
    </w:p>
    <w:p w:rsidR="008F1065" w:rsidRPr="00202903" w:rsidRDefault="008F1065" w:rsidP="008F1065">
      <w:pPr>
        <w:spacing w:line="276" w:lineRule="auto"/>
        <w:jc w:val="both"/>
        <w:rPr>
          <w:rFonts w:ascii="Arial" w:eastAsia="Times New Roman" w:hAnsi="Arial" w:cs="Arial"/>
          <w:iCs/>
          <w:color w:val="000000"/>
          <w:sz w:val="24"/>
          <w:szCs w:val="24"/>
          <w:lang w:eastAsia="es-ES"/>
        </w:rPr>
      </w:pPr>
      <w:r w:rsidRPr="00202903">
        <w:rPr>
          <w:rFonts w:ascii="Arial" w:eastAsia="Times New Roman" w:hAnsi="Arial" w:cs="Arial"/>
          <w:iCs/>
          <w:color w:val="000000"/>
          <w:sz w:val="24"/>
          <w:szCs w:val="24"/>
          <w:lang w:eastAsia="es-ES"/>
        </w:rPr>
        <w:t>Creado para la atención de PQRS relacionados con los temas prediales de la Entidad y administrado por la Dirección Técnica de Predios, siendo el único módulo de Bachué que no es administrado directamente por la Oficina de Atención al Ciudadano.</w:t>
      </w:r>
    </w:p>
    <w:p w:rsidR="008F1065" w:rsidRPr="00DB3A6B" w:rsidRDefault="008F1065" w:rsidP="008F1065">
      <w:pPr>
        <w:spacing w:line="276" w:lineRule="auto"/>
        <w:jc w:val="both"/>
        <w:rPr>
          <w:rFonts w:ascii="Arial" w:hAnsi="Arial" w:cs="Arial"/>
          <w:szCs w:val="24"/>
          <w:lang w:val="es-ES"/>
        </w:rPr>
      </w:pPr>
    </w:p>
    <w:p w:rsidR="008F1065" w:rsidRPr="00DB3A6B" w:rsidRDefault="008F1065" w:rsidP="00D0183B">
      <w:pPr>
        <w:pStyle w:val="Ttulo4"/>
        <w:keepNext w:val="0"/>
        <w:keepLines w:val="0"/>
        <w:numPr>
          <w:ilvl w:val="2"/>
          <w:numId w:val="6"/>
        </w:numPr>
        <w:spacing w:before="0" w:line="276" w:lineRule="auto"/>
        <w:ind w:left="709"/>
        <w:jc w:val="both"/>
        <w:rPr>
          <w:rFonts w:ascii="Arial" w:hAnsi="Arial" w:cs="Arial"/>
          <w:b/>
          <w:i w:val="0"/>
          <w:color w:val="auto"/>
          <w:lang w:val="es-ES"/>
        </w:rPr>
      </w:pPr>
      <w:r w:rsidRPr="00DB3A6B">
        <w:rPr>
          <w:rFonts w:ascii="Arial" w:hAnsi="Arial" w:cs="Arial"/>
          <w:b/>
          <w:i w:val="0"/>
          <w:color w:val="auto"/>
          <w:lang w:val="es-ES"/>
        </w:rPr>
        <w:t>Módulo de Reporte Tirilla Mensual de Gestión Social</w:t>
      </w:r>
    </w:p>
    <w:p w:rsidR="008F1065" w:rsidRPr="00DB3A6B" w:rsidRDefault="008F1065" w:rsidP="008F1065">
      <w:pPr>
        <w:spacing w:line="276" w:lineRule="auto"/>
        <w:jc w:val="both"/>
        <w:rPr>
          <w:rFonts w:ascii="Arial" w:hAnsi="Arial" w:cs="Arial"/>
          <w:lang w:val="es-ES"/>
        </w:rPr>
      </w:pPr>
    </w:p>
    <w:p w:rsidR="008F1065" w:rsidRPr="008F1065" w:rsidRDefault="008F1065" w:rsidP="008F1065">
      <w:pPr>
        <w:spacing w:line="276" w:lineRule="auto"/>
        <w:jc w:val="both"/>
        <w:rPr>
          <w:rFonts w:ascii="Arial" w:hAnsi="Arial" w:cs="Arial"/>
          <w:szCs w:val="24"/>
          <w:lang w:val="es-ES"/>
        </w:rPr>
      </w:pPr>
      <w:r w:rsidRPr="00202903">
        <w:rPr>
          <w:rFonts w:ascii="Arial" w:eastAsia="Times New Roman" w:hAnsi="Arial" w:cs="Arial"/>
          <w:iCs/>
          <w:color w:val="000000"/>
          <w:sz w:val="24"/>
          <w:szCs w:val="24"/>
          <w:lang w:eastAsia="es-ES"/>
        </w:rPr>
        <w:lastRenderedPageBreak/>
        <w:t>En este módulo se registra información relevante de la gestión social que se realiza en el desarrollo de cada proyecto. Está clasificado en diferentes programas, que son: a) programas de participación y servicios a la ciudadanía, b) programas de divulgación e información, y c) programas de gestión y articulación interinstitucional</w:t>
      </w:r>
      <w:r w:rsidRPr="008F1065">
        <w:rPr>
          <w:rFonts w:ascii="Arial" w:hAnsi="Arial" w:cs="Arial"/>
          <w:szCs w:val="24"/>
          <w:lang w:val="es-ES"/>
        </w:rPr>
        <w:t xml:space="preserve">.  </w:t>
      </w:r>
    </w:p>
    <w:p w:rsidR="008F1065" w:rsidRPr="00DB3A6B" w:rsidRDefault="008F1065" w:rsidP="008F1065">
      <w:pPr>
        <w:spacing w:line="276" w:lineRule="auto"/>
        <w:jc w:val="both"/>
        <w:rPr>
          <w:rFonts w:ascii="Arial" w:hAnsi="Arial" w:cs="Arial"/>
          <w:szCs w:val="24"/>
          <w:lang w:val="es-ES"/>
        </w:rPr>
      </w:pPr>
    </w:p>
    <w:p w:rsidR="008F1065" w:rsidRPr="00DB3A6B" w:rsidRDefault="008F1065" w:rsidP="00D0183B">
      <w:pPr>
        <w:pStyle w:val="Ttulo4"/>
        <w:keepNext w:val="0"/>
        <w:keepLines w:val="0"/>
        <w:numPr>
          <w:ilvl w:val="2"/>
          <w:numId w:val="6"/>
        </w:numPr>
        <w:spacing w:before="0" w:line="276" w:lineRule="auto"/>
        <w:ind w:left="709"/>
        <w:jc w:val="both"/>
        <w:rPr>
          <w:rFonts w:ascii="Arial" w:hAnsi="Arial" w:cs="Arial"/>
          <w:b/>
          <w:i w:val="0"/>
          <w:color w:val="auto"/>
          <w:lang w:val="es-ES"/>
        </w:rPr>
      </w:pPr>
      <w:r w:rsidRPr="00DB3A6B">
        <w:rPr>
          <w:rFonts w:ascii="Arial" w:hAnsi="Arial" w:cs="Arial"/>
          <w:b/>
          <w:i w:val="0"/>
          <w:color w:val="auto"/>
          <w:lang w:val="es-ES"/>
        </w:rPr>
        <w:t>Módulo de Gestión Social y Participación Ciudadana</w:t>
      </w:r>
    </w:p>
    <w:p w:rsidR="008F1065" w:rsidRPr="00DB3A6B" w:rsidRDefault="008F1065" w:rsidP="008F1065">
      <w:pPr>
        <w:spacing w:line="276" w:lineRule="auto"/>
        <w:jc w:val="both"/>
        <w:rPr>
          <w:rFonts w:ascii="Arial" w:hAnsi="Arial" w:cs="Arial"/>
          <w:lang w:val="es-ES"/>
        </w:rPr>
      </w:pPr>
    </w:p>
    <w:p w:rsidR="008F1065" w:rsidRPr="00202903" w:rsidRDefault="008F1065" w:rsidP="008F1065">
      <w:pPr>
        <w:spacing w:line="276" w:lineRule="auto"/>
        <w:jc w:val="both"/>
        <w:rPr>
          <w:rFonts w:ascii="Arial" w:eastAsia="Times New Roman" w:hAnsi="Arial" w:cs="Arial"/>
          <w:iCs/>
          <w:color w:val="000000"/>
          <w:sz w:val="24"/>
          <w:szCs w:val="24"/>
          <w:lang w:eastAsia="es-ES"/>
        </w:rPr>
      </w:pPr>
      <w:r w:rsidRPr="00202903">
        <w:rPr>
          <w:rFonts w:ascii="Arial" w:eastAsia="Times New Roman" w:hAnsi="Arial" w:cs="Arial"/>
          <w:iCs/>
          <w:color w:val="000000"/>
          <w:sz w:val="24"/>
          <w:szCs w:val="24"/>
          <w:lang w:eastAsia="es-ES"/>
        </w:rPr>
        <w:t>En este módulo se registran todas las actividades de los proyectos IDU que tengan contrato y estén vinculados a alguna de las etapas del ciclo de proyectos, desde factibilidad hasta mantenimiento. En este mismo módulo también se registran, para etapas de Prefactibilidad y trámite a urbanizadores y terceros, todas las mesas de trabajo y recorridos que se realicen en el marco del proyecto IDU, y se sistematizan las entradas y salidas de información para cada uno de los tipos de reuniones contractuales de seguimiento a los proyectos (comités técnicos, sociales, integrales, Comités de Participación IDU entre otros).</w:t>
      </w:r>
    </w:p>
    <w:p w:rsidR="008F1065" w:rsidRPr="00DB3A6B" w:rsidRDefault="008F1065" w:rsidP="008F1065">
      <w:pPr>
        <w:spacing w:line="276" w:lineRule="auto"/>
        <w:jc w:val="both"/>
        <w:rPr>
          <w:rFonts w:ascii="Arial" w:hAnsi="Arial" w:cs="Arial"/>
          <w:szCs w:val="24"/>
          <w:highlight w:val="white"/>
          <w:lang w:val="es-ES"/>
        </w:rPr>
      </w:pPr>
    </w:p>
    <w:p w:rsidR="008F1065" w:rsidRPr="00DB3A6B" w:rsidRDefault="008F1065" w:rsidP="00D0183B">
      <w:pPr>
        <w:pStyle w:val="Ttulo4"/>
        <w:keepNext w:val="0"/>
        <w:keepLines w:val="0"/>
        <w:numPr>
          <w:ilvl w:val="2"/>
          <w:numId w:val="6"/>
        </w:numPr>
        <w:spacing w:before="0" w:line="276" w:lineRule="auto"/>
        <w:ind w:left="709"/>
        <w:jc w:val="both"/>
        <w:rPr>
          <w:rFonts w:ascii="Arial" w:hAnsi="Arial" w:cs="Arial"/>
          <w:b/>
          <w:i w:val="0"/>
          <w:color w:val="auto"/>
          <w:highlight w:val="white"/>
          <w:lang w:val="es-ES"/>
        </w:rPr>
      </w:pPr>
      <w:r w:rsidRPr="00DB3A6B">
        <w:rPr>
          <w:rFonts w:ascii="Arial" w:hAnsi="Arial" w:cs="Arial"/>
          <w:b/>
          <w:i w:val="0"/>
          <w:color w:val="auto"/>
          <w:highlight w:val="white"/>
          <w:lang w:val="es-ES"/>
        </w:rPr>
        <w:t>Articulación con otros sistemas de información.</w:t>
      </w:r>
    </w:p>
    <w:p w:rsidR="008F1065" w:rsidRPr="008F1065" w:rsidRDefault="008F1065" w:rsidP="008F1065">
      <w:pPr>
        <w:spacing w:line="276" w:lineRule="auto"/>
        <w:jc w:val="both"/>
        <w:rPr>
          <w:rFonts w:ascii="Arial" w:hAnsi="Arial" w:cs="Arial"/>
          <w:szCs w:val="24"/>
          <w:highlight w:val="white"/>
          <w:lang w:val="es-ES"/>
        </w:rPr>
      </w:pPr>
    </w:p>
    <w:p w:rsidR="008F1065" w:rsidRPr="00202903" w:rsidRDefault="008F1065" w:rsidP="008F1065">
      <w:pPr>
        <w:spacing w:line="276" w:lineRule="auto"/>
        <w:jc w:val="both"/>
        <w:rPr>
          <w:rFonts w:ascii="Arial" w:eastAsia="Times New Roman" w:hAnsi="Arial" w:cs="Arial"/>
          <w:iCs/>
          <w:color w:val="000000"/>
          <w:sz w:val="24"/>
          <w:szCs w:val="24"/>
          <w:lang w:eastAsia="es-ES"/>
        </w:rPr>
      </w:pPr>
      <w:r w:rsidRPr="00202903">
        <w:rPr>
          <w:rFonts w:ascii="Arial" w:eastAsia="Times New Roman" w:hAnsi="Arial" w:cs="Arial"/>
          <w:iCs/>
          <w:color w:val="000000"/>
          <w:sz w:val="24"/>
          <w:szCs w:val="24"/>
          <w:lang w:eastAsia="es-ES"/>
        </w:rPr>
        <w:t>El sistema Bachué alimenta de forma sincronizada el componente social del Sistema de Gestión Integral de Proyectos - ZIPA, con el cual se evidencia la gestión desarrollada por la Oficina de Atención al Ciudadano relacionada con los proyectos de infraestructura vial y espacio público en ejecución.</w:t>
      </w:r>
    </w:p>
    <w:p w:rsidR="008F1065" w:rsidRPr="008F1065" w:rsidRDefault="008F1065" w:rsidP="008F1065">
      <w:pPr>
        <w:spacing w:line="276" w:lineRule="auto"/>
        <w:jc w:val="both"/>
        <w:rPr>
          <w:rFonts w:ascii="Arial" w:hAnsi="Arial" w:cs="Arial"/>
          <w:szCs w:val="24"/>
          <w:lang w:val="es-ES"/>
        </w:rPr>
      </w:pPr>
    </w:p>
    <w:p w:rsidR="004C32DC" w:rsidRDefault="008F1065" w:rsidP="008F1065">
      <w:pPr>
        <w:shd w:val="clear" w:color="auto" w:fill="FFFFFF"/>
        <w:spacing w:line="276" w:lineRule="auto"/>
        <w:jc w:val="both"/>
        <w:rPr>
          <w:rFonts w:ascii="Arial" w:hAnsi="Arial" w:cs="Arial"/>
          <w:szCs w:val="24"/>
          <w:lang w:val="es-ES"/>
        </w:rPr>
      </w:pPr>
      <w:r w:rsidRPr="008F1065">
        <w:rPr>
          <w:rFonts w:ascii="Arial" w:hAnsi="Arial" w:cs="Arial"/>
          <w:szCs w:val="24"/>
          <w:lang w:val="es-ES"/>
        </w:rPr>
        <w:t xml:space="preserve">Adicionalmente, la </w:t>
      </w:r>
      <w:r w:rsidRPr="00551731">
        <w:rPr>
          <w:rFonts w:ascii="Arial" w:eastAsia="Times New Roman" w:hAnsi="Arial" w:cs="Arial"/>
          <w:iCs/>
          <w:color w:val="000000"/>
          <w:sz w:val="24"/>
          <w:szCs w:val="24"/>
          <w:lang w:eastAsia="es-ES"/>
        </w:rPr>
        <w:t>Oficina</w:t>
      </w:r>
      <w:r w:rsidRPr="008F1065">
        <w:rPr>
          <w:rFonts w:ascii="Arial" w:hAnsi="Arial" w:cs="Arial"/>
          <w:szCs w:val="24"/>
          <w:lang w:val="es-ES"/>
        </w:rPr>
        <w:t xml:space="preserve"> de Atención al Ciudadano del IDU lideró la integración de estos con el </w:t>
      </w:r>
      <w:r w:rsidRPr="008F1065">
        <w:rPr>
          <w:rFonts w:ascii="Arial" w:hAnsi="Arial" w:cs="Arial"/>
          <w:i/>
          <w:szCs w:val="24"/>
          <w:lang w:val="es-ES"/>
        </w:rPr>
        <w:t>Sistema Distrital Bogotá Te Escucha</w:t>
      </w:r>
      <w:r w:rsidRPr="008F1065">
        <w:rPr>
          <w:rFonts w:ascii="Arial" w:hAnsi="Arial" w:cs="Arial"/>
          <w:szCs w:val="24"/>
          <w:lang w:val="es-ES"/>
        </w:rPr>
        <w:t>, de manera conjunta con áreas como la Subdirección Técnica de Gestión Corporativa (área líder del proceso), la Subdirección Técnica de Recursos Físicos para el sistema de gestión documental ORFEO, y la Subdirección Técnica de Recursos Tecnológicos que atiende los requerimientos y especificaciones de desarrollo tecnológico necesarias para la intervención del sistema de gestión de PQRS Bachué. La Entidad trabaja en los ajustes que garanticen efectivamente el registro de las peticiones y cargue de las respuestas al sistema distrital y se concluirá con la realización de las pruebas correspondientes.</w:t>
      </w:r>
    </w:p>
    <w:p w:rsidR="006D6219" w:rsidRPr="008F1065" w:rsidRDefault="006D6219" w:rsidP="008F1065">
      <w:pPr>
        <w:shd w:val="clear" w:color="auto" w:fill="FFFFFF"/>
        <w:spacing w:line="276" w:lineRule="auto"/>
        <w:jc w:val="both"/>
        <w:rPr>
          <w:rFonts w:ascii="Arial" w:hAnsi="Arial" w:cs="Arial"/>
          <w:szCs w:val="24"/>
        </w:rPr>
      </w:pPr>
      <w:r>
        <w:rPr>
          <w:rFonts w:ascii="Arial" w:hAnsi="Arial" w:cs="Arial"/>
          <w:szCs w:val="24"/>
          <w:lang w:val="es-ES"/>
        </w:rPr>
        <w:t xml:space="preserve">                                                                                                                                                                                                                                                                                                                                                                                                                                                                                                                                                                                                                                                                                                                                                                                                                                                                                                                                                                                                                                                                                                                                                                                                                                                                                                                                                                                                                                                                                                                                                                                                                                                                                                                                                                                                                                                                                                                                                                                                                                                                                                                                                                                                                                                                                                                                                                                                         </w:t>
      </w:r>
    </w:p>
    <w:p w:rsidR="00690B3C" w:rsidRPr="00690B3C" w:rsidRDefault="00690B3C" w:rsidP="00D0183B">
      <w:pPr>
        <w:pStyle w:val="Ttulo2"/>
        <w:numPr>
          <w:ilvl w:val="1"/>
          <w:numId w:val="6"/>
        </w:numPr>
        <w:spacing w:line="276" w:lineRule="auto"/>
        <w:rPr>
          <w:sz w:val="24"/>
          <w:szCs w:val="24"/>
        </w:rPr>
      </w:pPr>
      <w:bookmarkStart w:id="38" w:name="_Toc27665266"/>
      <w:bookmarkStart w:id="39" w:name="_Toc30774615"/>
      <w:r w:rsidRPr="00690B3C">
        <w:rPr>
          <w:sz w:val="24"/>
          <w:szCs w:val="24"/>
        </w:rPr>
        <w:t>CONTROL INTERNO</w:t>
      </w:r>
      <w:bookmarkEnd w:id="38"/>
      <w:bookmarkEnd w:id="39"/>
    </w:p>
    <w:p w:rsidR="00690B3C" w:rsidRDefault="00690B3C" w:rsidP="00690B3C">
      <w:pPr>
        <w:spacing w:line="276" w:lineRule="auto"/>
      </w:pPr>
    </w:p>
    <w:p w:rsidR="00690B3C" w:rsidRDefault="00690B3C" w:rsidP="00690B3C">
      <w:pPr>
        <w:widowControl w:val="0"/>
        <w:spacing w:line="276" w:lineRule="auto"/>
        <w:jc w:val="both"/>
        <w:rPr>
          <w:rFonts w:ascii="Arial" w:eastAsia="Arial" w:hAnsi="Arial" w:cs="Arial"/>
        </w:rPr>
      </w:pPr>
      <w:r w:rsidRPr="00690B3C">
        <w:rPr>
          <w:rFonts w:ascii="Arial" w:eastAsia="Arial" w:hAnsi="Arial" w:cs="Arial"/>
        </w:rPr>
        <w:lastRenderedPageBreak/>
        <w:t>A continuación, se presentan las principales actividades realizadas por la OCI en el periodo comprendido entre 2016 a 2019, con corte al 30/11/2019, de conformidad con los roles establecidos en el Decreto 648 de 2017, a saber: Liderazgo estratégico, evaluación y seguimiento, enfoque hacia la prevención, valoración del riesgo y relación con entes externos de control.</w:t>
      </w:r>
    </w:p>
    <w:p w:rsidR="00690B3C" w:rsidRPr="00690B3C" w:rsidRDefault="00690B3C" w:rsidP="00690B3C">
      <w:pPr>
        <w:widowControl w:val="0"/>
        <w:spacing w:line="276" w:lineRule="auto"/>
        <w:jc w:val="both"/>
        <w:rPr>
          <w:rFonts w:ascii="Arial" w:eastAsia="Arial" w:hAnsi="Arial" w:cs="Arial"/>
        </w:rPr>
      </w:pPr>
    </w:p>
    <w:p w:rsidR="00690B3C" w:rsidRPr="00690B3C" w:rsidRDefault="00690B3C" w:rsidP="00D0183B">
      <w:pPr>
        <w:pStyle w:val="Ttulo3"/>
        <w:keepNext w:val="0"/>
        <w:keepLines w:val="0"/>
        <w:numPr>
          <w:ilvl w:val="2"/>
          <w:numId w:val="6"/>
        </w:numPr>
        <w:tabs>
          <w:tab w:val="left" w:pos="709"/>
          <w:tab w:val="left" w:pos="993"/>
        </w:tabs>
        <w:spacing w:before="0" w:line="276" w:lineRule="auto"/>
        <w:jc w:val="both"/>
        <w:rPr>
          <w:rFonts w:ascii="Arial" w:hAnsi="Arial" w:cs="Arial"/>
          <w:b/>
          <w:color w:val="auto"/>
          <w:sz w:val="22"/>
          <w:szCs w:val="22"/>
        </w:rPr>
      </w:pPr>
      <w:bookmarkStart w:id="40" w:name="_Toc27665267"/>
      <w:bookmarkStart w:id="41" w:name="_Toc30774616"/>
      <w:r w:rsidRPr="00690B3C">
        <w:rPr>
          <w:rFonts w:ascii="Arial" w:hAnsi="Arial" w:cs="Arial"/>
          <w:b/>
          <w:color w:val="auto"/>
          <w:sz w:val="22"/>
          <w:szCs w:val="22"/>
        </w:rPr>
        <w:t>LIDERAZGO ESTRATÉGICO</w:t>
      </w:r>
      <w:bookmarkEnd w:id="40"/>
      <w:bookmarkEnd w:id="41"/>
    </w:p>
    <w:p w:rsidR="00690B3C" w:rsidRPr="00690B3C" w:rsidRDefault="00690B3C" w:rsidP="00690B3C">
      <w:pPr>
        <w:spacing w:line="276" w:lineRule="auto"/>
        <w:jc w:val="both"/>
        <w:rPr>
          <w:rFonts w:ascii="Arial" w:hAnsi="Arial" w:cs="Arial"/>
        </w:rPr>
      </w:pPr>
    </w:p>
    <w:p w:rsidR="00690B3C" w:rsidRPr="00690B3C" w:rsidRDefault="00690B3C" w:rsidP="00690B3C">
      <w:pPr>
        <w:widowControl w:val="0"/>
        <w:spacing w:line="276" w:lineRule="auto"/>
        <w:jc w:val="both"/>
        <w:rPr>
          <w:rFonts w:ascii="Arial" w:eastAsia="Arial" w:hAnsi="Arial" w:cs="Arial"/>
        </w:rPr>
      </w:pPr>
      <w:r w:rsidRPr="00690B3C">
        <w:rPr>
          <w:rFonts w:ascii="Arial" w:eastAsia="Arial" w:hAnsi="Arial" w:cs="Arial"/>
        </w:rPr>
        <w:t>En el desarrollo de este rol, se adelantaron las siguientes actividades:</w:t>
      </w:r>
    </w:p>
    <w:p w:rsidR="00690B3C" w:rsidRPr="00690B3C" w:rsidRDefault="00690B3C" w:rsidP="00690B3C">
      <w:pPr>
        <w:widowControl w:val="0"/>
        <w:spacing w:line="276" w:lineRule="auto"/>
        <w:jc w:val="both"/>
        <w:rPr>
          <w:rFonts w:ascii="Arial" w:eastAsia="Arial" w:hAnsi="Arial" w:cs="Arial"/>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rPr>
      </w:pPr>
      <w:r w:rsidRPr="00690B3C">
        <w:rPr>
          <w:rFonts w:ascii="Arial" w:eastAsia="Arial" w:hAnsi="Arial" w:cs="Arial"/>
          <w:color w:val="000000"/>
        </w:rPr>
        <w:t xml:space="preserve">Elaboración y ejecución de los Planes Anuales de Auditorías - </w:t>
      </w:r>
      <w:r w:rsidRPr="00690B3C">
        <w:rPr>
          <w:rFonts w:ascii="Arial" w:eastAsia="Arial" w:hAnsi="Arial" w:cs="Arial"/>
        </w:rPr>
        <w:t>PAA de 2016, 2017, 2018 y 2019, aprobados en Comité Institucional de Coordinación de Control Interno - CICCI del 28/01/2016, 26/12/2016, 29/01/2018 y 29/01/2019, respectivamente.</w:t>
      </w:r>
    </w:p>
    <w:p w:rsidR="00690B3C" w:rsidRPr="00690B3C" w:rsidRDefault="00690B3C" w:rsidP="00690B3C">
      <w:pPr>
        <w:widowControl w:val="0"/>
        <w:pBdr>
          <w:top w:val="nil"/>
          <w:left w:val="nil"/>
          <w:bottom w:val="nil"/>
          <w:right w:val="nil"/>
          <w:between w:val="nil"/>
        </w:pBdr>
        <w:spacing w:line="276" w:lineRule="auto"/>
        <w:ind w:left="567"/>
        <w:jc w:val="both"/>
        <w:rPr>
          <w:rFonts w:ascii="Arial" w:eastAsia="Arial" w:hAnsi="Arial" w:cs="Arial"/>
        </w:rPr>
      </w:pPr>
    </w:p>
    <w:p w:rsidR="00690B3C" w:rsidRPr="00690B3C" w:rsidRDefault="00690B3C" w:rsidP="00D0183B">
      <w:pPr>
        <w:pStyle w:val="Prrafodelista"/>
        <w:widowControl w:val="0"/>
        <w:numPr>
          <w:ilvl w:val="0"/>
          <w:numId w:val="19"/>
        </w:numPr>
        <w:pBdr>
          <w:top w:val="nil"/>
          <w:left w:val="nil"/>
          <w:bottom w:val="nil"/>
          <w:right w:val="nil"/>
          <w:between w:val="nil"/>
        </w:pBdr>
        <w:spacing w:after="0" w:line="276" w:lineRule="auto"/>
        <w:ind w:left="567"/>
        <w:jc w:val="both"/>
        <w:rPr>
          <w:rFonts w:ascii="Arial" w:eastAsia="Arial" w:hAnsi="Arial" w:cs="Arial"/>
        </w:rPr>
      </w:pPr>
      <w:r w:rsidRPr="00690B3C">
        <w:rPr>
          <w:rFonts w:ascii="Arial" w:eastAsia="Arial" w:hAnsi="Arial" w:cs="Arial"/>
        </w:rPr>
        <w:t>En 2016 se realizaron 3 sesiones del Comité, en 2017 se hicieron 8 sesiones, en 2005 se adelantaron 5 sesiones y en 2019 se hicieron 4 sesiones, en las que se presentaron avances de ejecución del Plan Anual de Auditoría, estado de planes de mejoramiento, gestión de riesgos, documentos para aprobación, resultados de metas Plan de Desarrollo Distrital, entre otras temáticas.</w:t>
      </w:r>
    </w:p>
    <w:p w:rsidR="00690B3C" w:rsidRPr="00690B3C" w:rsidRDefault="00690B3C" w:rsidP="00690B3C">
      <w:pPr>
        <w:widowControl w:val="0"/>
        <w:pBdr>
          <w:top w:val="nil"/>
          <w:left w:val="nil"/>
          <w:bottom w:val="nil"/>
          <w:right w:val="nil"/>
          <w:between w:val="nil"/>
        </w:pBdr>
        <w:spacing w:line="276" w:lineRule="auto"/>
        <w:ind w:left="567"/>
        <w:jc w:val="both"/>
        <w:rPr>
          <w:rFonts w:ascii="Arial" w:eastAsia="Arial" w:hAnsi="Arial" w:cs="Arial"/>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rPr>
      </w:pPr>
      <w:r w:rsidRPr="00690B3C">
        <w:rPr>
          <w:rFonts w:ascii="Arial" w:eastAsia="Arial" w:hAnsi="Arial" w:cs="Arial"/>
        </w:rPr>
        <w:t>Formulación e implementación de instrumentos derivados del Marco internacional para la práctica profesional de Auditoría interna como Estatuto de auditoría interna, Código de ética del auditor interno, Declaración de confidencialidad y no conflicto de intereses y Carta de representación.</w:t>
      </w:r>
    </w:p>
    <w:p w:rsidR="00690B3C" w:rsidRPr="00690B3C" w:rsidRDefault="00690B3C" w:rsidP="00690B3C">
      <w:pPr>
        <w:pStyle w:val="Prrafodelista"/>
        <w:spacing w:line="276" w:lineRule="auto"/>
        <w:ind w:left="567"/>
        <w:jc w:val="both"/>
        <w:rPr>
          <w:rFonts w:ascii="Arial" w:eastAsia="Arial" w:hAnsi="Arial" w:cs="Arial"/>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rPr>
      </w:pPr>
      <w:r w:rsidRPr="00690B3C">
        <w:rPr>
          <w:rFonts w:ascii="Arial" w:eastAsia="Arial" w:hAnsi="Arial" w:cs="Arial"/>
        </w:rPr>
        <w:t>Gestión de cambios en la institucionalidad del CICCI (Resolución 2275/2018-</w:t>
      </w:r>
      <w:r w:rsidRPr="00690B3C">
        <w:rPr>
          <w:rFonts w:ascii="Arial" w:eastAsia="Arial" w:hAnsi="Arial" w:cs="Arial"/>
          <w:lang w:val="es-ES"/>
        </w:rPr>
        <w:t>Resolución IDU 5014 de 2018</w:t>
      </w:r>
      <w:r w:rsidRPr="00690B3C">
        <w:rPr>
          <w:rFonts w:ascii="Arial" w:eastAsia="Arial" w:hAnsi="Arial" w:cs="Arial"/>
        </w:rPr>
        <w:t>) para alinearlo al Decreto 648 de 2017.</w:t>
      </w:r>
    </w:p>
    <w:p w:rsidR="00690B3C" w:rsidRPr="00690B3C" w:rsidRDefault="00690B3C" w:rsidP="00690B3C">
      <w:pPr>
        <w:pStyle w:val="Prrafodelista"/>
        <w:spacing w:line="276" w:lineRule="auto"/>
        <w:ind w:left="567"/>
        <w:jc w:val="both"/>
        <w:rPr>
          <w:rFonts w:ascii="Arial" w:eastAsia="Arial" w:hAnsi="Arial" w:cs="Arial"/>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rPr>
      </w:pPr>
      <w:r w:rsidRPr="00690B3C">
        <w:rPr>
          <w:rFonts w:ascii="Arial" w:eastAsia="Arial" w:hAnsi="Arial" w:cs="Arial"/>
        </w:rPr>
        <w:t>Ejercicio desde el IDU de la Secretaría Técnica del Comité Distrital de Auditoría, en el que se acompañó la construcción y aprobación de los siguientes lineamientos técnicos: P</w:t>
      </w:r>
      <w:r w:rsidRPr="00690B3C">
        <w:rPr>
          <w:rFonts w:ascii="Arial" w:eastAsia="Arial" w:hAnsi="Arial" w:cs="Arial"/>
          <w:lang w:val="es-MX"/>
        </w:rPr>
        <w:t>lan Anual, Programa de auditoría, Informe de Auditoría y Programa de Aseguramiento de la calidad, a fin de constituir estos documentos en lineamientos para el ejercicio de la actividad de auditoría en las oficinas de control interno a nivel distrital.</w:t>
      </w:r>
    </w:p>
    <w:p w:rsidR="00690B3C" w:rsidRPr="00690B3C" w:rsidRDefault="00690B3C" w:rsidP="00690B3C">
      <w:pPr>
        <w:widowControl w:val="0"/>
        <w:pBdr>
          <w:top w:val="nil"/>
          <w:left w:val="nil"/>
          <w:bottom w:val="nil"/>
          <w:right w:val="nil"/>
          <w:between w:val="nil"/>
        </w:pBdr>
        <w:spacing w:line="276" w:lineRule="auto"/>
        <w:ind w:left="567"/>
        <w:jc w:val="both"/>
        <w:rPr>
          <w:rFonts w:ascii="Arial" w:eastAsia="Arial" w:hAnsi="Arial" w:cs="Arial"/>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rPr>
      </w:pPr>
      <w:r w:rsidRPr="00690B3C">
        <w:rPr>
          <w:rFonts w:ascii="Arial" w:eastAsia="Arial" w:hAnsi="Arial" w:cs="Arial"/>
          <w:lang w:val="es-MX"/>
        </w:rPr>
        <w:t xml:space="preserve">Fortalecimiento de mecanismos de control y seguimiento, que contribuyeron a que el desempeño de la Dimensión/Política de Control Interno, dentro del Modelo Integrado </w:t>
      </w:r>
      <w:r w:rsidRPr="00690B3C">
        <w:rPr>
          <w:rFonts w:ascii="Arial" w:eastAsia="Arial" w:hAnsi="Arial" w:cs="Arial"/>
          <w:lang w:val="es-MX"/>
        </w:rPr>
        <w:lastRenderedPageBreak/>
        <w:t>de Planeación y Gestión-MIPG, alcanzar el 82,2% de cumplimiento, ubicando al IDU en el 4° lugar a nivel distrital y tercer puesto entre las entidades de gran tamaño en el Distrito, en el Premio Distrital a la Gestión 2019.</w:t>
      </w:r>
    </w:p>
    <w:p w:rsidR="00690B3C" w:rsidRPr="00690B3C" w:rsidRDefault="00690B3C" w:rsidP="00690B3C">
      <w:pPr>
        <w:pStyle w:val="Prrafodelista"/>
        <w:spacing w:line="276" w:lineRule="auto"/>
        <w:ind w:left="567"/>
        <w:jc w:val="both"/>
        <w:rPr>
          <w:rFonts w:ascii="Arial" w:eastAsia="Arial" w:hAnsi="Arial" w:cs="Arial"/>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color w:val="000000"/>
        </w:rPr>
      </w:pPr>
      <w:r w:rsidRPr="00690B3C">
        <w:rPr>
          <w:rFonts w:ascii="Arial" w:eastAsia="Arial" w:hAnsi="Arial" w:cs="Arial"/>
          <w:color w:val="000000"/>
        </w:rPr>
        <w:t>Se realizaron y presentaron, dentro de los términos establecidos, los siguientes informes de carácter obligatorio:</w:t>
      </w:r>
    </w:p>
    <w:p w:rsidR="00690B3C" w:rsidRPr="00690B3C" w:rsidRDefault="00690B3C" w:rsidP="00690B3C">
      <w:pPr>
        <w:pBdr>
          <w:top w:val="nil"/>
          <w:left w:val="nil"/>
          <w:bottom w:val="nil"/>
          <w:right w:val="nil"/>
          <w:between w:val="nil"/>
        </w:pBdr>
        <w:ind w:hanging="720"/>
        <w:jc w:val="both"/>
        <w:rPr>
          <w:rFonts w:ascii="Arial" w:eastAsia="Arial" w:hAnsi="Arial" w:cs="Arial"/>
          <w:color w:val="000000"/>
        </w:rPr>
      </w:pPr>
    </w:p>
    <w:p w:rsidR="00690B3C" w:rsidRPr="00690B3C" w:rsidRDefault="00690B3C" w:rsidP="00D0183B">
      <w:pPr>
        <w:pStyle w:val="Prrafodelista"/>
        <w:widowControl w:val="0"/>
        <w:numPr>
          <w:ilvl w:val="0"/>
          <w:numId w:val="16"/>
        </w:numPr>
        <w:pBdr>
          <w:top w:val="nil"/>
          <w:left w:val="nil"/>
          <w:bottom w:val="nil"/>
          <w:right w:val="nil"/>
          <w:between w:val="nil"/>
        </w:pBdr>
        <w:spacing w:after="0" w:line="276" w:lineRule="auto"/>
        <w:ind w:left="993"/>
        <w:jc w:val="both"/>
        <w:rPr>
          <w:rFonts w:ascii="Arial" w:eastAsia="Arial" w:hAnsi="Arial" w:cs="Arial"/>
          <w:color w:val="000000"/>
        </w:rPr>
      </w:pPr>
      <w:r w:rsidRPr="00690B3C">
        <w:rPr>
          <w:rFonts w:ascii="Arial" w:eastAsia="Arial" w:hAnsi="Arial" w:cs="Arial"/>
          <w:color w:val="000000"/>
        </w:rPr>
        <w:t xml:space="preserve">Informes pormenorizados de control interno correspondientes a los siguientes periodos: </w:t>
      </w:r>
      <w:r w:rsidR="00A0720B">
        <w:rPr>
          <w:rFonts w:ascii="Arial" w:eastAsia="Arial" w:hAnsi="Arial" w:cs="Arial"/>
          <w:color w:val="000000"/>
        </w:rPr>
        <w:t>Diciembre</w:t>
      </w:r>
      <w:r w:rsidRPr="00690B3C">
        <w:rPr>
          <w:rFonts w:ascii="Arial" w:eastAsia="Arial" w:hAnsi="Arial" w:cs="Arial"/>
          <w:color w:val="000000"/>
        </w:rPr>
        <w:t xml:space="preserve"> – febrero; marzo – junio; julio – octubre de las 4 últimas vigencias, exceptuando el reporte de </w:t>
      </w:r>
      <w:r w:rsidR="00A0720B">
        <w:rPr>
          <w:rFonts w:ascii="Arial" w:eastAsia="Arial" w:hAnsi="Arial" w:cs="Arial"/>
          <w:color w:val="000000"/>
        </w:rPr>
        <w:t>Diciembre</w:t>
      </w:r>
      <w:r w:rsidRPr="00690B3C">
        <w:rPr>
          <w:rFonts w:ascii="Arial" w:eastAsia="Arial" w:hAnsi="Arial" w:cs="Arial"/>
          <w:color w:val="000000"/>
        </w:rPr>
        <w:t xml:space="preserve"> 2019 a febrero 2020 que será presentado en marzo de 2020.  </w:t>
      </w:r>
    </w:p>
    <w:p w:rsidR="00690B3C" w:rsidRPr="00690B3C" w:rsidRDefault="00690B3C" w:rsidP="00690B3C">
      <w:pPr>
        <w:pStyle w:val="Prrafodelista"/>
        <w:widowControl w:val="0"/>
        <w:pBdr>
          <w:top w:val="nil"/>
          <w:left w:val="nil"/>
          <w:bottom w:val="nil"/>
          <w:right w:val="nil"/>
          <w:between w:val="nil"/>
        </w:pBdr>
        <w:spacing w:line="276" w:lineRule="auto"/>
        <w:ind w:left="993"/>
        <w:jc w:val="both"/>
        <w:rPr>
          <w:rFonts w:ascii="Arial" w:eastAsia="Arial" w:hAnsi="Arial" w:cs="Arial"/>
          <w:color w:val="000000"/>
        </w:rPr>
      </w:pPr>
    </w:p>
    <w:p w:rsidR="00690B3C" w:rsidRPr="00690B3C" w:rsidRDefault="00690B3C" w:rsidP="00D0183B">
      <w:pPr>
        <w:pStyle w:val="Prrafodelista"/>
        <w:widowControl w:val="0"/>
        <w:numPr>
          <w:ilvl w:val="0"/>
          <w:numId w:val="16"/>
        </w:numPr>
        <w:pBdr>
          <w:top w:val="nil"/>
          <w:left w:val="nil"/>
          <w:bottom w:val="nil"/>
          <w:right w:val="nil"/>
          <w:between w:val="nil"/>
        </w:pBdr>
        <w:spacing w:after="0" w:line="276" w:lineRule="auto"/>
        <w:ind w:left="993"/>
        <w:jc w:val="both"/>
        <w:rPr>
          <w:rFonts w:ascii="Arial" w:eastAsia="Arial" w:hAnsi="Arial" w:cs="Arial"/>
          <w:color w:val="000000"/>
        </w:rPr>
      </w:pPr>
      <w:r w:rsidRPr="00690B3C">
        <w:rPr>
          <w:rFonts w:ascii="Arial" w:eastAsia="Arial" w:hAnsi="Arial" w:cs="Arial"/>
          <w:color w:val="000000"/>
        </w:rPr>
        <w:t xml:space="preserve">Informes de seguimiento a las estrategias para la construcción del Plan Anticorrupción y Atención al ciudadano de los 3 cuatrimestres de </w:t>
      </w:r>
      <w:r w:rsidRPr="00690B3C">
        <w:rPr>
          <w:rFonts w:ascii="Arial" w:eastAsia="Arial" w:hAnsi="Arial" w:cs="Arial"/>
        </w:rPr>
        <w:t>2016, 2017, 2018</w:t>
      </w:r>
      <w:r w:rsidRPr="00690B3C">
        <w:rPr>
          <w:rFonts w:ascii="Arial" w:eastAsia="Arial" w:hAnsi="Arial" w:cs="Arial"/>
          <w:color w:val="000000"/>
        </w:rPr>
        <w:t xml:space="preserve">, primer y segundo cuatrimestre de </w:t>
      </w:r>
      <w:r w:rsidRPr="00690B3C">
        <w:rPr>
          <w:rFonts w:ascii="Arial" w:eastAsia="Arial" w:hAnsi="Arial" w:cs="Arial"/>
        </w:rPr>
        <w:t>2019</w:t>
      </w:r>
      <w:r w:rsidRPr="00690B3C">
        <w:rPr>
          <w:rFonts w:ascii="Arial" w:eastAsia="Arial" w:hAnsi="Arial" w:cs="Arial"/>
          <w:color w:val="000000"/>
        </w:rPr>
        <w:t>.</w:t>
      </w:r>
    </w:p>
    <w:p w:rsidR="00690B3C" w:rsidRPr="00690B3C" w:rsidRDefault="00690B3C" w:rsidP="00690B3C">
      <w:pPr>
        <w:pStyle w:val="Prrafodelista"/>
        <w:spacing w:line="276" w:lineRule="auto"/>
        <w:ind w:left="993"/>
        <w:jc w:val="both"/>
        <w:rPr>
          <w:rFonts w:ascii="Arial" w:eastAsia="Arial" w:hAnsi="Arial" w:cs="Arial"/>
          <w:color w:val="000000"/>
        </w:rPr>
      </w:pPr>
    </w:p>
    <w:p w:rsidR="00690B3C" w:rsidRPr="00690B3C" w:rsidRDefault="00690B3C" w:rsidP="00D0183B">
      <w:pPr>
        <w:pStyle w:val="Prrafodelista"/>
        <w:widowControl w:val="0"/>
        <w:numPr>
          <w:ilvl w:val="0"/>
          <w:numId w:val="16"/>
        </w:numPr>
        <w:pBdr>
          <w:top w:val="nil"/>
          <w:left w:val="nil"/>
          <w:bottom w:val="nil"/>
          <w:right w:val="nil"/>
          <w:between w:val="nil"/>
        </w:pBdr>
        <w:spacing w:after="0" w:line="276" w:lineRule="auto"/>
        <w:ind w:left="993"/>
        <w:jc w:val="both"/>
        <w:rPr>
          <w:rFonts w:ascii="Arial" w:eastAsia="Arial" w:hAnsi="Arial" w:cs="Arial"/>
          <w:color w:val="000000"/>
        </w:rPr>
      </w:pPr>
      <w:r w:rsidRPr="00690B3C">
        <w:rPr>
          <w:rFonts w:ascii="Arial" w:eastAsia="Arial" w:hAnsi="Arial" w:cs="Arial"/>
          <w:color w:val="000000"/>
        </w:rPr>
        <w:t xml:space="preserve">Informe de Auditoría anual de cumplimiento a la implementación del Sistema de Gestión </w:t>
      </w:r>
      <w:r w:rsidRPr="00690B3C">
        <w:rPr>
          <w:rFonts w:ascii="Arial" w:eastAsia="Arial" w:hAnsi="Arial" w:cs="Arial"/>
        </w:rPr>
        <w:t>de Seguridad y Salud en el Trabajo, de acuerdo con el</w:t>
      </w:r>
      <w:r w:rsidRPr="00690B3C">
        <w:rPr>
          <w:rFonts w:ascii="Arial" w:eastAsia="Arial" w:hAnsi="Arial" w:cs="Arial"/>
          <w:color w:val="000000"/>
        </w:rPr>
        <w:t xml:space="preserve"> Decreto 1072 de 2015</w:t>
      </w:r>
      <w:r w:rsidRPr="00690B3C">
        <w:rPr>
          <w:rFonts w:ascii="Arial" w:eastAsia="Arial" w:hAnsi="Arial" w:cs="Arial"/>
        </w:rPr>
        <w:t xml:space="preserve"> y la Resolución 0312 de 2019 para 2017, 2018 y 2019</w:t>
      </w:r>
      <w:r w:rsidRPr="00690B3C">
        <w:rPr>
          <w:rFonts w:ascii="Arial" w:eastAsia="Arial" w:hAnsi="Arial" w:cs="Arial"/>
          <w:color w:val="000000"/>
        </w:rPr>
        <w:t>.</w:t>
      </w:r>
    </w:p>
    <w:p w:rsidR="00690B3C" w:rsidRPr="00690B3C" w:rsidRDefault="00690B3C" w:rsidP="00690B3C">
      <w:pPr>
        <w:pStyle w:val="Prrafodelista"/>
        <w:spacing w:line="276" w:lineRule="auto"/>
        <w:ind w:left="993"/>
        <w:jc w:val="both"/>
        <w:rPr>
          <w:rFonts w:ascii="Arial" w:eastAsia="Arial" w:hAnsi="Arial" w:cs="Arial"/>
          <w:color w:val="000000"/>
        </w:rPr>
      </w:pPr>
    </w:p>
    <w:p w:rsidR="00690B3C" w:rsidRPr="00690B3C" w:rsidRDefault="00690B3C" w:rsidP="00D0183B">
      <w:pPr>
        <w:pStyle w:val="Prrafodelista"/>
        <w:widowControl w:val="0"/>
        <w:numPr>
          <w:ilvl w:val="0"/>
          <w:numId w:val="16"/>
        </w:numPr>
        <w:pBdr>
          <w:top w:val="nil"/>
          <w:left w:val="nil"/>
          <w:bottom w:val="nil"/>
          <w:right w:val="nil"/>
          <w:between w:val="nil"/>
        </w:pBdr>
        <w:spacing w:after="0" w:line="276" w:lineRule="auto"/>
        <w:ind w:left="993"/>
        <w:jc w:val="both"/>
        <w:rPr>
          <w:rFonts w:ascii="Arial" w:eastAsia="Arial" w:hAnsi="Arial" w:cs="Arial"/>
          <w:color w:val="000000"/>
        </w:rPr>
      </w:pPr>
      <w:r w:rsidRPr="00690B3C">
        <w:rPr>
          <w:rFonts w:ascii="Arial" w:eastAsia="Arial" w:hAnsi="Arial" w:cs="Arial"/>
          <w:color w:val="000000"/>
        </w:rPr>
        <w:t xml:space="preserve">Informe de evaluación de la gestión de las 32 dependencias de la entidad, para las vigencias 2016, 2017, 2018; la de 2019 se realizará en enero de 2020. </w:t>
      </w:r>
    </w:p>
    <w:p w:rsidR="00690B3C" w:rsidRPr="00690B3C" w:rsidRDefault="00690B3C" w:rsidP="00690B3C">
      <w:pPr>
        <w:pStyle w:val="Prrafodelista"/>
        <w:spacing w:line="276" w:lineRule="auto"/>
        <w:ind w:left="993"/>
        <w:jc w:val="both"/>
        <w:rPr>
          <w:rFonts w:ascii="Arial" w:eastAsia="Arial" w:hAnsi="Arial" w:cs="Arial"/>
          <w:color w:val="000000"/>
        </w:rPr>
      </w:pPr>
    </w:p>
    <w:p w:rsidR="00690B3C" w:rsidRPr="00690B3C" w:rsidRDefault="00690B3C" w:rsidP="00D0183B">
      <w:pPr>
        <w:pStyle w:val="Prrafodelista"/>
        <w:widowControl w:val="0"/>
        <w:numPr>
          <w:ilvl w:val="0"/>
          <w:numId w:val="16"/>
        </w:numPr>
        <w:pBdr>
          <w:top w:val="nil"/>
          <w:left w:val="nil"/>
          <w:bottom w:val="nil"/>
          <w:right w:val="nil"/>
          <w:between w:val="nil"/>
        </w:pBdr>
        <w:spacing w:after="0" w:line="276" w:lineRule="auto"/>
        <w:ind w:left="993"/>
        <w:jc w:val="both"/>
        <w:rPr>
          <w:rFonts w:ascii="Arial" w:eastAsia="Arial" w:hAnsi="Arial" w:cs="Arial"/>
          <w:color w:val="000000"/>
        </w:rPr>
      </w:pPr>
      <w:r w:rsidRPr="00690B3C">
        <w:rPr>
          <w:rFonts w:ascii="Arial" w:eastAsia="Arial" w:hAnsi="Arial" w:cs="Arial"/>
          <w:color w:val="000000"/>
        </w:rPr>
        <w:t xml:space="preserve">Informe ejecutivo anual de evaluación del sistema control interno de las vigencias 2016 y 2017, presentando en febrero de 2017 y 2018 en el aplicativo del Departamento Administrativo de la Función Pública-DAFP.  Este reporte se homologó al formulario FURAG, que fue presentado en </w:t>
      </w:r>
      <w:r w:rsidR="00A0720B">
        <w:rPr>
          <w:rFonts w:ascii="Arial" w:eastAsia="Arial" w:hAnsi="Arial" w:cs="Arial"/>
          <w:color w:val="000000"/>
        </w:rPr>
        <w:t>Diciembre</w:t>
      </w:r>
      <w:r w:rsidRPr="00690B3C">
        <w:rPr>
          <w:rFonts w:ascii="Arial" w:eastAsia="Arial" w:hAnsi="Arial" w:cs="Arial"/>
          <w:color w:val="000000"/>
        </w:rPr>
        <w:t xml:space="preserve"> de 2017 y 2018 en la plataforma habilitada por el Departamento Administrativo de la Función Pública - DAFP.</w:t>
      </w:r>
    </w:p>
    <w:p w:rsidR="00690B3C" w:rsidRPr="00690B3C" w:rsidRDefault="00690B3C" w:rsidP="00690B3C">
      <w:pPr>
        <w:pStyle w:val="Prrafodelista"/>
        <w:spacing w:line="276" w:lineRule="auto"/>
        <w:ind w:left="993"/>
        <w:jc w:val="both"/>
        <w:rPr>
          <w:rFonts w:ascii="Arial" w:eastAsia="Arial" w:hAnsi="Arial" w:cs="Arial"/>
          <w:color w:val="000000"/>
        </w:rPr>
      </w:pPr>
    </w:p>
    <w:p w:rsidR="00690B3C" w:rsidRPr="00690B3C" w:rsidRDefault="00690B3C" w:rsidP="00D0183B">
      <w:pPr>
        <w:pStyle w:val="Prrafodelista"/>
        <w:widowControl w:val="0"/>
        <w:numPr>
          <w:ilvl w:val="0"/>
          <w:numId w:val="16"/>
        </w:numPr>
        <w:pBdr>
          <w:top w:val="nil"/>
          <w:left w:val="nil"/>
          <w:bottom w:val="nil"/>
          <w:right w:val="nil"/>
          <w:between w:val="nil"/>
        </w:pBdr>
        <w:spacing w:after="0" w:line="276" w:lineRule="auto"/>
        <w:ind w:left="993"/>
        <w:jc w:val="both"/>
        <w:rPr>
          <w:rFonts w:ascii="Arial" w:eastAsia="Arial" w:hAnsi="Arial" w:cs="Arial"/>
          <w:color w:val="000000"/>
        </w:rPr>
      </w:pPr>
      <w:r w:rsidRPr="00690B3C">
        <w:rPr>
          <w:rFonts w:ascii="Arial" w:eastAsia="Arial" w:hAnsi="Arial" w:cs="Arial"/>
          <w:color w:val="000000"/>
        </w:rPr>
        <w:t xml:space="preserve">Informe de evaluación del Sistema de Control Interno Contable del IDU </w:t>
      </w:r>
      <w:r w:rsidRPr="00690B3C">
        <w:rPr>
          <w:rFonts w:ascii="Arial" w:eastAsia="Arial" w:hAnsi="Arial" w:cs="Arial"/>
        </w:rPr>
        <w:t>para cada vigencia, y con corte a 30/11/2019, para efectos de empalme con la nueva administración.</w:t>
      </w:r>
    </w:p>
    <w:p w:rsidR="00690B3C" w:rsidRPr="00690B3C" w:rsidRDefault="00690B3C" w:rsidP="00690B3C">
      <w:pPr>
        <w:pStyle w:val="Prrafodelista"/>
        <w:spacing w:line="276" w:lineRule="auto"/>
        <w:ind w:left="993"/>
        <w:jc w:val="both"/>
        <w:rPr>
          <w:rFonts w:ascii="Arial" w:eastAsia="Arial" w:hAnsi="Arial" w:cs="Arial"/>
          <w:color w:val="000000"/>
        </w:rPr>
      </w:pPr>
    </w:p>
    <w:p w:rsidR="00690B3C" w:rsidRPr="00690B3C" w:rsidRDefault="00690B3C" w:rsidP="00D0183B">
      <w:pPr>
        <w:pStyle w:val="Prrafodelista"/>
        <w:widowControl w:val="0"/>
        <w:numPr>
          <w:ilvl w:val="0"/>
          <w:numId w:val="16"/>
        </w:numPr>
        <w:pBdr>
          <w:top w:val="nil"/>
          <w:left w:val="nil"/>
          <w:bottom w:val="nil"/>
          <w:right w:val="nil"/>
          <w:between w:val="nil"/>
        </w:pBdr>
        <w:spacing w:after="0" w:line="276" w:lineRule="auto"/>
        <w:ind w:left="993"/>
        <w:jc w:val="both"/>
        <w:rPr>
          <w:rFonts w:ascii="Arial" w:eastAsia="Arial" w:hAnsi="Arial" w:cs="Arial"/>
          <w:color w:val="000000"/>
        </w:rPr>
      </w:pPr>
      <w:r w:rsidRPr="00690B3C">
        <w:rPr>
          <w:rFonts w:ascii="Arial" w:eastAsia="Arial" w:hAnsi="Arial" w:cs="Arial"/>
          <w:color w:val="000000"/>
        </w:rPr>
        <w:t xml:space="preserve">Informes de austeridad del gasto de los cuatro trimestres de las vigencias 2016 a </w:t>
      </w:r>
      <w:r w:rsidRPr="00690B3C">
        <w:rPr>
          <w:rFonts w:ascii="Arial" w:eastAsia="Arial" w:hAnsi="Arial" w:cs="Arial"/>
        </w:rPr>
        <w:t>2018</w:t>
      </w:r>
      <w:r w:rsidRPr="00690B3C">
        <w:rPr>
          <w:rFonts w:ascii="Arial" w:eastAsia="Arial" w:hAnsi="Arial" w:cs="Arial"/>
          <w:color w:val="000000"/>
        </w:rPr>
        <w:t xml:space="preserve">, y primer, segundo y tercer trimestre de </w:t>
      </w:r>
      <w:r w:rsidRPr="00690B3C">
        <w:rPr>
          <w:rFonts w:ascii="Arial" w:eastAsia="Arial" w:hAnsi="Arial" w:cs="Arial"/>
        </w:rPr>
        <w:t>2019</w:t>
      </w:r>
      <w:r w:rsidRPr="00690B3C">
        <w:rPr>
          <w:rFonts w:ascii="Arial" w:eastAsia="Arial" w:hAnsi="Arial" w:cs="Arial"/>
          <w:color w:val="000000"/>
        </w:rPr>
        <w:t>.</w:t>
      </w:r>
    </w:p>
    <w:p w:rsidR="00690B3C" w:rsidRPr="00690B3C" w:rsidRDefault="00690B3C" w:rsidP="00690B3C">
      <w:pPr>
        <w:pStyle w:val="Prrafodelista"/>
        <w:spacing w:line="276" w:lineRule="auto"/>
        <w:ind w:left="993"/>
        <w:jc w:val="both"/>
        <w:rPr>
          <w:rFonts w:ascii="Arial" w:eastAsia="Arial" w:hAnsi="Arial" w:cs="Arial"/>
          <w:color w:val="000000"/>
        </w:rPr>
      </w:pPr>
    </w:p>
    <w:p w:rsidR="00690B3C" w:rsidRPr="00690B3C" w:rsidRDefault="00690B3C" w:rsidP="00D0183B">
      <w:pPr>
        <w:pStyle w:val="Prrafodelista"/>
        <w:widowControl w:val="0"/>
        <w:numPr>
          <w:ilvl w:val="0"/>
          <w:numId w:val="16"/>
        </w:numPr>
        <w:pBdr>
          <w:top w:val="nil"/>
          <w:left w:val="nil"/>
          <w:bottom w:val="nil"/>
          <w:right w:val="nil"/>
          <w:between w:val="nil"/>
        </w:pBdr>
        <w:spacing w:after="0" w:line="276" w:lineRule="auto"/>
        <w:ind w:left="993"/>
        <w:jc w:val="both"/>
        <w:rPr>
          <w:rFonts w:ascii="Arial" w:eastAsia="Arial" w:hAnsi="Arial" w:cs="Arial"/>
          <w:color w:val="000000"/>
        </w:rPr>
      </w:pPr>
      <w:r w:rsidRPr="00690B3C">
        <w:rPr>
          <w:rFonts w:ascii="Arial" w:eastAsia="Arial" w:hAnsi="Arial" w:cs="Arial"/>
          <w:color w:val="000000"/>
        </w:rPr>
        <w:t xml:space="preserve">Informe de derechos de autor </w:t>
      </w:r>
      <w:r w:rsidRPr="00690B3C">
        <w:rPr>
          <w:rFonts w:ascii="Arial" w:eastAsia="Arial" w:hAnsi="Arial" w:cs="Arial"/>
        </w:rPr>
        <w:t>de las vigencias 2016 a 2018</w:t>
      </w:r>
      <w:r w:rsidRPr="00690B3C">
        <w:rPr>
          <w:rFonts w:ascii="Arial" w:eastAsia="Arial" w:hAnsi="Arial" w:cs="Arial"/>
          <w:color w:val="000000"/>
        </w:rPr>
        <w:t>, dirigido a la Dirección Nacional de Derechos de Autor, a través del aplicativo establecido por esta entidad.</w:t>
      </w:r>
    </w:p>
    <w:p w:rsidR="00690B3C" w:rsidRPr="00690B3C" w:rsidRDefault="00690B3C" w:rsidP="00690B3C">
      <w:pPr>
        <w:pStyle w:val="Prrafodelista"/>
        <w:spacing w:line="276" w:lineRule="auto"/>
        <w:ind w:left="993"/>
        <w:jc w:val="both"/>
        <w:rPr>
          <w:rFonts w:ascii="Arial" w:eastAsia="Arial" w:hAnsi="Arial" w:cs="Arial"/>
          <w:color w:val="000000"/>
        </w:rPr>
      </w:pPr>
    </w:p>
    <w:p w:rsidR="00690B3C" w:rsidRPr="00690B3C" w:rsidRDefault="00690B3C" w:rsidP="00D0183B">
      <w:pPr>
        <w:pStyle w:val="Prrafodelista"/>
        <w:widowControl w:val="0"/>
        <w:numPr>
          <w:ilvl w:val="0"/>
          <w:numId w:val="16"/>
        </w:numPr>
        <w:pBdr>
          <w:top w:val="nil"/>
          <w:left w:val="nil"/>
          <w:bottom w:val="nil"/>
          <w:right w:val="nil"/>
          <w:between w:val="nil"/>
        </w:pBdr>
        <w:spacing w:after="0" w:line="276" w:lineRule="auto"/>
        <w:ind w:left="993"/>
        <w:jc w:val="both"/>
        <w:rPr>
          <w:rFonts w:ascii="Arial" w:eastAsia="Arial" w:hAnsi="Arial" w:cs="Arial"/>
          <w:color w:val="000000"/>
        </w:rPr>
      </w:pPr>
      <w:r w:rsidRPr="00690B3C">
        <w:rPr>
          <w:rFonts w:ascii="Arial" w:eastAsia="Arial" w:hAnsi="Arial" w:cs="Arial"/>
          <w:color w:val="000000"/>
        </w:rPr>
        <w:t xml:space="preserve">Informes sobre el estado de las Peticiones, con periodicidad semestral, para cada </w:t>
      </w:r>
      <w:r w:rsidRPr="00690B3C">
        <w:rPr>
          <w:rFonts w:ascii="Arial" w:eastAsia="Arial" w:hAnsi="Arial" w:cs="Arial"/>
          <w:color w:val="000000"/>
        </w:rPr>
        <w:lastRenderedPageBreak/>
        <w:t>una de las vigencias.</w:t>
      </w:r>
    </w:p>
    <w:p w:rsidR="00690B3C" w:rsidRPr="00690B3C" w:rsidRDefault="00690B3C" w:rsidP="00690B3C">
      <w:pPr>
        <w:pStyle w:val="Prrafodelista"/>
        <w:spacing w:line="276" w:lineRule="auto"/>
        <w:ind w:left="993"/>
        <w:jc w:val="both"/>
        <w:rPr>
          <w:rFonts w:ascii="Arial" w:eastAsia="Arial" w:hAnsi="Arial" w:cs="Arial"/>
          <w:color w:val="000000"/>
        </w:rPr>
      </w:pPr>
    </w:p>
    <w:p w:rsidR="00690B3C" w:rsidRPr="00690B3C" w:rsidRDefault="00690B3C" w:rsidP="00D0183B">
      <w:pPr>
        <w:widowControl w:val="0"/>
        <w:numPr>
          <w:ilvl w:val="0"/>
          <w:numId w:val="16"/>
        </w:numPr>
        <w:pBdr>
          <w:top w:val="nil"/>
          <w:left w:val="nil"/>
          <w:bottom w:val="nil"/>
          <w:right w:val="nil"/>
          <w:between w:val="nil"/>
        </w:pBdr>
        <w:spacing w:after="0" w:line="276" w:lineRule="auto"/>
        <w:ind w:left="993"/>
        <w:jc w:val="both"/>
        <w:rPr>
          <w:rFonts w:ascii="Arial" w:eastAsia="Arial" w:hAnsi="Arial" w:cs="Arial"/>
          <w:color w:val="000000"/>
        </w:rPr>
      </w:pPr>
      <w:r w:rsidRPr="00690B3C">
        <w:rPr>
          <w:rFonts w:ascii="Arial" w:eastAsia="Arial" w:hAnsi="Arial" w:cs="Arial"/>
          <w:color w:val="000000"/>
        </w:rPr>
        <w:t>Informes de seguimiento trimestral al cumplimiento de las metas del Plan de Desarrollo Distrital para cada una de las vigencias, de acuerdo con lo establecido en el Decreto 215 de 2017.</w:t>
      </w:r>
    </w:p>
    <w:p w:rsidR="00690B3C" w:rsidRPr="00690B3C" w:rsidRDefault="00690B3C" w:rsidP="00690B3C">
      <w:pPr>
        <w:pStyle w:val="Prrafodelista"/>
        <w:spacing w:line="276" w:lineRule="auto"/>
        <w:jc w:val="both"/>
        <w:rPr>
          <w:rFonts w:ascii="Arial" w:eastAsia="Arial" w:hAnsi="Arial" w:cs="Arial"/>
        </w:rPr>
      </w:pPr>
    </w:p>
    <w:p w:rsidR="00690B3C" w:rsidRPr="00690B3C" w:rsidRDefault="00690B3C" w:rsidP="00D0183B">
      <w:pPr>
        <w:pStyle w:val="Ttulo3"/>
        <w:keepNext w:val="0"/>
        <w:keepLines w:val="0"/>
        <w:numPr>
          <w:ilvl w:val="2"/>
          <w:numId w:val="6"/>
        </w:numPr>
        <w:tabs>
          <w:tab w:val="left" w:pos="851"/>
        </w:tabs>
        <w:spacing w:before="0" w:line="276" w:lineRule="auto"/>
        <w:jc w:val="both"/>
        <w:rPr>
          <w:rFonts w:ascii="Arial" w:hAnsi="Arial" w:cs="Arial"/>
          <w:b/>
          <w:color w:val="auto"/>
          <w:sz w:val="22"/>
          <w:szCs w:val="22"/>
        </w:rPr>
      </w:pPr>
      <w:bookmarkStart w:id="42" w:name="_heading=h.30j0zll" w:colFirst="0" w:colLast="0"/>
      <w:bookmarkStart w:id="43" w:name="_Toc27665268"/>
      <w:bookmarkStart w:id="44" w:name="_Toc30774617"/>
      <w:bookmarkEnd w:id="42"/>
      <w:r w:rsidRPr="00690B3C">
        <w:rPr>
          <w:rFonts w:ascii="Arial" w:hAnsi="Arial" w:cs="Arial"/>
          <w:b/>
          <w:color w:val="auto"/>
          <w:sz w:val="22"/>
          <w:szCs w:val="22"/>
        </w:rPr>
        <w:t>EVALUACIÓN Y SEGUIMIENTO</w:t>
      </w:r>
      <w:bookmarkEnd w:id="43"/>
      <w:bookmarkEnd w:id="44"/>
    </w:p>
    <w:p w:rsidR="00690B3C" w:rsidRPr="00690B3C" w:rsidRDefault="00690B3C" w:rsidP="00690B3C">
      <w:pPr>
        <w:widowControl w:val="0"/>
        <w:spacing w:line="276" w:lineRule="auto"/>
        <w:jc w:val="both"/>
        <w:rPr>
          <w:rFonts w:ascii="Arial" w:eastAsia="Arial" w:hAnsi="Arial" w:cs="Arial"/>
        </w:rPr>
      </w:pPr>
    </w:p>
    <w:p w:rsidR="00690B3C" w:rsidRPr="00690B3C" w:rsidRDefault="00690B3C" w:rsidP="00690B3C">
      <w:pPr>
        <w:widowControl w:val="0"/>
        <w:spacing w:line="276" w:lineRule="auto"/>
        <w:jc w:val="both"/>
        <w:rPr>
          <w:rFonts w:ascii="Arial" w:eastAsia="Arial" w:hAnsi="Arial" w:cs="Arial"/>
        </w:rPr>
      </w:pPr>
      <w:r w:rsidRPr="00690B3C">
        <w:rPr>
          <w:rFonts w:ascii="Arial" w:eastAsia="Arial" w:hAnsi="Arial" w:cs="Arial"/>
        </w:rPr>
        <w:t>En el desarrollo de este rol, se adelantaron las siguientes actividades:</w:t>
      </w:r>
    </w:p>
    <w:p w:rsidR="00690B3C" w:rsidRPr="00690B3C" w:rsidRDefault="00690B3C" w:rsidP="00690B3C">
      <w:pPr>
        <w:widowControl w:val="0"/>
        <w:spacing w:line="276" w:lineRule="auto"/>
        <w:jc w:val="both"/>
        <w:rPr>
          <w:rFonts w:ascii="Arial" w:eastAsia="Arial" w:hAnsi="Arial" w:cs="Arial"/>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color w:val="000000"/>
        </w:rPr>
      </w:pPr>
      <w:r w:rsidRPr="00690B3C">
        <w:rPr>
          <w:rFonts w:ascii="Arial" w:eastAsia="Arial" w:hAnsi="Arial" w:cs="Arial"/>
          <w:color w:val="000000"/>
        </w:rPr>
        <w:t>Se ejecutaron auditorías a los siguientes procesos/sistemas/actividades:</w:t>
      </w:r>
    </w:p>
    <w:p w:rsidR="00690B3C" w:rsidRDefault="00690B3C" w:rsidP="00690B3C">
      <w:pPr>
        <w:widowControl w:val="0"/>
        <w:pBdr>
          <w:top w:val="nil"/>
          <w:left w:val="nil"/>
          <w:bottom w:val="nil"/>
          <w:right w:val="nil"/>
          <w:between w:val="nil"/>
        </w:pBdr>
        <w:spacing w:line="276" w:lineRule="auto"/>
        <w:jc w:val="both"/>
        <w:rPr>
          <w:rFonts w:ascii="Arial" w:eastAsia="Arial" w:hAnsi="Arial" w:cs="Arial"/>
          <w:color w:val="000000"/>
        </w:rPr>
      </w:pPr>
    </w:p>
    <w:p w:rsidR="00690B3C" w:rsidRPr="00690B3C" w:rsidRDefault="00690B3C" w:rsidP="00690B3C">
      <w:pPr>
        <w:pStyle w:val="Descripcin"/>
        <w:spacing w:after="0"/>
        <w:rPr>
          <w:rFonts w:ascii="Arial" w:eastAsia="Arial" w:hAnsi="Arial" w:cs="Arial"/>
          <w:color w:val="000000"/>
        </w:rPr>
      </w:pPr>
      <w:bookmarkStart w:id="45" w:name="_Toc27665386"/>
      <w:r w:rsidRPr="00690B3C">
        <w:rPr>
          <w:rFonts w:ascii="Arial" w:hAnsi="Arial" w:cs="Arial"/>
        </w:rPr>
        <w:t>Actividades de Evaluación y control 2016</w:t>
      </w:r>
      <w:bookmarkEnd w:id="45"/>
    </w:p>
    <w:tbl>
      <w:tblPr>
        <w:tblW w:w="48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600" w:firstRow="0" w:lastRow="0" w:firstColumn="0" w:lastColumn="0" w:noHBand="1" w:noVBand="1"/>
      </w:tblPr>
      <w:tblGrid>
        <w:gridCol w:w="4170"/>
        <w:gridCol w:w="4414"/>
      </w:tblGrid>
      <w:tr w:rsidR="00690B3C" w:rsidRPr="00551731" w:rsidTr="00AC30EC">
        <w:trPr>
          <w:trHeight w:val="300"/>
          <w:jc w:val="center"/>
        </w:trPr>
        <w:tc>
          <w:tcPr>
            <w:tcW w:w="2429" w:type="pct"/>
            <w:shd w:val="clear" w:color="auto" w:fill="auto"/>
            <w:vAlign w:val="center"/>
            <w:hideMark/>
          </w:tcPr>
          <w:p w:rsidR="00690B3C" w:rsidRPr="00551731" w:rsidRDefault="00690B3C" w:rsidP="00690B3C">
            <w:pPr>
              <w:spacing w:line="240" w:lineRule="auto"/>
              <w:jc w:val="both"/>
              <w:rPr>
                <w:rFonts w:ascii="Arial" w:eastAsia="Times New Roman" w:hAnsi="Arial" w:cs="Arial"/>
                <w:color w:val="000000"/>
                <w:sz w:val="18"/>
              </w:rPr>
            </w:pPr>
            <w:r w:rsidRPr="00551731">
              <w:rPr>
                <w:rFonts w:ascii="Arial" w:eastAsia="Times New Roman" w:hAnsi="Arial" w:cs="Arial"/>
                <w:color w:val="000000"/>
                <w:sz w:val="18"/>
              </w:rPr>
              <w:t>Talento Humano</w:t>
            </w:r>
          </w:p>
        </w:tc>
        <w:tc>
          <w:tcPr>
            <w:tcW w:w="2571" w:type="pct"/>
            <w:shd w:val="clear" w:color="auto" w:fill="auto"/>
            <w:vAlign w:val="center"/>
            <w:hideMark/>
          </w:tcPr>
          <w:p w:rsidR="00690B3C" w:rsidRPr="00551731" w:rsidRDefault="00690B3C" w:rsidP="00690B3C">
            <w:pPr>
              <w:spacing w:line="240" w:lineRule="auto"/>
              <w:jc w:val="both"/>
              <w:rPr>
                <w:rFonts w:ascii="Arial" w:eastAsia="Times New Roman" w:hAnsi="Arial" w:cs="Arial"/>
                <w:color w:val="000000"/>
                <w:sz w:val="18"/>
              </w:rPr>
            </w:pPr>
            <w:r w:rsidRPr="00551731">
              <w:rPr>
                <w:rFonts w:ascii="Arial" w:eastAsia="Times New Roman" w:hAnsi="Arial" w:cs="Arial"/>
                <w:color w:val="000000"/>
                <w:sz w:val="18"/>
              </w:rPr>
              <w:t>Recursos Físicos</w:t>
            </w:r>
          </w:p>
        </w:tc>
      </w:tr>
      <w:tr w:rsidR="00690B3C" w:rsidRPr="00551731" w:rsidTr="00AC30EC">
        <w:trPr>
          <w:trHeight w:val="300"/>
          <w:jc w:val="center"/>
        </w:trPr>
        <w:tc>
          <w:tcPr>
            <w:tcW w:w="2429" w:type="pct"/>
            <w:shd w:val="clear" w:color="auto" w:fill="auto"/>
            <w:vAlign w:val="center"/>
            <w:hideMark/>
          </w:tcPr>
          <w:p w:rsidR="00690B3C" w:rsidRPr="00551731" w:rsidRDefault="00690B3C" w:rsidP="00690B3C">
            <w:pPr>
              <w:spacing w:line="240" w:lineRule="auto"/>
              <w:jc w:val="both"/>
              <w:rPr>
                <w:rFonts w:ascii="Arial" w:eastAsia="Times New Roman" w:hAnsi="Arial" w:cs="Arial"/>
                <w:color w:val="000000"/>
                <w:sz w:val="18"/>
              </w:rPr>
            </w:pPr>
            <w:r w:rsidRPr="00551731">
              <w:rPr>
                <w:rFonts w:ascii="Arial" w:eastAsia="Times New Roman" w:hAnsi="Arial" w:cs="Arial"/>
                <w:color w:val="000000"/>
                <w:sz w:val="18"/>
              </w:rPr>
              <w:t>Gestión Documental</w:t>
            </w:r>
          </w:p>
        </w:tc>
        <w:tc>
          <w:tcPr>
            <w:tcW w:w="2571" w:type="pct"/>
            <w:shd w:val="clear" w:color="auto" w:fill="auto"/>
            <w:vAlign w:val="center"/>
            <w:hideMark/>
          </w:tcPr>
          <w:p w:rsidR="00690B3C" w:rsidRPr="00551731" w:rsidRDefault="00690B3C" w:rsidP="00690B3C">
            <w:pPr>
              <w:spacing w:line="240" w:lineRule="auto"/>
              <w:jc w:val="both"/>
              <w:rPr>
                <w:rFonts w:ascii="Arial" w:eastAsia="Times New Roman" w:hAnsi="Arial" w:cs="Arial"/>
                <w:color w:val="000000"/>
                <w:sz w:val="18"/>
              </w:rPr>
            </w:pPr>
            <w:r w:rsidRPr="00551731">
              <w:rPr>
                <w:rFonts w:ascii="Arial" w:eastAsia="Times New Roman" w:hAnsi="Arial" w:cs="Arial"/>
                <w:color w:val="000000"/>
                <w:sz w:val="18"/>
              </w:rPr>
              <w:t>Gestión Financiera</w:t>
            </w:r>
          </w:p>
        </w:tc>
      </w:tr>
      <w:tr w:rsidR="00690B3C" w:rsidRPr="00551731" w:rsidTr="00AC30EC">
        <w:trPr>
          <w:trHeight w:val="300"/>
          <w:jc w:val="center"/>
        </w:trPr>
        <w:tc>
          <w:tcPr>
            <w:tcW w:w="2429" w:type="pct"/>
            <w:shd w:val="clear" w:color="auto" w:fill="auto"/>
            <w:vAlign w:val="center"/>
            <w:hideMark/>
          </w:tcPr>
          <w:p w:rsidR="00690B3C" w:rsidRPr="00551731" w:rsidRDefault="00690B3C" w:rsidP="00690B3C">
            <w:pPr>
              <w:spacing w:line="240" w:lineRule="auto"/>
              <w:jc w:val="both"/>
              <w:rPr>
                <w:rFonts w:ascii="Arial" w:eastAsia="Times New Roman" w:hAnsi="Arial" w:cs="Arial"/>
                <w:color w:val="000000"/>
                <w:sz w:val="18"/>
              </w:rPr>
            </w:pPr>
            <w:r w:rsidRPr="00551731">
              <w:rPr>
                <w:rFonts w:ascii="Arial" w:eastAsia="Times New Roman" w:hAnsi="Arial" w:cs="Arial"/>
                <w:color w:val="000000"/>
                <w:sz w:val="18"/>
              </w:rPr>
              <w:t>Valorización</w:t>
            </w:r>
          </w:p>
        </w:tc>
        <w:tc>
          <w:tcPr>
            <w:tcW w:w="2571" w:type="pct"/>
            <w:shd w:val="clear" w:color="auto" w:fill="auto"/>
            <w:vAlign w:val="center"/>
            <w:hideMark/>
          </w:tcPr>
          <w:p w:rsidR="00690B3C" w:rsidRPr="00551731" w:rsidRDefault="00690B3C" w:rsidP="00690B3C">
            <w:pPr>
              <w:spacing w:line="240" w:lineRule="auto"/>
              <w:jc w:val="both"/>
              <w:rPr>
                <w:rFonts w:ascii="Arial" w:eastAsia="Times New Roman" w:hAnsi="Arial" w:cs="Arial"/>
                <w:color w:val="000000"/>
                <w:sz w:val="18"/>
              </w:rPr>
            </w:pPr>
            <w:r w:rsidRPr="00551731">
              <w:rPr>
                <w:rFonts w:ascii="Arial" w:eastAsia="Times New Roman" w:hAnsi="Arial" w:cs="Arial"/>
                <w:color w:val="000000"/>
                <w:sz w:val="18"/>
              </w:rPr>
              <w:t>Evaluación Sistema de Información de Correspondencia</w:t>
            </w:r>
          </w:p>
        </w:tc>
      </w:tr>
      <w:tr w:rsidR="00690B3C" w:rsidRPr="00551731" w:rsidTr="00AC30EC">
        <w:trPr>
          <w:trHeight w:val="300"/>
          <w:jc w:val="center"/>
        </w:trPr>
        <w:tc>
          <w:tcPr>
            <w:tcW w:w="2429" w:type="pct"/>
            <w:shd w:val="clear" w:color="auto" w:fill="auto"/>
            <w:vAlign w:val="center"/>
            <w:hideMark/>
          </w:tcPr>
          <w:p w:rsidR="00690B3C" w:rsidRPr="00551731" w:rsidRDefault="00690B3C" w:rsidP="00690B3C">
            <w:pPr>
              <w:spacing w:line="240" w:lineRule="auto"/>
              <w:jc w:val="both"/>
              <w:rPr>
                <w:rFonts w:ascii="Arial" w:eastAsia="Times New Roman" w:hAnsi="Arial" w:cs="Arial"/>
                <w:color w:val="000000"/>
                <w:sz w:val="18"/>
              </w:rPr>
            </w:pPr>
            <w:r w:rsidRPr="00551731">
              <w:rPr>
                <w:rFonts w:ascii="Arial" w:eastAsia="Times New Roman" w:hAnsi="Arial" w:cs="Arial"/>
                <w:color w:val="000000"/>
                <w:sz w:val="18"/>
              </w:rPr>
              <w:t>Evaluación Protocolo de Seguridad Tesorería</w:t>
            </w:r>
          </w:p>
        </w:tc>
        <w:tc>
          <w:tcPr>
            <w:tcW w:w="2571" w:type="pct"/>
            <w:shd w:val="clear" w:color="auto" w:fill="auto"/>
            <w:vAlign w:val="center"/>
            <w:hideMark/>
          </w:tcPr>
          <w:p w:rsidR="00690B3C" w:rsidRPr="00551731" w:rsidRDefault="00690B3C" w:rsidP="00690B3C">
            <w:pPr>
              <w:spacing w:line="240" w:lineRule="auto"/>
              <w:jc w:val="both"/>
              <w:rPr>
                <w:rFonts w:ascii="Arial" w:eastAsia="Times New Roman" w:hAnsi="Arial" w:cs="Arial"/>
                <w:color w:val="000000"/>
                <w:sz w:val="18"/>
              </w:rPr>
            </w:pPr>
            <w:r w:rsidRPr="00551731">
              <w:rPr>
                <w:rFonts w:ascii="Arial" w:eastAsia="Times New Roman" w:hAnsi="Arial" w:cs="Arial"/>
                <w:color w:val="000000"/>
                <w:sz w:val="18"/>
              </w:rPr>
              <w:t>Tecnologías de la información y comunicaciones</w:t>
            </w:r>
          </w:p>
        </w:tc>
      </w:tr>
      <w:tr w:rsidR="00690B3C" w:rsidRPr="00551731" w:rsidTr="00AC30EC">
        <w:trPr>
          <w:trHeight w:val="300"/>
          <w:jc w:val="center"/>
        </w:trPr>
        <w:tc>
          <w:tcPr>
            <w:tcW w:w="2429" w:type="pct"/>
            <w:shd w:val="clear" w:color="auto" w:fill="auto"/>
            <w:vAlign w:val="center"/>
            <w:hideMark/>
          </w:tcPr>
          <w:p w:rsidR="00690B3C" w:rsidRPr="00551731" w:rsidRDefault="00690B3C" w:rsidP="00690B3C">
            <w:pPr>
              <w:spacing w:line="240" w:lineRule="auto"/>
              <w:jc w:val="both"/>
              <w:rPr>
                <w:rFonts w:ascii="Arial" w:eastAsia="Times New Roman" w:hAnsi="Arial" w:cs="Arial"/>
                <w:color w:val="000000"/>
                <w:sz w:val="18"/>
              </w:rPr>
            </w:pPr>
            <w:r w:rsidRPr="00551731">
              <w:rPr>
                <w:rFonts w:ascii="Arial" w:eastAsia="Times New Roman" w:hAnsi="Arial" w:cs="Arial"/>
                <w:color w:val="000000"/>
                <w:sz w:val="18"/>
              </w:rPr>
              <w:t>Seguimiento a respuestas ORFEO</w:t>
            </w:r>
          </w:p>
        </w:tc>
        <w:tc>
          <w:tcPr>
            <w:tcW w:w="2571" w:type="pct"/>
            <w:shd w:val="clear" w:color="auto" w:fill="auto"/>
            <w:vAlign w:val="center"/>
            <w:hideMark/>
          </w:tcPr>
          <w:p w:rsidR="00690B3C" w:rsidRPr="00551731" w:rsidRDefault="00690B3C" w:rsidP="00690B3C">
            <w:pPr>
              <w:spacing w:line="240" w:lineRule="auto"/>
              <w:jc w:val="both"/>
              <w:rPr>
                <w:rFonts w:ascii="Arial" w:eastAsia="Times New Roman" w:hAnsi="Arial" w:cs="Arial"/>
                <w:color w:val="000000"/>
                <w:sz w:val="18"/>
              </w:rPr>
            </w:pPr>
            <w:r w:rsidRPr="00551731">
              <w:rPr>
                <w:rFonts w:ascii="Arial" w:eastAsia="Times New Roman" w:hAnsi="Arial" w:cs="Arial"/>
                <w:color w:val="000000"/>
                <w:sz w:val="18"/>
              </w:rPr>
              <w:t>Sistema Integrado de Gestión (</w:t>
            </w:r>
            <w:r w:rsidRPr="00551731">
              <w:rPr>
                <w:rFonts w:ascii="Arial" w:hAnsi="Arial" w:cs="Arial"/>
                <w:bCs/>
                <w:sz w:val="18"/>
                <w:lang w:eastAsia="es-CO"/>
              </w:rPr>
              <w:t xml:space="preserve">en el marco de esta auditoría, se evaluaron todos los procesos del Sistema Integrado de Gestión, con base en las normas </w:t>
            </w:r>
            <w:r w:rsidRPr="00551731">
              <w:rPr>
                <w:rFonts w:ascii="Arial" w:eastAsia="Arial" w:hAnsi="Arial" w:cs="Arial"/>
                <w:color w:val="000000"/>
                <w:sz w:val="18"/>
              </w:rPr>
              <w:t>NTCGP 1000:2009, ISO 9001:2008, NTC ISO 14001:2004, NTC OHSAS 18001 y la NTC ISO IEC 27001:2013)</w:t>
            </w:r>
          </w:p>
        </w:tc>
      </w:tr>
    </w:tbl>
    <w:p w:rsidR="00690B3C" w:rsidRPr="00690B3C" w:rsidRDefault="00690B3C" w:rsidP="00690B3C">
      <w:pPr>
        <w:widowControl w:val="0"/>
        <w:pBdr>
          <w:top w:val="nil"/>
          <w:left w:val="nil"/>
          <w:bottom w:val="nil"/>
          <w:right w:val="nil"/>
          <w:between w:val="nil"/>
        </w:pBdr>
        <w:jc w:val="both"/>
        <w:rPr>
          <w:rFonts w:ascii="Arial" w:eastAsia="Arial" w:hAnsi="Arial" w:cs="Arial"/>
          <w:color w:val="000000"/>
        </w:rPr>
      </w:pPr>
    </w:p>
    <w:p w:rsidR="00690B3C" w:rsidRPr="00690B3C" w:rsidRDefault="00690B3C" w:rsidP="00690B3C">
      <w:pPr>
        <w:pStyle w:val="Descripcin"/>
        <w:spacing w:after="0"/>
        <w:rPr>
          <w:rFonts w:ascii="Arial" w:eastAsia="Arial" w:hAnsi="Arial" w:cs="Arial"/>
          <w:color w:val="000000"/>
        </w:rPr>
      </w:pPr>
      <w:bookmarkStart w:id="46" w:name="_Toc27665387"/>
      <w:r w:rsidRPr="00690B3C">
        <w:rPr>
          <w:rFonts w:ascii="Arial" w:hAnsi="Arial" w:cs="Arial"/>
        </w:rPr>
        <w:t>Actividades de Evaluación y control 2017</w:t>
      </w:r>
      <w:bookmarkEnd w:id="46"/>
    </w:p>
    <w:tbl>
      <w:tblPr>
        <w:tblW w:w="4895"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600" w:firstRow="0" w:lastRow="0" w:firstColumn="0" w:lastColumn="0" w:noHBand="1" w:noVBand="1"/>
      </w:tblPr>
      <w:tblGrid>
        <w:gridCol w:w="4347"/>
        <w:gridCol w:w="4296"/>
      </w:tblGrid>
      <w:tr w:rsidR="00690B3C" w:rsidRPr="00690B3C" w:rsidTr="00AC30EC">
        <w:trPr>
          <w:trHeight w:val="240"/>
        </w:trPr>
        <w:tc>
          <w:tcPr>
            <w:tcW w:w="2515" w:type="pct"/>
            <w:shd w:val="clear" w:color="auto" w:fill="auto"/>
            <w:vAlign w:val="center"/>
            <w:hideMark/>
          </w:tcPr>
          <w:p w:rsidR="00690B3C" w:rsidRPr="00690B3C" w:rsidRDefault="00690B3C" w:rsidP="00690B3C">
            <w:pPr>
              <w:spacing w:line="240" w:lineRule="auto"/>
              <w:jc w:val="both"/>
              <w:rPr>
                <w:rFonts w:ascii="Arial" w:eastAsia="Times New Roman" w:hAnsi="Arial" w:cs="Arial"/>
                <w:sz w:val="20"/>
              </w:rPr>
            </w:pPr>
            <w:r w:rsidRPr="00690B3C">
              <w:rPr>
                <w:rFonts w:ascii="Arial" w:eastAsia="Times New Roman" w:hAnsi="Arial" w:cs="Arial"/>
                <w:sz w:val="20"/>
              </w:rPr>
              <w:t>Planeación Estratégica</w:t>
            </w:r>
          </w:p>
        </w:tc>
        <w:tc>
          <w:tcPr>
            <w:tcW w:w="2485" w:type="pct"/>
            <w:shd w:val="clear" w:color="auto" w:fill="auto"/>
            <w:vAlign w:val="center"/>
            <w:hideMark/>
          </w:tcPr>
          <w:p w:rsidR="00690B3C" w:rsidRPr="00690B3C" w:rsidRDefault="00690B3C" w:rsidP="00690B3C">
            <w:pPr>
              <w:spacing w:line="240" w:lineRule="auto"/>
              <w:jc w:val="both"/>
              <w:rPr>
                <w:rFonts w:ascii="Arial" w:eastAsia="Times New Roman" w:hAnsi="Arial" w:cs="Arial"/>
                <w:sz w:val="20"/>
              </w:rPr>
            </w:pPr>
            <w:r w:rsidRPr="00690B3C">
              <w:rPr>
                <w:rFonts w:ascii="Arial" w:eastAsia="Times New Roman" w:hAnsi="Arial" w:cs="Arial"/>
                <w:sz w:val="20"/>
              </w:rPr>
              <w:t>Factibilidad de Proyectos</w:t>
            </w:r>
          </w:p>
        </w:tc>
      </w:tr>
      <w:tr w:rsidR="00690B3C" w:rsidRPr="00690B3C" w:rsidTr="00AC30EC">
        <w:trPr>
          <w:trHeight w:val="240"/>
        </w:trPr>
        <w:tc>
          <w:tcPr>
            <w:tcW w:w="2515" w:type="pct"/>
            <w:shd w:val="clear" w:color="auto" w:fill="auto"/>
            <w:vAlign w:val="center"/>
            <w:hideMark/>
          </w:tcPr>
          <w:p w:rsidR="00690B3C" w:rsidRPr="00690B3C" w:rsidRDefault="00690B3C" w:rsidP="00690B3C">
            <w:pPr>
              <w:spacing w:line="240" w:lineRule="auto"/>
              <w:jc w:val="both"/>
              <w:rPr>
                <w:rFonts w:ascii="Arial" w:eastAsia="Times New Roman" w:hAnsi="Arial" w:cs="Arial"/>
                <w:sz w:val="20"/>
              </w:rPr>
            </w:pPr>
            <w:r w:rsidRPr="00690B3C">
              <w:rPr>
                <w:rFonts w:ascii="Arial" w:eastAsia="Times New Roman" w:hAnsi="Arial" w:cs="Arial"/>
                <w:sz w:val="20"/>
              </w:rPr>
              <w:t>Gestión Contractual-etapa contractual.</w:t>
            </w:r>
          </w:p>
        </w:tc>
        <w:tc>
          <w:tcPr>
            <w:tcW w:w="2485" w:type="pct"/>
            <w:shd w:val="clear" w:color="auto" w:fill="auto"/>
            <w:vAlign w:val="center"/>
            <w:hideMark/>
          </w:tcPr>
          <w:p w:rsidR="00690B3C" w:rsidRPr="00690B3C" w:rsidRDefault="00690B3C" w:rsidP="00690B3C">
            <w:pPr>
              <w:spacing w:line="240" w:lineRule="auto"/>
              <w:jc w:val="both"/>
              <w:rPr>
                <w:rFonts w:ascii="Arial" w:eastAsia="Times New Roman" w:hAnsi="Arial" w:cs="Arial"/>
                <w:sz w:val="20"/>
              </w:rPr>
            </w:pPr>
            <w:r w:rsidRPr="00690B3C">
              <w:rPr>
                <w:rFonts w:ascii="Arial" w:eastAsia="Times New Roman" w:hAnsi="Arial" w:cs="Arial"/>
                <w:sz w:val="20"/>
              </w:rPr>
              <w:t>Evaluación Proceso Conservación de la Infraestructura</w:t>
            </w:r>
          </w:p>
        </w:tc>
      </w:tr>
      <w:tr w:rsidR="00690B3C" w:rsidRPr="00690B3C" w:rsidTr="00AC30EC">
        <w:trPr>
          <w:trHeight w:val="240"/>
        </w:trPr>
        <w:tc>
          <w:tcPr>
            <w:tcW w:w="2515" w:type="pct"/>
            <w:shd w:val="clear" w:color="auto" w:fill="auto"/>
            <w:vAlign w:val="center"/>
            <w:hideMark/>
          </w:tcPr>
          <w:p w:rsidR="00690B3C" w:rsidRPr="00690B3C" w:rsidRDefault="00690B3C" w:rsidP="00690B3C">
            <w:pPr>
              <w:spacing w:line="240" w:lineRule="auto"/>
              <w:jc w:val="both"/>
              <w:rPr>
                <w:rFonts w:ascii="Arial" w:eastAsia="Times New Roman" w:hAnsi="Arial" w:cs="Arial"/>
                <w:sz w:val="20"/>
              </w:rPr>
            </w:pPr>
            <w:r w:rsidRPr="00690B3C">
              <w:rPr>
                <w:rFonts w:ascii="Arial" w:eastAsia="Times New Roman" w:hAnsi="Arial" w:cs="Arial"/>
                <w:sz w:val="20"/>
              </w:rPr>
              <w:t>Gestión Contractual etapa post-contractual.</w:t>
            </w:r>
          </w:p>
        </w:tc>
        <w:tc>
          <w:tcPr>
            <w:tcW w:w="2485" w:type="pct"/>
            <w:shd w:val="clear" w:color="auto" w:fill="auto"/>
            <w:vAlign w:val="center"/>
            <w:hideMark/>
          </w:tcPr>
          <w:p w:rsidR="00690B3C" w:rsidRPr="00690B3C" w:rsidRDefault="00690B3C" w:rsidP="00690B3C">
            <w:pPr>
              <w:spacing w:line="240" w:lineRule="auto"/>
              <w:jc w:val="both"/>
              <w:rPr>
                <w:rFonts w:ascii="Arial" w:eastAsia="Times New Roman" w:hAnsi="Arial" w:cs="Arial"/>
                <w:sz w:val="20"/>
              </w:rPr>
            </w:pPr>
            <w:r w:rsidRPr="00690B3C">
              <w:rPr>
                <w:rFonts w:ascii="Arial" w:eastAsia="Times New Roman" w:hAnsi="Arial" w:cs="Arial"/>
                <w:sz w:val="20"/>
              </w:rPr>
              <w:t>Evaluación Proceso Ejecución de Obras</w:t>
            </w:r>
          </w:p>
        </w:tc>
      </w:tr>
      <w:tr w:rsidR="00690B3C" w:rsidRPr="00690B3C" w:rsidTr="00AC30EC">
        <w:trPr>
          <w:trHeight w:val="240"/>
        </w:trPr>
        <w:tc>
          <w:tcPr>
            <w:tcW w:w="2515" w:type="pct"/>
            <w:shd w:val="clear" w:color="auto" w:fill="auto"/>
            <w:vAlign w:val="center"/>
            <w:hideMark/>
          </w:tcPr>
          <w:p w:rsidR="00690B3C" w:rsidRPr="00690B3C" w:rsidRDefault="00690B3C" w:rsidP="00690B3C">
            <w:pPr>
              <w:spacing w:line="240" w:lineRule="auto"/>
              <w:jc w:val="both"/>
              <w:rPr>
                <w:rFonts w:ascii="Arial" w:eastAsia="Times New Roman" w:hAnsi="Arial" w:cs="Arial"/>
                <w:sz w:val="20"/>
              </w:rPr>
            </w:pPr>
            <w:r w:rsidRPr="00690B3C">
              <w:rPr>
                <w:rFonts w:ascii="Arial" w:eastAsia="Times New Roman" w:hAnsi="Arial" w:cs="Arial"/>
                <w:sz w:val="20"/>
              </w:rPr>
              <w:t>Gestión Contractual etapa pre-contractual.</w:t>
            </w:r>
          </w:p>
        </w:tc>
        <w:tc>
          <w:tcPr>
            <w:tcW w:w="2485" w:type="pct"/>
            <w:shd w:val="clear" w:color="auto" w:fill="auto"/>
            <w:vAlign w:val="center"/>
            <w:hideMark/>
          </w:tcPr>
          <w:p w:rsidR="00690B3C" w:rsidRPr="00690B3C" w:rsidRDefault="00690B3C" w:rsidP="00690B3C">
            <w:pPr>
              <w:spacing w:line="240" w:lineRule="auto"/>
              <w:jc w:val="both"/>
              <w:rPr>
                <w:rFonts w:ascii="Arial" w:eastAsia="Times New Roman" w:hAnsi="Arial" w:cs="Arial"/>
                <w:sz w:val="20"/>
              </w:rPr>
            </w:pPr>
            <w:r w:rsidRPr="00690B3C">
              <w:rPr>
                <w:rFonts w:ascii="Arial" w:eastAsia="Times New Roman" w:hAnsi="Arial" w:cs="Arial"/>
                <w:sz w:val="20"/>
              </w:rPr>
              <w:t>Evaluación Proceso Gestión del Talento Humano</w:t>
            </w:r>
          </w:p>
        </w:tc>
      </w:tr>
      <w:tr w:rsidR="00690B3C" w:rsidRPr="00690B3C" w:rsidTr="00AC30EC">
        <w:trPr>
          <w:trHeight w:val="240"/>
        </w:trPr>
        <w:tc>
          <w:tcPr>
            <w:tcW w:w="2515" w:type="pct"/>
            <w:shd w:val="clear" w:color="auto" w:fill="auto"/>
            <w:vAlign w:val="center"/>
            <w:hideMark/>
          </w:tcPr>
          <w:p w:rsidR="00690B3C" w:rsidRPr="00690B3C" w:rsidRDefault="00690B3C" w:rsidP="00690B3C">
            <w:pPr>
              <w:spacing w:line="240" w:lineRule="auto"/>
              <w:jc w:val="both"/>
              <w:rPr>
                <w:rFonts w:ascii="Arial" w:eastAsia="Times New Roman" w:hAnsi="Arial" w:cs="Arial"/>
                <w:sz w:val="20"/>
              </w:rPr>
            </w:pPr>
            <w:r w:rsidRPr="00690B3C">
              <w:rPr>
                <w:rFonts w:ascii="Arial" w:eastAsia="Times New Roman" w:hAnsi="Arial" w:cs="Arial"/>
                <w:sz w:val="20"/>
              </w:rPr>
              <w:t>Comunicaciones.</w:t>
            </w:r>
          </w:p>
        </w:tc>
        <w:tc>
          <w:tcPr>
            <w:tcW w:w="2485" w:type="pct"/>
            <w:shd w:val="clear" w:color="auto" w:fill="auto"/>
            <w:vAlign w:val="center"/>
            <w:hideMark/>
          </w:tcPr>
          <w:p w:rsidR="00690B3C" w:rsidRPr="00690B3C" w:rsidRDefault="00690B3C" w:rsidP="00690B3C">
            <w:pPr>
              <w:spacing w:line="240" w:lineRule="auto"/>
              <w:jc w:val="both"/>
              <w:rPr>
                <w:rFonts w:ascii="Arial" w:eastAsia="Times New Roman" w:hAnsi="Arial" w:cs="Arial"/>
                <w:sz w:val="20"/>
              </w:rPr>
            </w:pPr>
            <w:r w:rsidRPr="00690B3C">
              <w:rPr>
                <w:rFonts w:ascii="Arial" w:eastAsia="Times New Roman" w:hAnsi="Arial" w:cs="Arial"/>
                <w:sz w:val="20"/>
              </w:rPr>
              <w:t>Evaluación Proceso Gestión Documental</w:t>
            </w:r>
          </w:p>
        </w:tc>
      </w:tr>
      <w:tr w:rsidR="00690B3C" w:rsidRPr="00690B3C" w:rsidTr="00AC30EC">
        <w:trPr>
          <w:trHeight w:val="240"/>
        </w:trPr>
        <w:tc>
          <w:tcPr>
            <w:tcW w:w="2515" w:type="pct"/>
            <w:shd w:val="clear" w:color="auto" w:fill="auto"/>
            <w:vAlign w:val="center"/>
            <w:hideMark/>
          </w:tcPr>
          <w:p w:rsidR="00690B3C" w:rsidRPr="00690B3C" w:rsidRDefault="00690B3C" w:rsidP="00690B3C">
            <w:pPr>
              <w:spacing w:line="240" w:lineRule="auto"/>
              <w:jc w:val="both"/>
              <w:rPr>
                <w:rFonts w:ascii="Arial" w:eastAsia="Times New Roman" w:hAnsi="Arial" w:cs="Arial"/>
                <w:sz w:val="20"/>
              </w:rPr>
            </w:pPr>
            <w:r w:rsidRPr="00690B3C">
              <w:rPr>
                <w:rFonts w:ascii="Arial" w:eastAsia="Times New Roman" w:hAnsi="Arial" w:cs="Arial"/>
                <w:sz w:val="20"/>
              </w:rPr>
              <w:t>Gestión Social y Participación Ciudadana</w:t>
            </w:r>
          </w:p>
        </w:tc>
        <w:tc>
          <w:tcPr>
            <w:tcW w:w="2485" w:type="pct"/>
            <w:shd w:val="clear" w:color="auto" w:fill="auto"/>
            <w:vAlign w:val="center"/>
            <w:hideMark/>
          </w:tcPr>
          <w:p w:rsidR="00690B3C" w:rsidRPr="00690B3C" w:rsidRDefault="00690B3C" w:rsidP="00690B3C">
            <w:pPr>
              <w:spacing w:line="240" w:lineRule="auto"/>
              <w:jc w:val="both"/>
              <w:rPr>
                <w:rFonts w:ascii="Arial" w:eastAsia="Times New Roman" w:hAnsi="Arial" w:cs="Arial"/>
                <w:sz w:val="20"/>
              </w:rPr>
            </w:pPr>
            <w:r w:rsidRPr="00690B3C">
              <w:rPr>
                <w:rFonts w:ascii="Arial" w:eastAsia="Times New Roman" w:hAnsi="Arial" w:cs="Arial"/>
                <w:sz w:val="20"/>
              </w:rPr>
              <w:t>Evaluación Proceso Gestión Financiera  **</w:t>
            </w:r>
          </w:p>
        </w:tc>
      </w:tr>
      <w:tr w:rsidR="00690B3C" w:rsidRPr="00690B3C" w:rsidTr="00AC30EC">
        <w:trPr>
          <w:trHeight w:val="240"/>
        </w:trPr>
        <w:tc>
          <w:tcPr>
            <w:tcW w:w="2515" w:type="pct"/>
            <w:shd w:val="clear" w:color="auto" w:fill="auto"/>
            <w:vAlign w:val="center"/>
            <w:hideMark/>
          </w:tcPr>
          <w:p w:rsidR="00690B3C" w:rsidRPr="00690B3C" w:rsidRDefault="00690B3C" w:rsidP="00690B3C">
            <w:pPr>
              <w:spacing w:line="240" w:lineRule="auto"/>
              <w:jc w:val="both"/>
              <w:rPr>
                <w:rFonts w:ascii="Arial" w:eastAsia="Times New Roman" w:hAnsi="Arial" w:cs="Arial"/>
                <w:sz w:val="20"/>
              </w:rPr>
            </w:pPr>
            <w:r w:rsidRPr="00690B3C">
              <w:rPr>
                <w:rFonts w:ascii="Arial" w:eastAsia="Times New Roman" w:hAnsi="Arial" w:cs="Arial"/>
                <w:sz w:val="20"/>
              </w:rPr>
              <w:t>Evaluación y Control</w:t>
            </w:r>
          </w:p>
        </w:tc>
        <w:tc>
          <w:tcPr>
            <w:tcW w:w="2485" w:type="pct"/>
            <w:shd w:val="clear" w:color="auto" w:fill="auto"/>
            <w:vAlign w:val="center"/>
            <w:hideMark/>
          </w:tcPr>
          <w:p w:rsidR="00690B3C" w:rsidRPr="00690B3C" w:rsidRDefault="00690B3C" w:rsidP="00690B3C">
            <w:pPr>
              <w:spacing w:line="240" w:lineRule="auto"/>
              <w:jc w:val="both"/>
              <w:rPr>
                <w:rFonts w:ascii="Arial" w:eastAsia="Times New Roman" w:hAnsi="Arial" w:cs="Arial"/>
                <w:sz w:val="20"/>
              </w:rPr>
            </w:pPr>
            <w:r w:rsidRPr="00690B3C">
              <w:rPr>
                <w:rFonts w:ascii="Arial" w:eastAsia="Times New Roman" w:hAnsi="Arial" w:cs="Arial"/>
                <w:sz w:val="20"/>
              </w:rPr>
              <w:t>Evaluación Proceso Gestión Predial</w:t>
            </w:r>
          </w:p>
        </w:tc>
      </w:tr>
      <w:tr w:rsidR="00690B3C" w:rsidRPr="00690B3C" w:rsidTr="00AC30EC">
        <w:trPr>
          <w:trHeight w:val="240"/>
        </w:trPr>
        <w:tc>
          <w:tcPr>
            <w:tcW w:w="2515" w:type="pct"/>
            <w:shd w:val="clear" w:color="auto" w:fill="auto"/>
            <w:vAlign w:val="center"/>
            <w:hideMark/>
          </w:tcPr>
          <w:p w:rsidR="00690B3C" w:rsidRPr="00690B3C" w:rsidRDefault="00690B3C" w:rsidP="00690B3C">
            <w:pPr>
              <w:spacing w:line="240" w:lineRule="auto"/>
              <w:jc w:val="both"/>
              <w:rPr>
                <w:rFonts w:ascii="Arial" w:eastAsia="Times New Roman" w:hAnsi="Arial" w:cs="Arial"/>
                <w:sz w:val="20"/>
              </w:rPr>
            </w:pPr>
            <w:r w:rsidRPr="00690B3C">
              <w:rPr>
                <w:rFonts w:ascii="Arial" w:eastAsia="Times New Roman" w:hAnsi="Arial" w:cs="Arial"/>
                <w:sz w:val="20"/>
              </w:rPr>
              <w:t>Mejoramiento Continuo</w:t>
            </w:r>
          </w:p>
        </w:tc>
        <w:tc>
          <w:tcPr>
            <w:tcW w:w="2485" w:type="pct"/>
            <w:shd w:val="clear" w:color="auto" w:fill="auto"/>
            <w:vAlign w:val="center"/>
            <w:hideMark/>
          </w:tcPr>
          <w:p w:rsidR="00690B3C" w:rsidRPr="00690B3C" w:rsidRDefault="00690B3C" w:rsidP="00690B3C">
            <w:pPr>
              <w:spacing w:line="240" w:lineRule="auto"/>
              <w:jc w:val="both"/>
              <w:rPr>
                <w:rFonts w:ascii="Arial" w:eastAsia="Times New Roman" w:hAnsi="Arial" w:cs="Arial"/>
                <w:sz w:val="20"/>
              </w:rPr>
            </w:pPr>
            <w:r w:rsidRPr="00690B3C">
              <w:rPr>
                <w:rFonts w:ascii="Arial" w:eastAsia="Times New Roman" w:hAnsi="Arial" w:cs="Arial"/>
                <w:sz w:val="20"/>
              </w:rPr>
              <w:t>Evaluación Proceso Recursos Físicos</w:t>
            </w:r>
          </w:p>
        </w:tc>
      </w:tr>
      <w:tr w:rsidR="00690B3C" w:rsidRPr="00690B3C" w:rsidTr="00AC30EC">
        <w:trPr>
          <w:trHeight w:val="240"/>
        </w:trPr>
        <w:tc>
          <w:tcPr>
            <w:tcW w:w="2515" w:type="pct"/>
            <w:shd w:val="clear" w:color="auto" w:fill="auto"/>
            <w:vAlign w:val="center"/>
            <w:hideMark/>
          </w:tcPr>
          <w:p w:rsidR="00690B3C" w:rsidRPr="00690B3C" w:rsidRDefault="00690B3C" w:rsidP="00690B3C">
            <w:pPr>
              <w:spacing w:line="240" w:lineRule="auto"/>
              <w:jc w:val="both"/>
              <w:rPr>
                <w:rFonts w:ascii="Arial" w:eastAsia="Times New Roman" w:hAnsi="Arial" w:cs="Arial"/>
                <w:sz w:val="20"/>
              </w:rPr>
            </w:pPr>
            <w:r w:rsidRPr="00690B3C">
              <w:rPr>
                <w:rFonts w:ascii="Arial" w:eastAsia="Times New Roman" w:hAnsi="Arial" w:cs="Arial"/>
                <w:sz w:val="20"/>
              </w:rPr>
              <w:lastRenderedPageBreak/>
              <w:t>Evaluación  Proceso Gestión de la Valorización y Financiación</w:t>
            </w:r>
          </w:p>
        </w:tc>
        <w:tc>
          <w:tcPr>
            <w:tcW w:w="2485" w:type="pct"/>
            <w:shd w:val="clear" w:color="auto" w:fill="auto"/>
            <w:vAlign w:val="center"/>
            <w:hideMark/>
          </w:tcPr>
          <w:p w:rsidR="00690B3C" w:rsidRPr="00690B3C" w:rsidRDefault="00690B3C" w:rsidP="00690B3C">
            <w:pPr>
              <w:spacing w:line="240" w:lineRule="auto"/>
              <w:jc w:val="both"/>
              <w:rPr>
                <w:rFonts w:ascii="Arial" w:eastAsia="Times New Roman" w:hAnsi="Arial" w:cs="Arial"/>
                <w:sz w:val="20"/>
              </w:rPr>
            </w:pPr>
            <w:r w:rsidRPr="00690B3C">
              <w:rPr>
                <w:rFonts w:ascii="Arial" w:eastAsia="Times New Roman" w:hAnsi="Arial" w:cs="Arial"/>
                <w:sz w:val="20"/>
              </w:rPr>
              <w:t xml:space="preserve">Gestión Integral de proyectos </w:t>
            </w:r>
          </w:p>
        </w:tc>
      </w:tr>
      <w:tr w:rsidR="00690B3C" w:rsidRPr="00690B3C" w:rsidTr="00AC30EC">
        <w:trPr>
          <w:trHeight w:val="240"/>
        </w:trPr>
        <w:tc>
          <w:tcPr>
            <w:tcW w:w="2515" w:type="pct"/>
            <w:shd w:val="clear" w:color="auto" w:fill="auto"/>
            <w:vAlign w:val="center"/>
          </w:tcPr>
          <w:p w:rsidR="00690B3C" w:rsidRPr="00690B3C" w:rsidRDefault="00690B3C" w:rsidP="00690B3C">
            <w:pPr>
              <w:spacing w:line="240" w:lineRule="auto"/>
              <w:jc w:val="both"/>
              <w:rPr>
                <w:rFonts w:ascii="Arial" w:eastAsia="Times New Roman" w:hAnsi="Arial" w:cs="Arial"/>
                <w:sz w:val="20"/>
              </w:rPr>
            </w:pPr>
            <w:r w:rsidRPr="00690B3C">
              <w:rPr>
                <w:rFonts w:ascii="Arial" w:eastAsia="Times New Roman" w:hAnsi="Arial" w:cs="Arial"/>
                <w:color w:val="000000"/>
                <w:sz w:val="20"/>
              </w:rPr>
              <w:t>Sistema Integrado de Gestión (</w:t>
            </w:r>
            <w:r w:rsidRPr="00690B3C">
              <w:rPr>
                <w:rFonts w:ascii="Arial" w:hAnsi="Arial" w:cs="Arial"/>
                <w:bCs/>
                <w:sz w:val="20"/>
                <w:lang w:eastAsia="es-CO"/>
              </w:rPr>
              <w:t xml:space="preserve">en el marco de esta auditoría, se evaluaron todos los procesos del Sistema Integrado de Gestión, con base en las normas </w:t>
            </w:r>
            <w:r w:rsidRPr="00690B3C">
              <w:rPr>
                <w:rFonts w:ascii="Arial" w:eastAsia="Arial" w:hAnsi="Arial" w:cs="Arial"/>
                <w:color w:val="000000"/>
                <w:sz w:val="20"/>
              </w:rPr>
              <w:t>NTCGP 1000:2009, ISO 9001:2008, NTC ISO 14001:2004, NTC OHSAS 18001 y la NTC ISO IEC 27001:2013)</w:t>
            </w:r>
          </w:p>
        </w:tc>
        <w:tc>
          <w:tcPr>
            <w:tcW w:w="2485" w:type="pct"/>
            <w:shd w:val="clear" w:color="auto" w:fill="auto"/>
            <w:vAlign w:val="center"/>
          </w:tcPr>
          <w:p w:rsidR="00690B3C" w:rsidRPr="00690B3C" w:rsidRDefault="00690B3C" w:rsidP="00690B3C">
            <w:pPr>
              <w:pStyle w:val="Prrafodelista"/>
              <w:jc w:val="both"/>
              <w:rPr>
                <w:rFonts w:ascii="Arial" w:eastAsia="Times New Roman" w:hAnsi="Arial" w:cs="Arial"/>
                <w:sz w:val="20"/>
              </w:rPr>
            </w:pPr>
          </w:p>
        </w:tc>
      </w:tr>
    </w:tbl>
    <w:p w:rsidR="00690B3C" w:rsidRDefault="00690B3C" w:rsidP="00690B3C">
      <w:pPr>
        <w:pStyle w:val="Descripcin"/>
        <w:spacing w:after="0"/>
        <w:rPr>
          <w:rFonts w:ascii="Arial" w:hAnsi="Arial" w:cs="Arial"/>
        </w:rPr>
      </w:pPr>
    </w:p>
    <w:p w:rsidR="00551731" w:rsidRPr="00551731" w:rsidRDefault="00551731" w:rsidP="00551731"/>
    <w:p w:rsidR="00690B3C" w:rsidRPr="00690B3C" w:rsidRDefault="00690B3C" w:rsidP="00690B3C">
      <w:pPr>
        <w:pStyle w:val="Descripcin"/>
        <w:spacing w:after="0"/>
        <w:rPr>
          <w:rFonts w:ascii="Arial" w:eastAsia="Arial" w:hAnsi="Arial" w:cs="Arial"/>
          <w:color w:val="000000"/>
        </w:rPr>
      </w:pPr>
      <w:bookmarkStart w:id="47" w:name="_Toc27665388"/>
      <w:r w:rsidRPr="00690B3C">
        <w:rPr>
          <w:rFonts w:ascii="Arial" w:hAnsi="Arial" w:cs="Arial"/>
        </w:rPr>
        <w:t>Actividades de Evaluación y control 2018</w:t>
      </w:r>
      <w:bookmarkEnd w:id="47"/>
    </w:p>
    <w:tbl>
      <w:tblPr>
        <w:tblStyle w:val="Tablaconcuadrcula"/>
        <w:tblW w:w="0" w:type="auto"/>
        <w:tblInd w:w="108" w:type="dxa"/>
        <w:tblLook w:val="04A0" w:firstRow="1" w:lastRow="0" w:firstColumn="1" w:lastColumn="0" w:noHBand="0" w:noVBand="1"/>
      </w:tblPr>
      <w:tblGrid>
        <w:gridCol w:w="5304"/>
        <w:gridCol w:w="3416"/>
      </w:tblGrid>
      <w:tr w:rsidR="00690B3C" w:rsidRPr="00690B3C" w:rsidTr="00AC30EC">
        <w:tc>
          <w:tcPr>
            <w:tcW w:w="5347" w:type="dxa"/>
          </w:tcPr>
          <w:p w:rsidR="00690B3C" w:rsidRPr="00690B3C" w:rsidRDefault="00690B3C" w:rsidP="00690B3C">
            <w:pPr>
              <w:widowControl w:val="0"/>
              <w:suppressAutoHyphens/>
              <w:jc w:val="both"/>
              <w:rPr>
                <w:rFonts w:ascii="Arial" w:hAnsi="Arial" w:cs="Arial"/>
                <w:bCs/>
                <w:sz w:val="20"/>
                <w:lang w:eastAsia="es-CO"/>
              </w:rPr>
            </w:pPr>
            <w:r w:rsidRPr="00690B3C">
              <w:rPr>
                <w:rFonts w:ascii="Arial" w:hAnsi="Arial" w:cs="Arial"/>
                <w:bCs/>
                <w:sz w:val="20"/>
                <w:lang w:eastAsia="es-CO"/>
              </w:rPr>
              <w:t xml:space="preserve">Conservación de infraestructura </w:t>
            </w:r>
          </w:p>
        </w:tc>
        <w:tc>
          <w:tcPr>
            <w:tcW w:w="3442" w:type="dxa"/>
          </w:tcPr>
          <w:p w:rsidR="00690B3C" w:rsidRPr="00690B3C" w:rsidRDefault="00690B3C" w:rsidP="00690B3C">
            <w:pPr>
              <w:widowControl w:val="0"/>
              <w:suppressAutoHyphens/>
              <w:jc w:val="both"/>
              <w:rPr>
                <w:rFonts w:ascii="Arial" w:hAnsi="Arial" w:cs="Arial"/>
                <w:bCs/>
                <w:sz w:val="20"/>
                <w:lang w:eastAsia="es-CO"/>
              </w:rPr>
            </w:pPr>
            <w:r w:rsidRPr="00690B3C">
              <w:rPr>
                <w:rFonts w:ascii="Arial" w:hAnsi="Arial" w:cs="Arial"/>
                <w:bCs/>
                <w:sz w:val="20"/>
                <w:lang w:eastAsia="es-CO"/>
              </w:rPr>
              <w:t>Gestión predial</w:t>
            </w:r>
          </w:p>
        </w:tc>
      </w:tr>
      <w:tr w:rsidR="00690B3C" w:rsidRPr="00690B3C" w:rsidTr="00AC30EC">
        <w:trPr>
          <w:trHeight w:val="181"/>
        </w:trPr>
        <w:tc>
          <w:tcPr>
            <w:tcW w:w="5347" w:type="dxa"/>
          </w:tcPr>
          <w:p w:rsidR="00690B3C" w:rsidRPr="00690B3C" w:rsidRDefault="00690B3C" w:rsidP="00690B3C">
            <w:pPr>
              <w:widowControl w:val="0"/>
              <w:suppressAutoHyphens/>
              <w:jc w:val="both"/>
              <w:rPr>
                <w:rFonts w:ascii="Arial" w:hAnsi="Arial" w:cs="Arial"/>
                <w:bCs/>
                <w:sz w:val="20"/>
                <w:lang w:eastAsia="es-CO"/>
              </w:rPr>
            </w:pPr>
            <w:r w:rsidRPr="00690B3C">
              <w:rPr>
                <w:rFonts w:ascii="Arial" w:hAnsi="Arial" w:cs="Arial"/>
                <w:bCs/>
                <w:sz w:val="20"/>
                <w:lang w:eastAsia="es-CO"/>
              </w:rPr>
              <w:t>Gestión contractual-etapa precontractual y contractual.</w:t>
            </w:r>
          </w:p>
        </w:tc>
        <w:tc>
          <w:tcPr>
            <w:tcW w:w="3442" w:type="dxa"/>
          </w:tcPr>
          <w:p w:rsidR="00690B3C" w:rsidRPr="00690B3C" w:rsidRDefault="00690B3C" w:rsidP="00690B3C">
            <w:pPr>
              <w:widowControl w:val="0"/>
              <w:suppressAutoHyphens/>
              <w:jc w:val="both"/>
              <w:rPr>
                <w:rFonts w:ascii="Arial" w:hAnsi="Arial" w:cs="Arial"/>
                <w:bCs/>
                <w:sz w:val="20"/>
                <w:lang w:eastAsia="es-CO"/>
              </w:rPr>
            </w:pPr>
            <w:r w:rsidRPr="00690B3C">
              <w:rPr>
                <w:rFonts w:ascii="Arial" w:hAnsi="Arial" w:cs="Arial"/>
                <w:bCs/>
                <w:sz w:val="20"/>
                <w:lang w:eastAsia="es-CO"/>
              </w:rPr>
              <w:t>Diseño de proyectos.</w:t>
            </w:r>
            <w:r w:rsidRPr="00690B3C">
              <w:rPr>
                <w:rFonts w:ascii="Arial" w:hAnsi="Arial" w:cs="Arial"/>
                <w:bCs/>
                <w:sz w:val="20"/>
                <w:lang w:eastAsia="es-CO"/>
              </w:rPr>
              <w:tab/>
            </w:r>
          </w:p>
        </w:tc>
      </w:tr>
      <w:tr w:rsidR="00690B3C" w:rsidRPr="00690B3C" w:rsidTr="00AC30EC">
        <w:tc>
          <w:tcPr>
            <w:tcW w:w="5347" w:type="dxa"/>
          </w:tcPr>
          <w:p w:rsidR="00690B3C" w:rsidRPr="00690B3C" w:rsidRDefault="00690B3C" w:rsidP="00690B3C">
            <w:pPr>
              <w:widowControl w:val="0"/>
              <w:suppressAutoHyphens/>
              <w:jc w:val="both"/>
              <w:rPr>
                <w:rFonts w:ascii="Arial" w:hAnsi="Arial" w:cs="Arial"/>
                <w:bCs/>
                <w:sz w:val="20"/>
                <w:lang w:eastAsia="es-CO"/>
              </w:rPr>
            </w:pPr>
            <w:r w:rsidRPr="00690B3C">
              <w:rPr>
                <w:rFonts w:ascii="Arial" w:hAnsi="Arial" w:cs="Arial"/>
                <w:bCs/>
                <w:sz w:val="20"/>
                <w:lang w:eastAsia="es-CO"/>
              </w:rPr>
              <w:t xml:space="preserve">Sistema Integrado de Gestión (en el marco de esta auditoría, se evaluaron los 22 procesos del Sistema Integrado de Gestión, con base en las normas </w:t>
            </w:r>
            <w:r w:rsidRPr="00690B3C">
              <w:rPr>
                <w:rFonts w:ascii="Arial" w:eastAsia="Arial" w:hAnsi="Arial" w:cs="Arial"/>
                <w:color w:val="000000"/>
                <w:sz w:val="20"/>
              </w:rPr>
              <w:t>NTC ISO 9001:2015, NTC ISO 14001:2015</w:t>
            </w:r>
            <w:r w:rsidRPr="00690B3C">
              <w:rPr>
                <w:rFonts w:ascii="Arial" w:hAnsi="Arial" w:cs="Arial"/>
                <w:bCs/>
                <w:sz w:val="20"/>
                <w:lang w:eastAsia="es-CO"/>
              </w:rPr>
              <w:t>).</w:t>
            </w:r>
          </w:p>
        </w:tc>
        <w:tc>
          <w:tcPr>
            <w:tcW w:w="3442" w:type="dxa"/>
          </w:tcPr>
          <w:p w:rsidR="00690B3C" w:rsidRPr="00690B3C" w:rsidRDefault="00690B3C" w:rsidP="00690B3C">
            <w:pPr>
              <w:widowControl w:val="0"/>
              <w:suppressAutoHyphens/>
              <w:jc w:val="both"/>
              <w:rPr>
                <w:rFonts w:ascii="Arial" w:hAnsi="Arial" w:cs="Arial"/>
                <w:bCs/>
                <w:sz w:val="20"/>
                <w:lang w:eastAsia="es-CO"/>
              </w:rPr>
            </w:pPr>
            <w:r w:rsidRPr="00690B3C">
              <w:rPr>
                <w:rFonts w:ascii="Arial" w:hAnsi="Arial" w:cs="Arial"/>
                <w:bCs/>
                <w:sz w:val="20"/>
                <w:lang w:eastAsia="es-CO"/>
              </w:rPr>
              <w:t>Gestión financiera.</w:t>
            </w:r>
          </w:p>
        </w:tc>
      </w:tr>
      <w:tr w:rsidR="00690B3C" w:rsidRPr="00690B3C" w:rsidTr="00AC30EC">
        <w:tc>
          <w:tcPr>
            <w:tcW w:w="5347" w:type="dxa"/>
          </w:tcPr>
          <w:p w:rsidR="00690B3C" w:rsidRPr="00690B3C" w:rsidRDefault="00690B3C" w:rsidP="00690B3C">
            <w:pPr>
              <w:widowControl w:val="0"/>
              <w:suppressAutoHyphens/>
              <w:jc w:val="both"/>
              <w:rPr>
                <w:rFonts w:ascii="Arial" w:hAnsi="Arial" w:cs="Arial"/>
                <w:bCs/>
                <w:sz w:val="20"/>
                <w:lang w:eastAsia="es-CO"/>
              </w:rPr>
            </w:pPr>
            <w:r w:rsidRPr="00690B3C">
              <w:rPr>
                <w:rFonts w:ascii="Arial" w:hAnsi="Arial" w:cs="Arial"/>
                <w:bCs/>
                <w:sz w:val="20"/>
                <w:lang w:eastAsia="es-CO"/>
              </w:rPr>
              <w:t xml:space="preserve">Liquidación de contratos </w:t>
            </w:r>
          </w:p>
        </w:tc>
        <w:tc>
          <w:tcPr>
            <w:tcW w:w="3442" w:type="dxa"/>
          </w:tcPr>
          <w:p w:rsidR="00690B3C" w:rsidRPr="00690B3C" w:rsidRDefault="00690B3C" w:rsidP="00690B3C">
            <w:pPr>
              <w:widowControl w:val="0"/>
              <w:suppressAutoHyphens/>
              <w:jc w:val="both"/>
              <w:rPr>
                <w:rFonts w:ascii="Arial" w:hAnsi="Arial" w:cs="Arial"/>
                <w:bCs/>
                <w:sz w:val="20"/>
                <w:lang w:eastAsia="es-CO"/>
              </w:rPr>
            </w:pPr>
            <w:r w:rsidRPr="00690B3C">
              <w:rPr>
                <w:rFonts w:ascii="Arial" w:hAnsi="Arial" w:cs="Arial"/>
                <w:bCs/>
                <w:sz w:val="20"/>
                <w:lang w:eastAsia="es-CO"/>
              </w:rPr>
              <w:t>Gestión de recursos físicos.</w:t>
            </w:r>
          </w:p>
        </w:tc>
      </w:tr>
      <w:tr w:rsidR="00690B3C" w:rsidRPr="00690B3C" w:rsidTr="00AC30EC">
        <w:tc>
          <w:tcPr>
            <w:tcW w:w="5347" w:type="dxa"/>
          </w:tcPr>
          <w:p w:rsidR="00690B3C" w:rsidRPr="00690B3C" w:rsidRDefault="00690B3C" w:rsidP="00690B3C">
            <w:pPr>
              <w:widowControl w:val="0"/>
              <w:suppressAutoHyphens/>
              <w:jc w:val="both"/>
              <w:rPr>
                <w:rFonts w:ascii="Arial" w:hAnsi="Arial" w:cs="Arial"/>
                <w:bCs/>
                <w:sz w:val="20"/>
                <w:lang w:eastAsia="es-CO"/>
              </w:rPr>
            </w:pPr>
            <w:r w:rsidRPr="00690B3C">
              <w:rPr>
                <w:rFonts w:ascii="Arial" w:hAnsi="Arial" w:cs="Arial"/>
                <w:bCs/>
                <w:sz w:val="20"/>
                <w:lang w:eastAsia="es-CO"/>
              </w:rPr>
              <w:t>Gestión de Valorización y financiación.</w:t>
            </w:r>
          </w:p>
        </w:tc>
        <w:tc>
          <w:tcPr>
            <w:tcW w:w="3442" w:type="dxa"/>
          </w:tcPr>
          <w:p w:rsidR="00690B3C" w:rsidRPr="00690B3C" w:rsidRDefault="00690B3C" w:rsidP="00690B3C">
            <w:pPr>
              <w:widowControl w:val="0"/>
              <w:suppressAutoHyphens/>
              <w:jc w:val="both"/>
              <w:rPr>
                <w:rFonts w:ascii="Arial" w:hAnsi="Arial" w:cs="Arial"/>
                <w:bCs/>
                <w:sz w:val="20"/>
                <w:lang w:eastAsia="es-CO"/>
              </w:rPr>
            </w:pPr>
            <w:r w:rsidRPr="00690B3C">
              <w:rPr>
                <w:rFonts w:ascii="Arial" w:hAnsi="Arial" w:cs="Arial"/>
                <w:bCs/>
                <w:sz w:val="20"/>
                <w:lang w:eastAsia="es-CO"/>
              </w:rPr>
              <w:t>Ejecución de obras.</w:t>
            </w:r>
          </w:p>
        </w:tc>
      </w:tr>
    </w:tbl>
    <w:p w:rsidR="00690B3C" w:rsidRPr="00690B3C" w:rsidRDefault="00690B3C" w:rsidP="00690B3C">
      <w:pPr>
        <w:widowControl w:val="0"/>
        <w:pBdr>
          <w:top w:val="nil"/>
          <w:left w:val="nil"/>
          <w:bottom w:val="nil"/>
          <w:right w:val="nil"/>
          <w:between w:val="nil"/>
        </w:pBdr>
        <w:spacing w:line="276" w:lineRule="auto"/>
        <w:jc w:val="both"/>
        <w:rPr>
          <w:rFonts w:ascii="Arial" w:eastAsia="Arial" w:hAnsi="Arial" w:cs="Arial"/>
          <w:color w:val="000000"/>
        </w:rPr>
      </w:pPr>
    </w:p>
    <w:p w:rsidR="00690B3C" w:rsidRPr="00690B3C" w:rsidRDefault="00690B3C" w:rsidP="00690B3C">
      <w:pPr>
        <w:pStyle w:val="Descripcin"/>
        <w:spacing w:after="0"/>
        <w:rPr>
          <w:rFonts w:ascii="Arial" w:eastAsia="Arial" w:hAnsi="Arial" w:cs="Arial"/>
          <w:color w:val="000000"/>
        </w:rPr>
      </w:pPr>
      <w:bookmarkStart w:id="48" w:name="_Toc27665389"/>
      <w:r w:rsidRPr="00690B3C">
        <w:rPr>
          <w:rFonts w:ascii="Arial" w:hAnsi="Arial" w:cs="Arial"/>
        </w:rPr>
        <w:t>Actividades de Evaluación y control 2019</w:t>
      </w:r>
      <w:bookmarkEnd w:id="48"/>
    </w:p>
    <w:tbl>
      <w:tblPr>
        <w:tblStyle w:val="Tablaconcuadrcula"/>
        <w:tblW w:w="0" w:type="auto"/>
        <w:tblInd w:w="108" w:type="dxa"/>
        <w:tblLook w:val="04A0" w:firstRow="1" w:lastRow="0" w:firstColumn="1" w:lastColumn="0" w:noHBand="0" w:noVBand="1"/>
      </w:tblPr>
      <w:tblGrid>
        <w:gridCol w:w="5177"/>
        <w:gridCol w:w="3543"/>
      </w:tblGrid>
      <w:tr w:rsidR="00690B3C" w:rsidRPr="00690B3C" w:rsidTr="00AC30EC">
        <w:trPr>
          <w:trHeight w:val="261"/>
        </w:trPr>
        <w:tc>
          <w:tcPr>
            <w:tcW w:w="5183" w:type="dxa"/>
          </w:tcPr>
          <w:p w:rsidR="00690B3C" w:rsidRPr="00690B3C" w:rsidRDefault="00690B3C" w:rsidP="00690B3C">
            <w:pPr>
              <w:widowControl w:val="0"/>
              <w:suppressAutoHyphens/>
              <w:jc w:val="both"/>
              <w:rPr>
                <w:rFonts w:ascii="Arial" w:hAnsi="Arial" w:cs="Arial"/>
                <w:bCs/>
                <w:sz w:val="20"/>
                <w:lang w:eastAsia="es-CO"/>
              </w:rPr>
            </w:pPr>
            <w:r w:rsidRPr="00690B3C">
              <w:rPr>
                <w:rFonts w:ascii="Arial" w:hAnsi="Arial" w:cs="Arial"/>
                <w:bCs/>
                <w:sz w:val="20"/>
                <w:lang w:eastAsia="es-CO"/>
              </w:rPr>
              <w:t>Conservación de infraestructura</w:t>
            </w:r>
          </w:p>
        </w:tc>
        <w:tc>
          <w:tcPr>
            <w:tcW w:w="3547" w:type="dxa"/>
          </w:tcPr>
          <w:p w:rsidR="00690B3C" w:rsidRPr="00690B3C" w:rsidRDefault="00690B3C" w:rsidP="00690B3C">
            <w:pPr>
              <w:widowControl w:val="0"/>
              <w:suppressAutoHyphens/>
              <w:jc w:val="both"/>
              <w:rPr>
                <w:rFonts w:ascii="Arial" w:hAnsi="Arial" w:cs="Arial"/>
                <w:bCs/>
                <w:sz w:val="20"/>
                <w:lang w:eastAsia="es-CO"/>
              </w:rPr>
            </w:pPr>
            <w:r w:rsidRPr="00690B3C">
              <w:rPr>
                <w:rFonts w:ascii="Arial" w:hAnsi="Arial" w:cs="Arial"/>
                <w:bCs/>
                <w:sz w:val="20"/>
                <w:lang w:eastAsia="es-CO"/>
              </w:rPr>
              <w:t>Gestión predial</w:t>
            </w:r>
          </w:p>
        </w:tc>
      </w:tr>
      <w:tr w:rsidR="00690B3C" w:rsidRPr="00690B3C" w:rsidTr="00AC30EC">
        <w:trPr>
          <w:trHeight w:val="181"/>
        </w:trPr>
        <w:tc>
          <w:tcPr>
            <w:tcW w:w="5183" w:type="dxa"/>
          </w:tcPr>
          <w:p w:rsidR="00690B3C" w:rsidRPr="00690B3C" w:rsidRDefault="00690B3C" w:rsidP="00690B3C">
            <w:pPr>
              <w:widowControl w:val="0"/>
              <w:suppressAutoHyphens/>
              <w:jc w:val="both"/>
              <w:rPr>
                <w:rFonts w:ascii="Arial" w:hAnsi="Arial" w:cs="Arial"/>
                <w:bCs/>
                <w:sz w:val="20"/>
                <w:lang w:eastAsia="es-CO"/>
              </w:rPr>
            </w:pPr>
            <w:r w:rsidRPr="00690B3C">
              <w:rPr>
                <w:rFonts w:ascii="Arial" w:hAnsi="Arial" w:cs="Arial"/>
                <w:bCs/>
                <w:sz w:val="20"/>
                <w:lang w:eastAsia="es-CO"/>
              </w:rPr>
              <w:t>Gestión contractual</w:t>
            </w:r>
          </w:p>
        </w:tc>
        <w:tc>
          <w:tcPr>
            <w:tcW w:w="3547" w:type="dxa"/>
          </w:tcPr>
          <w:p w:rsidR="00690B3C" w:rsidRPr="00690B3C" w:rsidRDefault="00690B3C" w:rsidP="00690B3C">
            <w:pPr>
              <w:widowControl w:val="0"/>
              <w:suppressAutoHyphens/>
              <w:jc w:val="both"/>
              <w:rPr>
                <w:rFonts w:ascii="Arial" w:hAnsi="Arial" w:cs="Arial"/>
                <w:bCs/>
                <w:sz w:val="20"/>
                <w:lang w:eastAsia="es-CO"/>
              </w:rPr>
            </w:pPr>
            <w:r w:rsidRPr="00690B3C">
              <w:rPr>
                <w:rFonts w:ascii="Arial" w:hAnsi="Arial" w:cs="Arial"/>
                <w:bCs/>
                <w:sz w:val="20"/>
                <w:lang w:eastAsia="es-CO"/>
              </w:rPr>
              <w:t>Diseño de proyectos.</w:t>
            </w:r>
            <w:r w:rsidRPr="00690B3C">
              <w:rPr>
                <w:rFonts w:ascii="Arial" w:hAnsi="Arial" w:cs="Arial"/>
                <w:bCs/>
                <w:sz w:val="20"/>
                <w:lang w:eastAsia="es-CO"/>
              </w:rPr>
              <w:tab/>
            </w:r>
          </w:p>
        </w:tc>
      </w:tr>
      <w:tr w:rsidR="00690B3C" w:rsidRPr="00690B3C" w:rsidTr="00AC30EC">
        <w:tc>
          <w:tcPr>
            <w:tcW w:w="5183" w:type="dxa"/>
          </w:tcPr>
          <w:p w:rsidR="00690B3C" w:rsidRPr="00690B3C" w:rsidRDefault="00690B3C" w:rsidP="00690B3C">
            <w:pPr>
              <w:widowControl w:val="0"/>
              <w:suppressAutoHyphens/>
              <w:jc w:val="both"/>
              <w:rPr>
                <w:rFonts w:ascii="Arial" w:hAnsi="Arial" w:cs="Arial"/>
                <w:bCs/>
                <w:sz w:val="20"/>
                <w:lang w:eastAsia="es-CO"/>
              </w:rPr>
            </w:pPr>
            <w:r w:rsidRPr="00690B3C">
              <w:rPr>
                <w:rFonts w:ascii="Arial" w:hAnsi="Arial" w:cs="Arial"/>
                <w:bCs/>
                <w:sz w:val="20"/>
                <w:lang w:eastAsia="es-CO"/>
              </w:rPr>
              <w:t xml:space="preserve">Sistema Integrado de Gestión (en el marco de esta auditoría, se evaluaron los 22 procesos del Sistema Integrado de Gestión, con base en las normas </w:t>
            </w:r>
            <w:r w:rsidRPr="00690B3C">
              <w:rPr>
                <w:rFonts w:ascii="Arial" w:eastAsia="Arial" w:hAnsi="Arial" w:cs="Arial"/>
                <w:color w:val="000000"/>
                <w:sz w:val="20"/>
              </w:rPr>
              <w:t>NTC ISO 9001:2015, NTC ISO 14001:2015, NTC ISO 45001:2018, ISO IEC 27001:2013 y requisitos legales aplicables</w:t>
            </w:r>
            <w:r w:rsidRPr="00690B3C">
              <w:rPr>
                <w:rFonts w:ascii="Arial" w:hAnsi="Arial" w:cs="Arial"/>
                <w:bCs/>
                <w:sz w:val="20"/>
                <w:lang w:eastAsia="es-CO"/>
              </w:rPr>
              <w:t>).</w:t>
            </w:r>
          </w:p>
        </w:tc>
        <w:tc>
          <w:tcPr>
            <w:tcW w:w="3547" w:type="dxa"/>
          </w:tcPr>
          <w:p w:rsidR="00690B3C" w:rsidRPr="00690B3C" w:rsidRDefault="00690B3C" w:rsidP="00690B3C">
            <w:pPr>
              <w:widowControl w:val="0"/>
              <w:suppressAutoHyphens/>
              <w:jc w:val="both"/>
              <w:rPr>
                <w:rFonts w:ascii="Arial" w:hAnsi="Arial" w:cs="Arial"/>
                <w:bCs/>
                <w:sz w:val="20"/>
                <w:lang w:eastAsia="es-CO"/>
              </w:rPr>
            </w:pPr>
            <w:r w:rsidRPr="00690B3C">
              <w:rPr>
                <w:rFonts w:ascii="Arial" w:hAnsi="Arial" w:cs="Arial"/>
                <w:bCs/>
                <w:sz w:val="20"/>
                <w:lang w:eastAsia="es-CO"/>
              </w:rPr>
              <w:t>Gestión financiera.</w:t>
            </w:r>
          </w:p>
        </w:tc>
      </w:tr>
      <w:tr w:rsidR="00690B3C" w:rsidRPr="00690B3C" w:rsidTr="00AC30EC">
        <w:tc>
          <w:tcPr>
            <w:tcW w:w="5183" w:type="dxa"/>
          </w:tcPr>
          <w:p w:rsidR="00690B3C" w:rsidRPr="00690B3C" w:rsidRDefault="00690B3C" w:rsidP="00690B3C">
            <w:pPr>
              <w:widowControl w:val="0"/>
              <w:suppressAutoHyphens/>
              <w:jc w:val="both"/>
              <w:rPr>
                <w:rFonts w:ascii="Arial" w:hAnsi="Arial" w:cs="Arial"/>
                <w:bCs/>
                <w:sz w:val="20"/>
                <w:lang w:eastAsia="es-CO"/>
              </w:rPr>
            </w:pPr>
            <w:r w:rsidRPr="00690B3C">
              <w:rPr>
                <w:rFonts w:ascii="Arial" w:hAnsi="Arial" w:cs="Arial"/>
                <w:bCs/>
                <w:sz w:val="20"/>
                <w:lang w:eastAsia="es-CO"/>
              </w:rPr>
              <w:t xml:space="preserve">Gestión documental </w:t>
            </w:r>
          </w:p>
        </w:tc>
        <w:tc>
          <w:tcPr>
            <w:tcW w:w="3547" w:type="dxa"/>
          </w:tcPr>
          <w:p w:rsidR="00690B3C" w:rsidRPr="00690B3C" w:rsidRDefault="00690B3C" w:rsidP="00690B3C">
            <w:pPr>
              <w:widowControl w:val="0"/>
              <w:suppressAutoHyphens/>
              <w:jc w:val="both"/>
              <w:rPr>
                <w:rFonts w:ascii="Arial" w:hAnsi="Arial" w:cs="Arial"/>
                <w:bCs/>
                <w:sz w:val="20"/>
                <w:lang w:eastAsia="es-CO"/>
              </w:rPr>
            </w:pPr>
            <w:r w:rsidRPr="00690B3C">
              <w:rPr>
                <w:rFonts w:ascii="Arial" w:hAnsi="Arial" w:cs="Arial"/>
                <w:bCs/>
                <w:sz w:val="20"/>
                <w:lang w:eastAsia="es-CO"/>
              </w:rPr>
              <w:t>Ejecución de obras.</w:t>
            </w:r>
          </w:p>
        </w:tc>
      </w:tr>
      <w:tr w:rsidR="00690B3C" w:rsidRPr="00690B3C" w:rsidTr="00AC30EC">
        <w:tc>
          <w:tcPr>
            <w:tcW w:w="5183" w:type="dxa"/>
          </w:tcPr>
          <w:p w:rsidR="00690B3C" w:rsidRPr="00690B3C" w:rsidRDefault="00690B3C" w:rsidP="00690B3C">
            <w:pPr>
              <w:widowControl w:val="0"/>
              <w:suppressAutoHyphens/>
              <w:jc w:val="both"/>
              <w:rPr>
                <w:rFonts w:ascii="Arial" w:hAnsi="Arial" w:cs="Arial"/>
                <w:bCs/>
                <w:sz w:val="20"/>
                <w:lang w:eastAsia="es-CO"/>
              </w:rPr>
            </w:pPr>
            <w:r w:rsidRPr="00690B3C">
              <w:rPr>
                <w:rFonts w:ascii="Arial" w:hAnsi="Arial" w:cs="Arial"/>
                <w:bCs/>
                <w:sz w:val="20"/>
                <w:lang w:eastAsia="es-CO"/>
              </w:rPr>
              <w:t>Gestión de Valorización y financiación.</w:t>
            </w:r>
          </w:p>
        </w:tc>
        <w:tc>
          <w:tcPr>
            <w:tcW w:w="3547" w:type="dxa"/>
          </w:tcPr>
          <w:p w:rsidR="00690B3C" w:rsidRPr="00690B3C" w:rsidRDefault="00690B3C" w:rsidP="00690B3C">
            <w:pPr>
              <w:widowControl w:val="0"/>
              <w:suppressAutoHyphens/>
              <w:jc w:val="both"/>
              <w:rPr>
                <w:rFonts w:ascii="Arial" w:hAnsi="Arial" w:cs="Arial"/>
                <w:bCs/>
                <w:sz w:val="20"/>
                <w:lang w:eastAsia="es-CO"/>
              </w:rPr>
            </w:pPr>
            <w:r w:rsidRPr="00690B3C">
              <w:rPr>
                <w:rFonts w:ascii="Arial" w:eastAsia="Arial" w:hAnsi="Arial" w:cs="Arial"/>
                <w:sz w:val="20"/>
              </w:rPr>
              <w:t>Gestión de Tecnologías de la Información y Comunicación</w:t>
            </w:r>
          </w:p>
        </w:tc>
      </w:tr>
    </w:tbl>
    <w:p w:rsidR="00690B3C" w:rsidRPr="00690B3C" w:rsidRDefault="00690B3C" w:rsidP="00690B3C">
      <w:pPr>
        <w:widowControl w:val="0"/>
        <w:pBdr>
          <w:top w:val="nil"/>
          <w:left w:val="nil"/>
          <w:bottom w:val="nil"/>
          <w:right w:val="nil"/>
          <w:between w:val="nil"/>
        </w:pBdr>
        <w:jc w:val="both"/>
        <w:rPr>
          <w:rFonts w:ascii="Arial" w:eastAsia="Arial" w:hAnsi="Arial" w:cs="Arial"/>
          <w:color w:val="000000"/>
        </w:rPr>
      </w:pPr>
    </w:p>
    <w:p w:rsidR="00690B3C" w:rsidRDefault="00690B3C" w:rsidP="00D0183B">
      <w:pPr>
        <w:widowControl w:val="0"/>
        <w:numPr>
          <w:ilvl w:val="0"/>
          <w:numId w:val="15"/>
        </w:numPr>
        <w:pBdr>
          <w:top w:val="nil"/>
          <w:left w:val="nil"/>
          <w:bottom w:val="nil"/>
          <w:right w:val="nil"/>
          <w:between w:val="nil"/>
        </w:pBdr>
        <w:spacing w:after="0" w:line="240" w:lineRule="auto"/>
        <w:ind w:left="284" w:hanging="284"/>
        <w:jc w:val="both"/>
        <w:rPr>
          <w:rFonts w:ascii="Arial" w:eastAsia="Arial" w:hAnsi="Arial" w:cs="Arial"/>
          <w:color w:val="000000"/>
        </w:rPr>
      </w:pPr>
      <w:r w:rsidRPr="00690B3C">
        <w:rPr>
          <w:rFonts w:ascii="Arial" w:eastAsia="Arial" w:hAnsi="Arial" w:cs="Arial"/>
          <w:color w:val="000000"/>
        </w:rPr>
        <w:t>Se realizaron las siguientes actividades de seguimiento:</w:t>
      </w:r>
    </w:p>
    <w:p w:rsidR="00551731" w:rsidRPr="00690B3C" w:rsidRDefault="00551731" w:rsidP="00551731">
      <w:pPr>
        <w:widowControl w:val="0"/>
        <w:pBdr>
          <w:top w:val="nil"/>
          <w:left w:val="nil"/>
          <w:bottom w:val="nil"/>
          <w:right w:val="nil"/>
          <w:between w:val="nil"/>
        </w:pBdr>
        <w:spacing w:after="0" w:line="240" w:lineRule="auto"/>
        <w:ind w:left="284"/>
        <w:jc w:val="both"/>
        <w:rPr>
          <w:rFonts w:ascii="Arial" w:eastAsia="Arial" w:hAnsi="Arial" w:cs="Arial"/>
          <w:color w:val="000000"/>
        </w:rPr>
      </w:pPr>
    </w:p>
    <w:p w:rsidR="00690B3C" w:rsidRPr="00690B3C" w:rsidRDefault="00690B3C" w:rsidP="00D0183B">
      <w:pPr>
        <w:pStyle w:val="Prrafodelista"/>
        <w:widowControl w:val="0"/>
        <w:numPr>
          <w:ilvl w:val="0"/>
          <w:numId w:val="17"/>
        </w:numPr>
        <w:pBdr>
          <w:top w:val="nil"/>
          <w:left w:val="nil"/>
          <w:bottom w:val="nil"/>
          <w:right w:val="nil"/>
          <w:between w:val="nil"/>
        </w:pBdr>
        <w:spacing w:after="0" w:line="276" w:lineRule="auto"/>
        <w:jc w:val="both"/>
        <w:rPr>
          <w:rFonts w:ascii="Arial" w:eastAsia="Arial" w:hAnsi="Arial" w:cs="Arial"/>
          <w:color w:val="000000"/>
        </w:rPr>
      </w:pPr>
      <w:r w:rsidRPr="00690B3C">
        <w:rPr>
          <w:rFonts w:ascii="Arial" w:eastAsia="Arial" w:hAnsi="Arial" w:cs="Arial"/>
          <w:color w:val="000000"/>
        </w:rPr>
        <w:fldChar w:fldCharType="begin"/>
      </w:r>
      <w:r w:rsidRPr="00690B3C">
        <w:rPr>
          <w:rFonts w:ascii="Arial" w:eastAsia="Arial" w:hAnsi="Arial" w:cs="Arial"/>
          <w:color w:val="000000"/>
        </w:rPr>
        <w:instrText xml:space="preserve"> HYPERLINK "https://www.idu.gov.co/Archivos_Portal/Transparencia/Control/Control%20Interno/08%20Evaluacion%20presupuestal%20por%20dependencias/2019/20191350121603_EjecPrspstal_PrimerTrim_2019.pdf" \t "_blank" </w:instrText>
      </w:r>
      <w:r w:rsidRPr="00690B3C">
        <w:rPr>
          <w:rFonts w:ascii="Arial" w:eastAsia="Arial" w:hAnsi="Arial" w:cs="Arial"/>
          <w:color w:val="000000"/>
        </w:rPr>
        <w:fldChar w:fldCharType="separate"/>
      </w:r>
      <w:r w:rsidRPr="00690B3C">
        <w:rPr>
          <w:rFonts w:ascii="Arial" w:eastAsia="Arial" w:hAnsi="Arial" w:cs="Arial"/>
          <w:color w:val="000000"/>
        </w:rPr>
        <w:t>Informes de seguimiento a la Ejecución Presupuestal de la entidad.</w:t>
      </w:r>
    </w:p>
    <w:p w:rsidR="00690B3C" w:rsidRPr="00690B3C" w:rsidRDefault="00690B3C" w:rsidP="00690B3C">
      <w:pPr>
        <w:pStyle w:val="Prrafodelista"/>
        <w:spacing w:line="276" w:lineRule="auto"/>
        <w:jc w:val="both"/>
        <w:rPr>
          <w:rFonts w:ascii="Arial" w:eastAsia="Arial" w:hAnsi="Arial" w:cs="Arial"/>
          <w:color w:val="000000"/>
        </w:rPr>
      </w:pPr>
    </w:p>
    <w:p w:rsidR="00690B3C" w:rsidRPr="00690B3C" w:rsidRDefault="00690B3C" w:rsidP="00D0183B">
      <w:pPr>
        <w:pStyle w:val="Prrafodelista"/>
        <w:numPr>
          <w:ilvl w:val="0"/>
          <w:numId w:val="17"/>
        </w:numPr>
        <w:spacing w:after="0" w:line="276" w:lineRule="auto"/>
        <w:jc w:val="both"/>
        <w:rPr>
          <w:rFonts w:ascii="Arial" w:eastAsia="Arial" w:hAnsi="Arial" w:cs="Arial"/>
          <w:color w:val="000000"/>
        </w:rPr>
      </w:pPr>
      <w:r w:rsidRPr="00690B3C">
        <w:rPr>
          <w:rFonts w:ascii="Arial" w:eastAsia="Arial" w:hAnsi="Arial" w:cs="Arial"/>
          <w:color w:val="000000"/>
        </w:rPr>
        <w:fldChar w:fldCharType="end"/>
      </w:r>
      <w:r w:rsidRPr="00690B3C">
        <w:rPr>
          <w:rFonts w:ascii="Arial" w:eastAsia="Arial" w:hAnsi="Arial" w:cs="Arial"/>
          <w:color w:val="000000"/>
        </w:rPr>
        <w:t>Informe de seguimiento a la publicación de información en portales de Contratación.</w:t>
      </w:r>
    </w:p>
    <w:p w:rsidR="00690B3C" w:rsidRPr="00690B3C" w:rsidRDefault="00690B3C" w:rsidP="00690B3C">
      <w:pPr>
        <w:pStyle w:val="Prrafodelista"/>
        <w:spacing w:line="276" w:lineRule="auto"/>
        <w:jc w:val="both"/>
        <w:rPr>
          <w:rFonts w:ascii="Arial" w:eastAsia="Arial" w:hAnsi="Arial" w:cs="Arial"/>
          <w:color w:val="000000"/>
        </w:rPr>
      </w:pPr>
    </w:p>
    <w:p w:rsidR="00690B3C" w:rsidRPr="00690B3C" w:rsidRDefault="00690B3C" w:rsidP="00D0183B">
      <w:pPr>
        <w:pStyle w:val="Prrafodelista"/>
        <w:numPr>
          <w:ilvl w:val="0"/>
          <w:numId w:val="17"/>
        </w:numPr>
        <w:spacing w:after="0" w:line="276" w:lineRule="auto"/>
        <w:jc w:val="both"/>
        <w:rPr>
          <w:rFonts w:ascii="Arial" w:eastAsia="Arial" w:hAnsi="Arial" w:cs="Arial"/>
          <w:color w:val="000000"/>
        </w:rPr>
      </w:pPr>
      <w:r w:rsidRPr="00690B3C">
        <w:rPr>
          <w:rFonts w:ascii="Arial" w:eastAsia="Arial" w:hAnsi="Arial" w:cs="Arial"/>
          <w:color w:val="000000"/>
        </w:rPr>
        <w:t>Informes de seguimiento a los reportes relacionados con los Controles de advertencia formulados por la Contraloría de Bogotá D.C.</w:t>
      </w:r>
    </w:p>
    <w:p w:rsidR="00690B3C" w:rsidRPr="00690B3C" w:rsidRDefault="00690B3C" w:rsidP="00690B3C">
      <w:pPr>
        <w:pStyle w:val="Prrafodelista"/>
        <w:spacing w:line="276" w:lineRule="auto"/>
        <w:jc w:val="both"/>
        <w:rPr>
          <w:rFonts w:ascii="Arial" w:eastAsia="Arial" w:hAnsi="Arial" w:cs="Arial"/>
        </w:rPr>
      </w:pPr>
    </w:p>
    <w:p w:rsidR="00690B3C" w:rsidRPr="00690B3C" w:rsidRDefault="00690B3C" w:rsidP="00D0183B">
      <w:pPr>
        <w:pStyle w:val="Prrafodelista"/>
        <w:numPr>
          <w:ilvl w:val="0"/>
          <w:numId w:val="17"/>
        </w:numPr>
        <w:spacing w:after="0" w:line="276" w:lineRule="auto"/>
        <w:jc w:val="both"/>
        <w:rPr>
          <w:rFonts w:ascii="Arial" w:eastAsia="Arial" w:hAnsi="Arial" w:cs="Arial"/>
        </w:rPr>
      </w:pPr>
      <w:r w:rsidRPr="00690B3C">
        <w:rPr>
          <w:rFonts w:ascii="Arial" w:eastAsia="Arial" w:hAnsi="Arial" w:cs="Arial"/>
        </w:rPr>
        <w:t>Informes de seguimiento a la implementación y aplicación del Marco Normativo Contable bajo Normas Internacionales de Información Financiera – NIIF.</w:t>
      </w:r>
    </w:p>
    <w:p w:rsidR="00690B3C" w:rsidRPr="00690B3C" w:rsidRDefault="00690B3C" w:rsidP="00690B3C">
      <w:pPr>
        <w:pStyle w:val="Prrafodelista"/>
        <w:spacing w:line="276" w:lineRule="auto"/>
        <w:jc w:val="both"/>
        <w:rPr>
          <w:rFonts w:ascii="Arial" w:eastAsia="Arial" w:hAnsi="Arial" w:cs="Arial"/>
        </w:rPr>
      </w:pPr>
    </w:p>
    <w:p w:rsidR="00690B3C" w:rsidRPr="00690B3C" w:rsidRDefault="00690B3C" w:rsidP="00D0183B">
      <w:pPr>
        <w:pStyle w:val="Prrafodelista"/>
        <w:numPr>
          <w:ilvl w:val="0"/>
          <w:numId w:val="17"/>
        </w:numPr>
        <w:spacing w:after="0" w:line="276" w:lineRule="auto"/>
        <w:jc w:val="both"/>
        <w:rPr>
          <w:rFonts w:ascii="Arial" w:eastAsia="Arial" w:hAnsi="Arial" w:cs="Arial"/>
        </w:rPr>
      </w:pPr>
      <w:r w:rsidRPr="00690B3C">
        <w:rPr>
          <w:rFonts w:ascii="Arial" w:eastAsia="Arial" w:hAnsi="Arial" w:cs="Arial"/>
        </w:rPr>
        <w:lastRenderedPageBreak/>
        <w:t>Informes de seguimiento a acciones de repetición, con base en lo definido en la Ley 678 de 2001 y el Decreto 1069 de 2015.</w:t>
      </w:r>
    </w:p>
    <w:p w:rsidR="00690B3C" w:rsidRPr="00690B3C" w:rsidRDefault="00690B3C" w:rsidP="00690B3C">
      <w:pPr>
        <w:pStyle w:val="Prrafodelista"/>
        <w:spacing w:line="276" w:lineRule="auto"/>
        <w:jc w:val="both"/>
        <w:rPr>
          <w:rFonts w:ascii="Arial" w:eastAsia="Arial" w:hAnsi="Arial" w:cs="Arial"/>
        </w:rPr>
      </w:pPr>
    </w:p>
    <w:p w:rsidR="00690B3C" w:rsidRPr="00690B3C" w:rsidRDefault="00690B3C" w:rsidP="00D0183B">
      <w:pPr>
        <w:pStyle w:val="Prrafodelista"/>
        <w:numPr>
          <w:ilvl w:val="0"/>
          <w:numId w:val="17"/>
        </w:numPr>
        <w:spacing w:after="0" w:line="276" w:lineRule="auto"/>
        <w:jc w:val="both"/>
        <w:rPr>
          <w:rFonts w:ascii="Arial" w:eastAsia="Arial" w:hAnsi="Arial" w:cs="Arial"/>
        </w:rPr>
      </w:pPr>
      <w:r w:rsidRPr="00690B3C">
        <w:rPr>
          <w:rFonts w:ascii="Arial" w:eastAsia="Arial" w:hAnsi="Arial" w:cs="Arial"/>
        </w:rPr>
        <w:t>Informe de seguimiento de la Evaluación del Desempeño Laboral y Acuerdos de Gestión de los Gerentes Públicos del IDU.</w:t>
      </w:r>
    </w:p>
    <w:p w:rsidR="00690B3C" w:rsidRPr="00690B3C" w:rsidRDefault="00690B3C" w:rsidP="00690B3C">
      <w:pPr>
        <w:pStyle w:val="Prrafodelista"/>
        <w:spacing w:line="276" w:lineRule="auto"/>
        <w:jc w:val="both"/>
        <w:rPr>
          <w:rFonts w:ascii="Arial" w:eastAsia="Arial" w:hAnsi="Arial" w:cs="Arial"/>
          <w:color w:val="000000"/>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color w:val="000000"/>
        </w:rPr>
      </w:pPr>
      <w:r w:rsidRPr="00690B3C">
        <w:rPr>
          <w:rFonts w:ascii="Arial" w:eastAsia="Arial" w:hAnsi="Arial" w:cs="Arial"/>
          <w:color w:val="000000"/>
        </w:rPr>
        <w:t>Introducción de cambios en el procedimiento de realización de auditorías internas a fin de incluir aspectos requeridos en el Marco Internacional para la Práctica Profesional de Auditoría Interna.</w:t>
      </w:r>
    </w:p>
    <w:p w:rsidR="00690B3C" w:rsidRPr="00690B3C" w:rsidRDefault="00690B3C" w:rsidP="00690B3C">
      <w:pPr>
        <w:widowControl w:val="0"/>
        <w:pBdr>
          <w:top w:val="nil"/>
          <w:left w:val="nil"/>
          <w:bottom w:val="nil"/>
          <w:right w:val="nil"/>
          <w:between w:val="nil"/>
        </w:pBdr>
        <w:spacing w:line="276" w:lineRule="auto"/>
        <w:ind w:left="567"/>
        <w:jc w:val="both"/>
        <w:rPr>
          <w:rFonts w:ascii="Arial" w:eastAsia="Arial" w:hAnsi="Arial" w:cs="Arial"/>
          <w:color w:val="000000"/>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color w:val="000000"/>
        </w:rPr>
      </w:pPr>
      <w:r w:rsidRPr="00690B3C">
        <w:rPr>
          <w:rFonts w:ascii="Arial" w:eastAsia="Arial" w:hAnsi="Arial" w:cs="Arial"/>
          <w:color w:val="000000"/>
        </w:rPr>
        <w:t>Implementación de informes preliminares para auditorías, seguimientos e informes de carácter obligatorio.</w:t>
      </w:r>
    </w:p>
    <w:p w:rsidR="00690B3C" w:rsidRPr="00690B3C" w:rsidRDefault="00690B3C" w:rsidP="00690B3C">
      <w:pPr>
        <w:pStyle w:val="Prrafodelista"/>
        <w:spacing w:line="276" w:lineRule="auto"/>
        <w:ind w:left="567"/>
        <w:jc w:val="both"/>
        <w:rPr>
          <w:rFonts w:ascii="Arial" w:eastAsia="Arial" w:hAnsi="Arial" w:cs="Arial"/>
          <w:color w:val="000000"/>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color w:val="000000"/>
        </w:rPr>
      </w:pPr>
      <w:r w:rsidRPr="00690B3C">
        <w:rPr>
          <w:rFonts w:ascii="Arial" w:eastAsia="Arial" w:hAnsi="Arial" w:cs="Arial"/>
          <w:color w:val="000000"/>
        </w:rPr>
        <w:t>Implementación de auditorías por procesos con enfoque basado en riesgos.</w:t>
      </w:r>
    </w:p>
    <w:p w:rsidR="00690B3C" w:rsidRPr="00690B3C" w:rsidRDefault="00690B3C" w:rsidP="00690B3C">
      <w:pPr>
        <w:pStyle w:val="Prrafodelista"/>
        <w:spacing w:line="276" w:lineRule="auto"/>
        <w:ind w:left="567"/>
        <w:jc w:val="both"/>
        <w:rPr>
          <w:rFonts w:ascii="Arial" w:eastAsia="Arial" w:hAnsi="Arial" w:cs="Arial"/>
          <w:color w:val="000000"/>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color w:val="000000"/>
        </w:rPr>
      </w:pPr>
      <w:r w:rsidRPr="00690B3C">
        <w:rPr>
          <w:rFonts w:ascii="Arial" w:eastAsia="Arial" w:hAnsi="Arial" w:cs="Arial"/>
          <w:color w:val="000000"/>
        </w:rPr>
        <w:t>Formulación e implementación de encuestas de evaluación sobre los ejercicios de auditorías de gestión y evaluación de auditores.</w:t>
      </w:r>
    </w:p>
    <w:p w:rsidR="00690B3C" w:rsidRPr="00690B3C" w:rsidRDefault="00690B3C" w:rsidP="00690B3C">
      <w:pPr>
        <w:widowControl w:val="0"/>
        <w:pBdr>
          <w:top w:val="nil"/>
          <w:left w:val="nil"/>
          <w:bottom w:val="nil"/>
          <w:right w:val="nil"/>
          <w:between w:val="nil"/>
        </w:pBdr>
        <w:spacing w:line="276" w:lineRule="auto"/>
        <w:ind w:left="567"/>
        <w:jc w:val="both"/>
        <w:rPr>
          <w:rFonts w:ascii="Arial" w:eastAsia="Arial" w:hAnsi="Arial" w:cs="Arial"/>
          <w:color w:val="000000"/>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color w:val="000000"/>
        </w:rPr>
      </w:pPr>
      <w:r w:rsidRPr="00690B3C">
        <w:rPr>
          <w:rFonts w:ascii="Arial" w:eastAsia="Arial" w:hAnsi="Arial" w:cs="Arial"/>
          <w:color w:val="000000"/>
        </w:rPr>
        <w:t>Generación de espacios con las diferentes dependencias del IDU, para la discusión de los resultados de los ejercicios de auditoría, seguimiento y monitoreo, a fin que se generara valor agregado a los procesos.</w:t>
      </w:r>
    </w:p>
    <w:p w:rsidR="00690B3C" w:rsidRPr="00690B3C" w:rsidRDefault="00690B3C" w:rsidP="00690B3C">
      <w:pPr>
        <w:spacing w:line="276" w:lineRule="auto"/>
        <w:jc w:val="both"/>
        <w:rPr>
          <w:rFonts w:ascii="Arial" w:eastAsia="Arial" w:hAnsi="Arial" w:cs="Arial"/>
        </w:rPr>
      </w:pPr>
    </w:p>
    <w:p w:rsidR="00690B3C" w:rsidRPr="00690B3C" w:rsidRDefault="00690B3C" w:rsidP="00690B3C">
      <w:pPr>
        <w:spacing w:line="276" w:lineRule="auto"/>
        <w:jc w:val="both"/>
        <w:rPr>
          <w:rFonts w:ascii="Arial" w:eastAsia="Arial" w:hAnsi="Arial" w:cs="Arial"/>
        </w:rPr>
      </w:pPr>
    </w:p>
    <w:p w:rsidR="00690B3C" w:rsidRPr="00B43907" w:rsidRDefault="00690B3C" w:rsidP="00D0183B">
      <w:pPr>
        <w:pStyle w:val="Ttulo3"/>
        <w:keepNext w:val="0"/>
        <w:keepLines w:val="0"/>
        <w:numPr>
          <w:ilvl w:val="2"/>
          <w:numId w:val="6"/>
        </w:numPr>
        <w:tabs>
          <w:tab w:val="left" w:pos="851"/>
        </w:tabs>
        <w:spacing w:before="0" w:line="276" w:lineRule="auto"/>
        <w:jc w:val="both"/>
        <w:rPr>
          <w:rFonts w:ascii="Arial" w:hAnsi="Arial" w:cs="Arial"/>
          <w:b/>
          <w:color w:val="auto"/>
          <w:sz w:val="22"/>
          <w:szCs w:val="22"/>
        </w:rPr>
      </w:pPr>
      <w:bookmarkStart w:id="49" w:name="_Toc27665269"/>
      <w:bookmarkStart w:id="50" w:name="_Toc30774618"/>
      <w:r w:rsidRPr="00B43907">
        <w:rPr>
          <w:rFonts w:ascii="Arial" w:hAnsi="Arial" w:cs="Arial"/>
          <w:b/>
          <w:color w:val="auto"/>
          <w:sz w:val="22"/>
          <w:szCs w:val="22"/>
        </w:rPr>
        <w:t>ENFOQUE HACIA LA PREVENCIÓN</w:t>
      </w:r>
      <w:bookmarkEnd w:id="49"/>
      <w:bookmarkEnd w:id="50"/>
    </w:p>
    <w:p w:rsidR="00690B3C" w:rsidRPr="00690B3C" w:rsidRDefault="00690B3C" w:rsidP="00690B3C">
      <w:pPr>
        <w:pBdr>
          <w:top w:val="nil"/>
          <w:left w:val="nil"/>
          <w:bottom w:val="nil"/>
          <w:right w:val="nil"/>
          <w:between w:val="nil"/>
        </w:pBdr>
        <w:spacing w:line="276" w:lineRule="auto"/>
        <w:jc w:val="both"/>
        <w:rPr>
          <w:rFonts w:ascii="Arial" w:eastAsia="Arial" w:hAnsi="Arial" w:cs="Arial"/>
          <w:color w:val="000000"/>
        </w:rPr>
      </w:pPr>
    </w:p>
    <w:p w:rsidR="00690B3C" w:rsidRPr="00690B3C" w:rsidRDefault="00690B3C" w:rsidP="00690B3C">
      <w:pPr>
        <w:widowControl w:val="0"/>
        <w:spacing w:line="276" w:lineRule="auto"/>
        <w:jc w:val="both"/>
        <w:rPr>
          <w:rFonts w:ascii="Arial" w:eastAsia="Arial" w:hAnsi="Arial" w:cs="Arial"/>
        </w:rPr>
      </w:pPr>
      <w:r w:rsidRPr="00690B3C">
        <w:rPr>
          <w:rFonts w:ascii="Arial" w:eastAsia="Arial" w:hAnsi="Arial" w:cs="Arial"/>
        </w:rPr>
        <w:t>En el desarrollo de este rol, se adelantaron las siguientes actividades:</w:t>
      </w:r>
    </w:p>
    <w:p w:rsidR="00690B3C" w:rsidRPr="00690B3C" w:rsidRDefault="00690B3C" w:rsidP="00690B3C">
      <w:pPr>
        <w:pBdr>
          <w:top w:val="nil"/>
          <w:left w:val="nil"/>
          <w:bottom w:val="nil"/>
          <w:right w:val="nil"/>
          <w:between w:val="nil"/>
        </w:pBdr>
        <w:spacing w:line="276" w:lineRule="auto"/>
        <w:jc w:val="both"/>
        <w:rPr>
          <w:rFonts w:ascii="Arial" w:eastAsia="Arial" w:hAnsi="Arial" w:cs="Arial"/>
          <w:color w:val="000000"/>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color w:val="000000"/>
        </w:rPr>
      </w:pPr>
      <w:r w:rsidRPr="00690B3C">
        <w:rPr>
          <w:rFonts w:ascii="Arial" w:eastAsia="Arial" w:hAnsi="Arial" w:cs="Arial"/>
          <w:color w:val="000000"/>
        </w:rPr>
        <w:t xml:space="preserve">Acompañamiento a las dependencias en la formulación de planes de mejoramiento derivado de auditorías regulares y de desempeño realizadas por la Contraloría de Bogotá D.C.  </w:t>
      </w:r>
    </w:p>
    <w:p w:rsidR="00690B3C" w:rsidRPr="00690B3C" w:rsidRDefault="00690B3C" w:rsidP="00690B3C">
      <w:pPr>
        <w:spacing w:line="276" w:lineRule="auto"/>
        <w:ind w:left="567"/>
        <w:jc w:val="both"/>
        <w:rPr>
          <w:rFonts w:ascii="Arial" w:eastAsia="Arial" w:hAnsi="Arial" w:cs="Arial"/>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color w:val="000000"/>
        </w:rPr>
      </w:pPr>
      <w:r w:rsidRPr="00690B3C">
        <w:rPr>
          <w:rFonts w:ascii="Arial" w:eastAsia="Arial" w:hAnsi="Arial" w:cs="Arial"/>
          <w:color w:val="000000"/>
        </w:rPr>
        <w:t>Acompañamiento a los procesos auditados en la formulación de acciones de Planes de mejoramiento, derivado de los ejercicios de evaluación internos.</w:t>
      </w:r>
    </w:p>
    <w:p w:rsidR="00690B3C" w:rsidRPr="00690B3C" w:rsidRDefault="00690B3C" w:rsidP="00690B3C">
      <w:pPr>
        <w:spacing w:line="276" w:lineRule="auto"/>
        <w:ind w:left="567"/>
        <w:jc w:val="both"/>
        <w:rPr>
          <w:rFonts w:ascii="Arial" w:eastAsia="Arial" w:hAnsi="Arial" w:cs="Arial"/>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color w:val="000000"/>
        </w:rPr>
      </w:pPr>
      <w:r w:rsidRPr="00690B3C">
        <w:rPr>
          <w:rFonts w:ascii="Arial" w:eastAsia="Arial" w:hAnsi="Arial" w:cs="Arial"/>
          <w:color w:val="000000"/>
        </w:rPr>
        <w:t xml:space="preserve">Seguimientos trimestrales al estado de las acciones contenidas en los Planes de mejoramiento vigentes de los procesos de la entidad, derivados de las auditorías </w:t>
      </w:r>
      <w:r w:rsidRPr="00690B3C">
        <w:rPr>
          <w:rFonts w:ascii="Arial" w:eastAsia="Arial" w:hAnsi="Arial" w:cs="Arial"/>
          <w:color w:val="000000"/>
        </w:rPr>
        <w:lastRenderedPageBreak/>
        <w:t>internas realizadas por la OCI y de las auditorías realizadas por la Contraloría de Bogotá D.C.</w:t>
      </w:r>
    </w:p>
    <w:p w:rsidR="00690B3C" w:rsidRPr="00690B3C" w:rsidRDefault="00690B3C" w:rsidP="00690B3C">
      <w:pPr>
        <w:spacing w:line="276" w:lineRule="auto"/>
        <w:ind w:left="567"/>
        <w:jc w:val="both"/>
        <w:rPr>
          <w:rFonts w:ascii="Arial" w:eastAsia="Arial" w:hAnsi="Arial" w:cs="Arial"/>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color w:val="000000"/>
        </w:rPr>
      </w:pPr>
      <w:r w:rsidRPr="00690B3C">
        <w:rPr>
          <w:rFonts w:ascii="Arial" w:eastAsia="Arial" w:hAnsi="Arial" w:cs="Arial"/>
          <w:color w:val="000000"/>
        </w:rPr>
        <w:t>Diseño e implementación del Módulo Plan de mejoramiento en el aplicativo CHIE, a través del cual se hace la formulación y seguimiento a planes de mejoramiento.  Este fue un Caso de éxito, transferido como buena práctica a más de 20 entidades distritales.</w:t>
      </w:r>
    </w:p>
    <w:p w:rsidR="00690B3C" w:rsidRPr="00690B3C" w:rsidRDefault="00690B3C" w:rsidP="00690B3C">
      <w:pPr>
        <w:pStyle w:val="Prrafodelista"/>
        <w:spacing w:line="276" w:lineRule="auto"/>
        <w:ind w:left="567"/>
        <w:jc w:val="both"/>
        <w:rPr>
          <w:rFonts w:ascii="Arial" w:eastAsia="Arial" w:hAnsi="Arial" w:cs="Arial"/>
          <w:color w:val="000000"/>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color w:val="000000"/>
        </w:rPr>
      </w:pPr>
      <w:r w:rsidRPr="00690B3C">
        <w:rPr>
          <w:rFonts w:ascii="Arial" w:eastAsia="Arial" w:hAnsi="Arial" w:cs="Arial"/>
          <w:color w:val="000000"/>
        </w:rPr>
        <w:t>Gestión de procesos de formación y fortalecimiento de competencias en asuntos de control interno, en conjunto con la Oficina Asesora de Planeación y la Subdirección Técnica de Recursos Humanos:</w:t>
      </w:r>
    </w:p>
    <w:p w:rsidR="00690B3C" w:rsidRPr="00690B3C" w:rsidRDefault="00690B3C" w:rsidP="00690B3C">
      <w:pPr>
        <w:widowControl w:val="0"/>
        <w:pBdr>
          <w:top w:val="nil"/>
          <w:left w:val="nil"/>
          <w:bottom w:val="nil"/>
          <w:right w:val="nil"/>
          <w:between w:val="nil"/>
        </w:pBdr>
        <w:spacing w:line="276" w:lineRule="auto"/>
        <w:jc w:val="both"/>
        <w:rPr>
          <w:rFonts w:ascii="Arial" w:eastAsia="Arial" w:hAnsi="Arial" w:cs="Arial"/>
          <w:color w:val="000000"/>
        </w:rPr>
      </w:pPr>
    </w:p>
    <w:p w:rsidR="00690B3C" w:rsidRPr="00690B3C" w:rsidRDefault="00690B3C" w:rsidP="00551731">
      <w:pPr>
        <w:pStyle w:val="Prrafodelista"/>
        <w:widowControl w:val="0"/>
        <w:numPr>
          <w:ilvl w:val="0"/>
          <w:numId w:val="18"/>
        </w:numPr>
        <w:pBdr>
          <w:top w:val="nil"/>
          <w:left w:val="nil"/>
          <w:bottom w:val="nil"/>
          <w:right w:val="nil"/>
          <w:between w:val="nil"/>
        </w:pBdr>
        <w:spacing w:after="0" w:line="276" w:lineRule="auto"/>
        <w:ind w:left="927"/>
        <w:jc w:val="both"/>
        <w:rPr>
          <w:rFonts w:ascii="Arial" w:eastAsia="Arial" w:hAnsi="Arial" w:cs="Arial"/>
          <w:color w:val="000000"/>
        </w:rPr>
      </w:pPr>
      <w:r w:rsidRPr="00690B3C">
        <w:rPr>
          <w:rFonts w:ascii="Arial" w:eastAsia="Arial" w:hAnsi="Arial" w:cs="Arial"/>
          <w:color w:val="000000"/>
        </w:rPr>
        <w:t>Capacitaciones en: formulación de Planes de mejoramiento, generalidades del marco internacional para la práctica de auditoría interna, Dimensión de control interno en el Modelo Integrado de Planeación y Gestión-MIPG, Gestión de riesgos.</w:t>
      </w:r>
    </w:p>
    <w:p w:rsidR="00690B3C" w:rsidRPr="00690B3C" w:rsidRDefault="00690B3C" w:rsidP="00551731">
      <w:pPr>
        <w:pStyle w:val="Prrafodelista"/>
        <w:widowControl w:val="0"/>
        <w:pBdr>
          <w:top w:val="nil"/>
          <w:left w:val="nil"/>
          <w:bottom w:val="nil"/>
          <w:right w:val="nil"/>
          <w:between w:val="nil"/>
        </w:pBdr>
        <w:spacing w:line="276" w:lineRule="auto"/>
        <w:ind w:left="927"/>
        <w:jc w:val="both"/>
        <w:rPr>
          <w:rFonts w:ascii="Arial" w:eastAsia="Arial" w:hAnsi="Arial" w:cs="Arial"/>
          <w:color w:val="000000"/>
        </w:rPr>
      </w:pPr>
    </w:p>
    <w:p w:rsidR="00690B3C" w:rsidRPr="00690B3C" w:rsidRDefault="00690B3C" w:rsidP="00551731">
      <w:pPr>
        <w:pStyle w:val="Prrafodelista"/>
        <w:widowControl w:val="0"/>
        <w:numPr>
          <w:ilvl w:val="0"/>
          <w:numId w:val="18"/>
        </w:numPr>
        <w:pBdr>
          <w:top w:val="nil"/>
          <w:left w:val="nil"/>
          <w:bottom w:val="nil"/>
          <w:right w:val="nil"/>
          <w:between w:val="nil"/>
        </w:pBdr>
        <w:spacing w:after="0" w:line="276" w:lineRule="auto"/>
        <w:ind w:left="927"/>
        <w:jc w:val="both"/>
        <w:rPr>
          <w:rFonts w:ascii="Arial" w:eastAsia="Arial" w:hAnsi="Arial" w:cs="Arial"/>
          <w:color w:val="000000"/>
        </w:rPr>
      </w:pPr>
      <w:r w:rsidRPr="00690B3C">
        <w:rPr>
          <w:rFonts w:ascii="Arial" w:eastAsia="Arial" w:hAnsi="Arial" w:cs="Arial"/>
          <w:color w:val="000000"/>
        </w:rPr>
        <w:t>Formación de auditores en: NTC ISO 9001:2015, ISO 14001:2015, ISO 45001:2018, ISO/IEC 27001:2013, ISO 22301:2012 y Modelo de gestión efr.</w:t>
      </w:r>
    </w:p>
    <w:p w:rsidR="00690B3C" w:rsidRPr="00690B3C" w:rsidRDefault="00690B3C" w:rsidP="00690B3C">
      <w:pPr>
        <w:widowControl w:val="0"/>
        <w:pBdr>
          <w:top w:val="nil"/>
          <w:left w:val="nil"/>
          <w:bottom w:val="nil"/>
          <w:right w:val="nil"/>
          <w:between w:val="nil"/>
        </w:pBdr>
        <w:spacing w:line="276" w:lineRule="auto"/>
        <w:jc w:val="both"/>
        <w:rPr>
          <w:rFonts w:ascii="Arial" w:eastAsia="Arial" w:hAnsi="Arial" w:cs="Arial"/>
          <w:color w:val="000000"/>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color w:val="000000"/>
        </w:rPr>
      </w:pPr>
      <w:r w:rsidRPr="00690B3C">
        <w:rPr>
          <w:rFonts w:ascii="Arial" w:eastAsia="Arial" w:hAnsi="Arial" w:cs="Arial"/>
          <w:color w:val="000000"/>
        </w:rPr>
        <w:t>Realización de monitoreo a proyectos de infraestructura durante 2019 (</w:t>
      </w:r>
      <w:r w:rsidRPr="00690B3C">
        <w:rPr>
          <w:rFonts w:ascii="Arial" w:eastAsia="Times New Roman" w:hAnsi="Arial" w:cs="Arial"/>
          <w:color w:val="000000"/>
        </w:rPr>
        <w:t>Acceso Barrio las Amapolas, Obras de Conservación de Puentes Vehiculares en Bogotá D.C, Obras de Conservación de la Malla Vial Arterial Troncal y Malla Vial, Grupo No. 2, Construcción de la Avenida San Antonio, Peatonalización Carrera Séptima, Red Peatonal Zona Rosa en Bogotá D.C., y Obras de Conservación de la Malla Vial Arterial Troncal y Malla Vial, Grupo No. 1).</w:t>
      </w:r>
    </w:p>
    <w:p w:rsidR="00690B3C" w:rsidRPr="00690B3C" w:rsidRDefault="00690B3C" w:rsidP="00690B3C">
      <w:pPr>
        <w:pStyle w:val="Prrafodelista"/>
        <w:spacing w:line="276" w:lineRule="auto"/>
        <w:ind w:left="567"/>
        <w:jc w:val="both"/>
        <w:rPr>
          <w:rFonts w:ascii="Arial" w:eastAsia="Times New Roman" w:hAnsi="Arial" w:cs="Arial"/>
          <w:color w:val="000000"/>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color w:val="000000"/>
        </w:rPr>
      </w:pPr>
      <w:r w:rsidRPr="00690B3C">
        <w:rPr>
          <w:rFonts w:ascii="Arial" w:eastAsia="Arial" w:hAnsi="Arial" w:cs="Arial"/>
          <w:color w:val="000000"/>
        </w:rPr>
        <w:t>Generación de recomendaciones/ oportunidades de mejora en los diferentes informes de auditoría, seguimiento y de carácter obligatorio, a fin de fortalecer y mejorar la gestión institucional.</w:t>
      </w:r>
    </w:p>
    <w:p w:rsidR="00690B3C" w:rsidRPr="00690B3C" w:rsidRDefault="00690B3C" w:rsidP="00690B3C">
      <w:pPr>
        <w:pBdr>
          <w:top w:val="nil"/>
          <w:left w:val="nil"/>
          <w:bottom w:val="nil"/>
          <w:right w:val="nil"/>
          <w:between w:val="nil"/>
        </w:pBdr>
        <w:spacing w:line="276" w:lineRule="auto"/>
        <w:ind w:left="567" w:hanging="720"/>
        <w:jc w:val="both"/>
        <w:rPr>
          <w:rFonts w:ascii="Arial" w:eastAsia="Arial" w:hAnsi="Arial" w:cs="Arial"/>
          <w:color w:val="000000"/>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color w:val="000000"/>
        </w:rPr>
      </w:pPr>
      <w:r w:rsidRPr="00690B3C">
        <w:rPr>
          <w:rFonts w:ascii="Arial" w:eastAsia="Arial" w:hAnsi="Arial" w:cs="Arial"/>
          <w:color w:val="000000"/>
        </w:rPr>
        <w:t>Gestión de piezas comunicativas asociadas al fomento de la cultura del control, socializadas a través del fondo de pa</w:t>
      </w:r>
      <w:r w:rsidRPr="00690B3C">
        <w:rPr>
          <w:rFonts w:ascii="Arial" w:eastAsia="Arial" w:hAnsi="Arial" w:cs="Arial"/>
        </w:rPr>
        <w:t xml:space="preserve">ntalla del </w:t>
      </w:r>
      <w:r w:rsidRPr="00690B3C">
        <w:rPr>
          <w:rFonts w:ascii="Arial" w:eastAsia="Arial" w:hAnsi="Arial" w:cs="Arial"/>
          <w:color w:val="000000"/>
        </w:rPr>
        <w:t>escritorio de los computadores, intranet</w:t>
      </w:r>
      <w:r w:rsidRPr="00690B3C">
        <w:rPr>
          <w:rFonts w:ascii="Arial" w:eastAsia="Arial" w:hAnsi="Arial" w:cs="Arial"/>
        </w:rPr>
        <w:t xml:space="preserve">, </w:t>
      </w:r>
      <w:r w:rsidRPr="00690B3C">
        <w:rPr>
          <w:rFonts w:ascii="Arial" w:eastAsia="Arial" w:hAnsi="Arial" w:cs="Arial"/>
          <w:color w:val="000000"/>
        </w:rPr>
        <w:t>correos electrónicos y pantallas de televis</w:t>
      </w:r>
      <w:r w:rsidRPr="00690B3C">
        <w:rPr>
          <w:rFonts w:ascii="Arial" w:eastAsia="Arial" w:hAnsi="Arial" w:cs="Arial"/>
        </w:rPr>
        <w:t xml:space="preserve">ión </w:t>
      </w:r>
      <w:r w:rsidRPr="00690B3C">
        <w:rPr>
          <w:rFonts w:ascii="Arial" w:eastAsia="Arial" w:hAnsi="Arial" w:cs="Arial"/>
          <w:color w:val="000000"/>
        </w:rPr>
        <w:t>en las sedes del Instituto, para afianzar los principios del Sistema de Control Interno.  En el marco de estas actividades, se diseñó encuesta de autocontrol, aplicada al personal de las diferentes dependencias del Instituto, con la que identificaron tips de autocontrol en las etapas del Planear, Hacer, Verificar y Actuar, que fueron socializados al personal del IDU.</w:t>
      </w:r>
    </w:p>
    <w:p w:rsidR="00690B3C" w:rsidRPr="00690B3C" w:rsidRDefault="00690B3C" w:rsidP="00690B3C">
      <w:pPr>
        <w:pStyle w:val="Prrafodelista"/>
        <w:spacing w:line="276" w:lineRule="auto"/>
        <w:ind w:left="567"/>
        <w:jc w:val="both"/>
        <w:rPr>
          <w:rFonts w:ascii="Arial" w:eastAsia="Arial" w:hAnsi="Arial" w:cs="Arial"/>
          <w:color w:val="000000"/>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color w:val="000000"/>
        </w:rPr>
      </w:pPr>
      <w:r w:rsidRPr="00690B3C">
        <w:rPr>
          <w:rFonts w:ascii="Arial" w:eastAsia="Arial" w:hAnsi="Arial" w:cs="Arial"/>
          <w:color w:val="000000"/>
        </w:rPr>
        <w:lastRenderedPageBreak/>
        <w:t>Participación en los Comités de gestión y desempeño Institucional, Comité Financiero y Comité de la Defesa Jurídica, Conciliación y Repetición.</w:t>
      </w:r>
    </w:p>
    <w:p w:rsidR="00690B3C" w:rsidRPr="00690B3C" w:rsidRDefault="00690B3C" w:rsidP="00690B3C">
      <w:pPr>
        <w:widowControl w:val="0"/>
        <w:pBdr>
          <w:top w:val="nil"/>
          <w:left w:val="nil"/>
          <w:bottom w:val="nil"/>
          <w:right w:val="nil"/>
          <w:between w:val="nil"/>
        </w:pBdr>
        <w:spacing w:line="276" w:lineRule="auto"/>
        <w:ind w:left="284"/>
        <w:jc w:val="both"/>
        <w:rPr>
          <w:rFonts w:ascii="Arial" w:eastAsia="Arial" w:hAnsi="Arial" w:cs="Arial"/>
          <w:color w:val="000000"/>
        </w:rPr>
      </w:pPr>
    </w:p>
    <w:p w:rsidR="00690B3C" w:rsidRPr="00690B3C" w:rsidRDefault="00690B3C" w:rsidP="00690B3C">
      <w:pPr>
        <w:widowControl w:val="0"/>
        <w:pBdr>
          <w:top w:val="nil"/>
          <w:left w:val="nil"/>
          <w:bottom w:val="nil"/>
          <w:right w:val="nil"/>
          <w:between w:val="nil"/>
        </w:pBdr>
        <w:spacing w:line="276" w:lineRule="auto"/>
        <w:ind w:left="284"/>
        <w:jc w:val="both"/>
        <w:rPr>
          <w:rFonts w:ascii="Arial" w:eastAsia="Arial" w:hAnsi="Arial" w:cs="Arial"/>
          <w:color w:val="000000"/>
        </w:rPr>
      </w:pPr>
    </w:p>
    <w:p w:rsidR="00690B3C" w:rsidRPr="00B43907" w:rsidRDefault="00690B3C" w:rsidP="00D0183B">
      <w:pPr>
        <w:pStyle w:val="Ttulo3"/>
        <w:keepNext w:val="0"/>
        <w:keepLines w:val="0"/>
        <w:numPr>
          <w:ilvl w:val="2"/>
          <w:numId w:val="6"/>
        </w:numPr>
        <w:tabs>
          <w:tab w:val="left" w:pos="851"/>
        </w:tabs>
        <w:spacing w:before="0" w:line="276" w:lineRule="auto"/>
        <w:jc w:val="both"/>
        <w:rPr>
          <w:rFonts w:ascii="Arial" w:hAnsi="Arial" w:cs="Arial"/>
          <w:b/>
          <w:color w:val="auto"/>
        </w:rPr>
      </w:pPr>
      <w:bookmarkStart w:id="51" w:name="_Toc27665270"/>
      <w:bookmarkStart w:id="52" w:name="_Toc30774619"/>
      <w:r w:rsidRPr="00B43907">
        <w:rPr>
          <w:rFonts w:ascii="Arial" w:hAnsi="Arial" w:cs="Arial"/>
          <w:b/>
          <w:color w:val="auto"/>
        </w:rPr>
        <w:t>VALORACIÓN DE RIESGOS</w:t>
      </w:r>
      <w:bookmarkEnd w:id="51"/>
      <w:bookmarkEnd w:id="52"/>
    </w:p>
    <w:p w:rsidR="00690B3C" w:rsidRPr="00690B3C" w:rsidRDefault="00690B3C" w:rsidP="00690B3C">
      <w:pPr>
        <w:widowControl w:val="0"/>
        <w:spacing w:line="276" w:lineRule="auto"/>
        <w:jc w:val="both"/>
        <w:rPr>
          <w:rFonts w:ascii="Arial" w:eastAsia="Arial" w:hAnsi="Arial" w:cs="Arial"/>
        </w:rPr>
      </w:pPr>
      <w:r w:rsidRPr="00690B3C">
        <w:rPr>
          <w:rFonts w:ascii="Arial" w:eastAsia="Arial" w:hAnsi="Arial" w:cs="Arial"/>
        </w:rPr>
        <w:t>En el desarrollo de este rol, se adelantaron las siguientes actividades:</w:t>
      </w:r>
    </w:p>
    <w:p w:rsidR="00690B3C" w:rsidRPr="00690B3C" w:rsidRDefault="00690B3C" w:rsidP="00690B3C">
      <w:pPr>
        <w:widowControl w:val="0"/>
        <w:spacing w:line="276" w:lineRule="auto"/>
        <w:jc w:val="both"/>
        <w:rPr>
          <w:rFonts w:ascii="Arial" w:eastAsia="Arial" w:hAnsi="Arial" w:cs="Arial"/>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color w:val="000000"/>
        </w:rPr>
      </w:pPr>
      <w:r w:rsidRPr="00690B3C">
        <w:rPr>
          <w:rFonts w:ascii="Arial" w:eastAsia="Arial" w:hAnsi="Arial" w:cs="Arial"/>
        </w:rPr>
        <w:t>Fortalecimiento del enfoque basado en riesgos para la realización de ejercicios de auditoría y seguimientos.</w:t>
      </w:r>
    </w:p>
    <w:p w:rsidR="00690B3C" w:rsidRPr="00690B3C" w:rsidRDefault="00690B3C" w:rsidP="00690B3C">
      <w:pPr>
        <w:widowControl w:val="0"/>
        <w:pBdr>
          <w:top w:val="nil"/>
          <w:left w:val="nil"/>
          <w:bottom w:val="nil"/>
          <w:right w:val="nil"/>
          <w:between w:val="nil"/>
        </w:pBdr>
        <w:spacing w:line="276" w:lineRule="auto"/>
        <w:ind w:left="567"/>
        <w:jc w:val="both"/>
        <w:rPr>
          <w:rFonts w:ascii="Arial" w:eastAsia="Arial" w:hAnsi="Arial" w:cs="Arial"/>
          <w:color w:val="000000"/>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color w:val="000000"/>
        </w:rPr>
      </w:pPr>
      <w:r w:rsidRPr="00690B3C">
        <w:rPr>
          <w:rFonts w:ascii="Arial" w:eastAsia="Arial" w:hAnsi="Arial" w:cs="Arial"/>
        </w:rPr>
        <w:t>Fortalecimiento de competencias en gestión de riesgos (evaluación de diseño y efectividad de controles).</w:t>
      </w:r>
    </w:p>
    <w:p w:rsidR="00690B3C" w:rsidRPr="00690B3C" w:rsidRDefault="00690B3C" w:rsidP="00690B3C">
      <w:pPr>
        <w:pStyle w:val="Prrafodelista"/>
        <w:spacing w:line="276" w:lineRule="auto"/>
        <w:ind w:left="567"/>
        <w:jc w:val="both"/>
        <w:rPr>
          <w:rFonts w:ascii="Arial" w:eastAsia="Arial" w:hAnsi="Arial" w:cs="Arial"/>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color w:val="000000"/>
        </w:rPr>
      </w:pPr>
      <w:r w:rsidRPr="00690B3C">
        <w:rPr>
          <w:rFonts w:ascii="Arial" w:eastAsia="Arial" w:hAnsi="Arial" w:cs="Arial"/>
        </w:rPr>
        <w:t xml:space="preserve">Seguimientos periódicos a los riesgos de gestión de los procesos, en el marco de las auditorías realizadas y seguimientos cuatrimestrales a los riesgos de corrupción, </w:t>
      </w:r>
      <w:r w:rsidRPr="00690B3C">
        <w:rPr>
          <w:rFonts w:ascii="Arial" w:eastAsia="Arial" w:hAnsi="Arial" w:cs="Arial"/>
          <w:color w:val="000000"/>
        </w:rPr>
        <w:t>en el marco del seguimiento a las acciones contempladas en el Plan Anticorrupción y de Atención al Ciudadano.</w:t>
      </w:r>
    </w:p>
    <w:p w:rsidR="00690B3C" w:rsidRDefault="00690B3C" w:rsidP="00690B3C">
      <w:pPr>
        <w:pStyle w:val="Prrafodelista"/>
        <w:spacing w:line="276" w:lineRule="auto"/>
        <w:jc w:val="both"/>
        <w:rPr>
          <w:rFonts w:ascii="Arial" w:eastAsia="Arial" w:hAnsi="Arial" w:cs="Arial"/>
        </w:rPr>
      </w:pPr>
    </w:p>
    <w:p w:rsidR="00551731" w:rsidRPr="00690B3C" w:rsidRDefault="00551731" w:rsidP="00690B3C">
      <w:pPr>
        <w:pStyle w:val="Prrafodelista"/>
        <w:spacing w:line="276" w:lineRule="auto"/>
        <w:jc w:val="both"/>
        <w:rPr>
          <w:rFonts w:ascii="Arial" w:eastAsia="Arial" w:hAnsi="Arial" w:cs="Arial"/>
        </w:rPr>
      </w:pPr>
    </w:p>
    <w:p w:rsidR="00690B3C" w:rsidRPr="00690B3C" w:rsidRDefault="00690B3C" w:rsidP="00690B3C">
      <w:pPr>
        <w:widowControl w:val="0"/>
        <w:spacing w:line="276" w:lineRule="auto"/>
        <w:jc w:val="both"/>
        <w:rPr>
          <w:rFonts w:ascii="Arial" w:eastAsia="Arial" w:hAnsi="Arial" w:cs="Arial"/>
        </w:rPr>
      </w:pPr>
    </w:p>
    <w:p w:rsidR="00690B3C" w:rsidRPr="00B43907" w:rsidRDefault="00690B3C" w:rsidP="00D0183B">
      <w:pPr>
        <w:pStyle w:val="Ttulo3"/>
        <w:keepNext w:val="0"/>
        <w:keepLines w:val="0"/>
        <w:numPr>
          <w:ilvl w:val="2"/>
          <w:numId w:val="6"/>
        </w:numPr>
        <w:tabs>
          <w:tab w:val="left" w:pos="851"/>
        </w:tabs>
        <w:spacing w:before="0" w:line="276" w:lineRule="auto"/>
        <w:jc w:val="both"/>
        <w:rPr>
          <w:rFonts w:ascii="Arial" w:hAnsi="Arial" w:cs="Arial"/>
          <w:b/>
          <w:color w:val="auto"/>
          <w:sz w:val="22"/>
          <w:szCs w:val="22"/>
        </w:rPr>
      </w:pPr>
      <w:bookmarkStart w:id="53" w:name="_Toc27665271"/>
      <w:bookmarkStart w:id="54" w:name="_Toc30774620"/>
      <w:r w:rsidRPr="00B43907">
        <w:rPr>
          <w:rFonts w:ascii="Arial" w:hAnsi="Arial" w:cs="Arial"/>
          <w:b/>
          <w:color w:val="auto"/>
          <w:sz w:val="22"/>
          <w:szCs w:val="22"/>
        </w:rPr>
        <w:t>RELACIONAMIENTO CON ENTES EXTERNOS DE CONTROL</w:t>
      </w:r>
      <w:bookmarkEnd w:id="53"/>
      <w:bookmarkEnd w:id="54"/>
    </w:p>
    <w:p w:rsidR="00690B3C" w:rsidRPr="00690B3C" w:rsidRDefault="00690B3C" w:rsidP="00690B3C">
      <w:pPr>
        <w:widowControl w:val="0"/>
        <w:spacing w:line="276" w:lineRule="auto"/>
        <w:jc w:val="both"/>
        <w:rPr>
          <w:rFonts w:ascii="Arial" w:eastAsia="Arial" w:hAnsi="Arial" w:cs="Arial"/>
        </w:rPr>
      </w:pPr>
    </w:p>
    <w:p w:rsidR="00690B3C" w:rsidRPr="00690B3C" w:rsidRDefault="00690B3C" w:rsidP="00690B3C">
      <w:pPr>
        <w:widowControl w:val="0"/>
        <w:spacing w:line="276" w:lineRule="auto"/>
        <w:jc w:val="both"/>
        <w:rPr>
          <w:rFonts w:ascii="Arial" w:eastAsia="Arial" w:hAnsi="Arial" w:cs="Arial"/>
        </w:rPr>
      </w:pPr>
      <w:r w:rsidRPr="00690B3C">
        <w:rPr>
          <w:rFonts w:ascii="Arial" w:eastAsia="Arial" w:hAnsi="Arial" w:cs="Arial"/>
        </w:rPr>
        <w:t>En el desarrollo de este rol, se adelantaron las siguientes actividades:</w:t>
      </w:r>
    </w:p>
    <w:p w:rsidR="00690B3C" w:rsidRPr="00690B3C" w:rsidRDefault="00690B3C" w:rsidP="00690B3C">
      <w:pPr>
        <w:widowControl w:val="0"/>
        <w:spacing w:line="276" w:lineRule="auto"/>
        <w:jc w:val="both"/>
        <w:rPr>
          <w:rFonts w:ascii="Arial" w:eastAsia="Arial" w:hAnsi="Arial" w:cs="Arial"/>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color w:val="000000"/>
        </w:rPr>
      </w:pPr>
      <w:r w:rsidRPr="00690B3C">
        <w:rPr>
          <w:rFonts w:ascii="Arial" w:eastAsia="Arial" w:hAnsi="Arial" w:cs="Arial"/>
          <w:color w:val="000000"/>
        </w:rPr>
        <w:t xml:space="preserve">Reporte de los siguientes informes de competencia de la OCI en el marco de la transmisión de la Cuenta anual fiscal 2016, 2017 y </w:t>
      </w:r>
      <w:r w:rsidRPr="00690B3C">
        <w:rPr>
          <w:rFonts w:ascii="Arial" w:eastAsia="Arial" w:hAnsi="Arial" w:cs="Arial"/>
        </w:rPr>
        <w:t>2018</w:t>
      </w:r>
      <w:r w:rsidRPr="00690B3C">
        <w:rPr>
          <w:rFonts w:ascii="Arial" w:eastAsia="Arial" w:hAnsi="Arial" w:cs="Arial"/>
          <w:color w:val="000000"/>
        </w:rPr>
        <w:t>: CB-0402 Plan de Mejoramiento – Seguimiento, CBN-1019 Informe de Control Interno Contable, CBN-1022 Informe Ejecutivo Anual de Control Interno (2018) y CBN-1038 Informe de la OCI.</w:t>
      </w:r>
    </w:p>
    <w:p w:rsidR="00690B3C" w:rsidRPr="00690B3C" w:rsidRDefault="00690B3C" w:rsidP="00690B3C">
      <w:pPr>
        <w:widowControl w:val="0"/>
        <w:spacing w:line="276" w:lineRule="auto"/>
        <w:ind w:left="567"/>
        <w:jc w:val="both"/>
        <w:rPr>
          <w:rFonts w:ascii="Arial" w:eastAsia="Arial" w:hAnsi="Arial" w:cs="Arial"/>
        </w:rPr>
      </w:pPr>
    </w:p>
    <w:p w:rsidR="00690B3C" w:rsidRPr="00690B3C"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color w:val="000000"/>
        </w:rPr>
      </w:pPr>
      <w:r w:rsidRPr="00690B3C">
        <w:rPr>
          <w:rFonts w:ascii="Arial" w:eastAsia="Arial" w:hAnsi="Arial" w:cs="Arial"/>
          <w:color w:val="000000"/>
        </w:rPr>
        <w:t xml:space="preserve">Acompañamiento a las dependencias de la entidad en las auditorías realizadas por la Contraloría de Bogotá D.C (auditoría regular vigencia </w:t>
      </w:r>
      <w:r w:rsidRPr="00690B3C">
        <w:rPr>
          <w:rFonts w:ascii="Arial" w:eastAsia="Arial" w:hAnsi="Arial" w:cs="Arial"/>
        </w:rPr>
        <w:t xml:space="preserve">2016, 2017, 2018 </w:t>
      </w:r>
      <w:r w:rsidRPr="00690B3C">
        <w:rPr>
          <w:rFonts w:ascii="Arial" w:eastAsia="Arial" w:hAnsi="Arial" w:cs="Arial"/>
          <w:color w:val="000000"/>
        </w:rPr>
        <w:t>y auditorías de desempeño), facilitando el suministro de información al equipo auditor.  La Contraloría de Bogotá D.C., con corte 3</w:t>
      </w:r>
      <w:r w:rsidR="00AE0EB1">
        <w:rPr>
          <w:rFonts w:ascii="Arial" w:eastAsia="Arial" w:hAnsi="Arial" w:cs="Arial"/>
          <w:color w:val="000000"/>
        </w:rPr>
        <w:t>1</w:t>
      </w:r>
      <w:r w:rsidRPr="00690B3C">
        <w:rPr>
          <w:rFonts w:ascii="Arial" w:eastAsia="Arial" w:hAnsi="Arial" w:cs="Arial"/>
          <w:color w:val="000000"/>
        </w:rPr>
        <w:t xml:space="preserve"> de </w:t>
      </w:r>
      <w:r w:rsidR="00A0720B">
        <w:rPr>
          <w:rFonts w:ascii="Arial" w:eastAsia="Arial" w:hAnsi="Arial" w:cs="Arial"/>
          <w:color w:val="000000"/>
        </w:rPr>
        <w:t>Diciembre</w:t>
      </w:r>
      <w:r w:rsidRPr="00690B3C">
        <w:rPr>
          <w:rFonts w:ascii="Arial" w:eastAsia="Arial" w:hAnsi="Arial" w:cs="Arial"/>
          <w:color w:val="000000"/>
        </w:rPr>
        <w:t xml:space="preserve"> de 2019, realizó en el cuatrienio 12 auditorías, de las cuales, 4 fueron de regularidad y 8 de desempeño. El IDU gestionó los planes de mejoramiento derivados de estas auditorías con un nivel </w:t>
      </w:r>
      <w:r w:rsidRPr="00690B3C">
        <w:rPr>
          <w:rFonts w:ascii="Arial" w:eastAsia="Arial" w:hAnsi="Arial" w:cs="Arial"/>
          <w:color w:val="000000"/>
        </w:rPr>
        <w:lastRenderedPageBreak/>
        <w:t>de efectividad superior al 90%.</w:t>
      </w:r>
    </w:p>
    <w:p w:rsidR="00690B3C" w:rsidRPr="00690B3C" w:rsidRDefault="00690B3C" w:rsidP="00690B3C">
      <w:pPr>
        <w:widowControl w:val="0"/>
        <w:spacing w:line="276" w:lineRule="auto"/>
        <w:ind w:left="567"/>
        <w:jc w:val="both"/>
        <w:rPr>
          <w:rFonts w:ascii="Arial" w:eastAsia="Arial" w:hAnsi="Arial" w:cs="Arial"/>
        </w:rPr>
      </w:pPr>
    </w:p>
    <w:p w:rsidR="004B40A4" w:rsidRPr="00BE56D6" w:rsidRDefault="00690B3C" w:rsidP="00D0183B">
      <w:pPr>
        <w:widowControl w:val="0"/>
        <w:numPr>
          <w:ilvl w:val="0"/>
          <w:numId w:val="15"/>
        </w:numPr>
        <w:pBdr>
          <w:top w:val="nil"/>
          <w:left w:val="nil"/>
          <w:bottom w:val="nil"/>
          <w:right w:val="nil"/>
          <w:between w:val="nil"/>
        </w:pBdr>
        <w:spacing w:after="0" w:line="276" w:lineRule="auto"/>
        <w:ind w:left="567" w:hanging="284"/>
        <w:jc w:val="both"/>
        <w:rPr>
          <w:rFonts w:ascii="Arial" w:eastAsia="Arial" w:hAnsi="Arial" w:cs="Arial"/>
          <w:color w:val="000000"/>
        </w:rPr>
      </w:pPr>
      <w:r w:rsidRPr="00690B3C">
        <w:rPr>
          <w:rFonts w:ascii="Arial" w:eastAsia="Arial" w:hAnsi="Arial" w:cs="Arial"/>
          <w:color w:val="000000"/>
        </w:rPr>
        <w:t xml:space="preserve">Seguimientos mensuales al estado de los requerimientos presentados por los entes externos de control. </w:t>
      </w:r>
    </w:p>
    <w:p w:rsidR="0053582F" w:rsidRDefault="0053582F" w:rsidP="008F1065">
      <w:pPr>
        <w:jc w:val="both"/>
        <w:rPr>
          <w:rFonts w:ascii="Arial" w:hAnsi="Arial" w:cs="Arial"/>
          <w:b/>
        </w:rPr>
      </w:pPr>
    </w:p>
    <w:p w:rsidR="00551731" w:rsidRDefault="00551731" w:rsidP="008F1065">
      <w:pPr>
        <w:jc w:val="both"/>
        <w:rPr>
          <w:rFonts w:ascii="Arial" w:hAnsi="Arial" w:cs="Arial"/>
          <w:b/>
        </w:rPr>
      </w:pPr>
    </w:p>
    <w:p w:rsidR="00551731" w:rsidRDefault="00551731" w:rsidP="008F1065">
      <w:pPr>
        <w:jc w:val="both"/>
        <w:rPr>
          <w:rFonts w:ascii="Arial" w:hAnsi="Arial" w:cs="Arial"/>
          <w:b/>
        </w:rPr>
      </w:pPr>
    </w:p>
    <w:p w:rsidR="00551731" w:rsidRPr="008F1065" w:rsidRDefault="00551731" w:rsidP="008F1065">
      <w:pPr>
        <w:jc w:val="both"/>
        <w:rPr>
          <w:rFonts w:ascii="Arial" w:hAnsi="Arial" w:cs="Arial"/>
          <w:b/>
        </w:rPr>
      </w:pPr>
    </w:p>
    <w:p w:rsidR="00CB1E1C" w:rsidRPr="00F35F4D" w:rsidRDefault="00A94DE2" w:rsidP="00F35F4D">
      <w:pPr>
        <w:pStyle w:val="Ttulo2"/>
        <w:numPr>
          <w:ilvl w:val="0"/>
          <w:numId w:val="0"/>
        </w:numPr>
        <w:ind w:left="1428" w:hanging="360"/>
        <w:jc w:val="center"/>
        <w:rPr>
          <w:sz w:val="24"/>
          <w:szCs w:val="24"/>
        </w:rPr>
      </w:pPr>
      <w:bookmarkStart w:id="55" w:name="_Toc30774621"/>
      <w:r w:rsidRPr="00F35F4D">
        <w:rPr>
          <w:sz w:val="24"/>
          <w:szCs w:val="24"/>
        </w:rPr>
        <w:t>CAPITULO 4. GESTIÓN JURIDICA</w:t>
      </w:r>
      <w:bookmarkEnd w:id="55"/>
    </w:p>
    <w:p w:rsidR="00BE56D6" w:rsidRPr="00BE56D6" w:rsidRDefault="00BE56D6" w:rsidP="00D0183B">
      <w:pPr>
        <w:pStyle w:val="Ttulo2"/>
        <w:numPr>
          <w:ilvl w:val="1"/>
          <w:numId w:val="22"/>
        </w:numPr>
        <w:spacing w:line="276" w:lineRule="auto"/>
        <w:jc w:val="both"/>
        <w:rPr>
          <w:sz w:val="22"/>
        </w:rPr>
      </w:pPr>
      <w:bookmarkStart w:id="56" w:name="_Toc27665223"/>
      <w:bookmarkStart w:id="57" w:name="_Toc30774622"/>
      <w:r w:rsidRPr="00BE56D6">
        <w:rPr>
          <w:sz w:val="22"/>
        </w:rPr>
        <w:t>TRANSPARENCIA Y EFICIENCIA CONTRACTUAL</w:t>
      </w:r>
      <w:bookmarkEnd w:id="56"/>
      <w:bookmarkEnd w:id="57"/>
    </w:p>
    <w:p w:rsidR="00BE56D6" w:rsidRPr="00BE56D6" w:rsidRDefault="00BE56D6" w:rsidP="00BE56D6">
      <w:pPr>
        <w:spacing w:line="276" w:lineRule="auto"/>
        <w:jc w:val="both"/>
        <w:rPr>
          <w:rFonts w:ascii="Arial" w:hAnsi="Arial" w:cs="Arial"/>
        </w:rPr>
      </w:pPr>
    </w:p>
    <w:p w:rsidR="00BE56D6" w:rsidRPr="00BE56D6" w:rsidRDefault="00BE56D6" w:rsidP="00BE56D6">
      <w:pPr>
        <w:spacing w:line="276" w:lineRule="auto"/>
        <w:jc w:val="both"/>
        <w:rPr>
          <w:rFonts w:ascii="Arial" w:hAnsi="Arial" w:cs="Arial"/>
        </w:rPr>
      </w:pPr>
      <w:r w:rsidRPr="00BE56D6">
        <w:rPr>
          <w:rFonts w:ascii="Arial" w:hAnsi="Arial" w:cs="Arial"/>
        </w:rPr>
        <w:t xml:space="preserve">La estrategia de transparencia y eficiencia en la gestión contractual, que tuvo como pilar fundamental la adopción de buenas prácticas en la estructuración, desarrollo y ejecución de los proyectos de infraestructura a cargo del IDU fue el as bajo la manga para desintoxicar su reputación y llevar a buen término su misión en estos cuatro años. </w:t>
      </w:r>
    </w:p>
    <w:p w:rsidR="00BE56D6" w:rsidRPr="00BE56D6" w:rsidRDefault="00BE56D6" w:rsidP="00BE56D6">
      <w:pPr>
        <w:spacing w:line="276" w:lineRule="auto"/>
        <w:jc w:val="both"/>
        <w:rPr>
          <w:rFonts w:ascii="Arial" w:hAnsi="Arial" w:cs="Arial"/>
        </w:rPr>
      </w:pPr>
    </w:p>
    <w:p w:rsidR="00BE56D6" w:rsidRPr="00BE56D6" w:rsidRDefault="00BE56D6" w:rsidP="00BE56D6">
      <w:pPr>
        <w:spacing w:line="276" w:lineRule="auto"/>
        <w:jc w:val="both"/>
        <w:rPr>
          <w:rFonts w:ascii="Arial" w:hAnsi="Arial" w:cs="Arial"/>
        </w:rPr>
      </w:pPr>
      <w:r w:rsidRPr="00BE56D6">
        <w:rPr>
          <w:rFonts w:ascii="Arial" w:hAnsi="Arial" w:cs="Arial"/>
        </w:rPr>
        <w:t>Desde la Dirección General se propuso liderar un Instituto con total transparencia en la gestión. Sin controversia alguna, la gestión contractual fue fundamental para rescatar del lodo esa confianza de la ciudadanía en el IDU que por años estuvo perdida. Así mismo, se logró recuperar la credibilidad del sector empresarial y, aún más importante, la de los servidores públicos.</w:t>
      </w:r>
    </w:p>
    <w:p w:rsidR="00BE56D6" w:rsidRPr="00BE56D6" w:rsidRDefault="00BE56D6" w:rsidP="00BE56D6">
      <w:pPr>
        <w:spacing w:line="276" w:lineRule="auto"/>
        <w:jc w:val="both"/>
        <w:rPr>
          <w:rFonts w:ascii="Arial" w:hAnsi="Arial" w:cs="Arial"/>
        </w:rPr>
      </w:pPr>
    </w:p>
    <w:p w:rsidR="00BE56D6" w:rsidRPr="00BE56D6" w:rsidRDefault="00BE56D6" w:rsidP="00BE56D6">
      <w:pPr>
        <w:spacing w:line="276" w:lineRule="auto"/>
        <w:jc w:val="both"/>
        <w:rPr>
          <w:rFonts w:ascii="Arial" w:hAnsi="Arial" w:cs="Arial"/>
        </w:rPr>
      </w:pPr>
      <w:r w:rsidRPr="00BE56D6">
        <w:rPr>
          <w:rFonts w:ascii="Arial" w:hAnsi="Arial" w:cs="Arial"/>
        </w:rPr>
        <w:t xml:space="preserve">Sin embargo, el camino de implementación no habría sido tan exitoso sin un ejercicio de retroalimentación activa entre funcionarios y contratistas, entidades de carácter gremial y empresas del sector de infraestructura y, por supuesto, la ciudadanía. </w:t>
      </w:r>
    </w:p>
    <w:p w:rsidR="00BE56D6" w:rsidRPr="00BE56D6" w:rsidRDefault="00BE56D6" w:rsidP="00BE56D6">
      <w:pPr>
        <w:spacing w:line="276" w:lineRule="auto"/>
        <w:jc w:val="both"/>
        <w:rPr>
          <w:rFonts w:ascii="Arial" w:hAnsi="Arial" w:cs="Arial"/>
        </w:rPr>
      </w:pPr>
    </w:p>
    <w:p w:rsidR="00BE56D6" w:rsidRPr="00BE56D6" w:rsidRDefault="00BE56D6" w:rsidP="00BE56D6">
      <w:pPr>
        <w:spacing w:line="276" w:lineRule="auto"/>
        <w:jc w:val="both"/>
        <w:rPr>
          <w:rFonts w:ascii="Arial" w:hAnsi="Arial" w:cs="Arial"/>
        </w:rPr>
      </w:pPr>
      <w:r w:rsidRPr="00BE56D6">
        <w:rPr>
          <w:rFonts w:ascii="Arial" w:hAnsi="Arial" w:cs="Arial"/>
        </w:rPr>
        <w:t xml:space="preserve">De tal suerte que la entidad ideó y fortaleció diversos instrumentos para garantizar transparencia: </w:t>
      </w:r>
    </w:p>
    <w:p w:rsidR="00BE56D6" w:rsidRPr="00BE56D6" w:rsidRDefault="00BE56D6" w:rsidP="00BE56D6">
      <w:pPr>
        <w:spacing w:line="276" w:lineRule="auto"/>
        <w:jc w:val="both"/>
        <w:rPr>
          <w:rFonts w:ascii="Arial" w:hAnsi="Arial" w:cs="Arial"/>
        </w:rPr>
      </w:pPr>
    </w:p>
    <w:p w:rsidR="00BE56D6" w:rsidRPr="00BE56D6" w:rsidRDefault="00BE56D6" w:rsidP="00D0183B">
      <w:pPr>
        <w:pStyle w:val="Prrafodelista"/>
        <w:numPr>
          <w:ilvl w:val="1"/>
          <w:numId w:val="21"/>
        </w:numPr>
        <w:spacing w:after="0" w:line="276" w:lineRule="auto"/>
        <w:ind w:left="567" w:hanging="283"/>
        <w:jc w:val="both"/>
        <w:rPr>
          <w:rFonts w:ascii="Arial" w:hAnsi="Arial" w:cs="Arial"/>
        </w:rPr>
      </w:pPr>
      <w:r w:rsidRPr="00BE56D6">
        <w:rPr>
          <w:rFonts w:ascii="Arial" w:hAnsi="Arial" w:cs="Arial"/>
        </w:rPr>
        <w:t xml:space="preserve">Código de buen gobierno, en el que se compilaron los mecanismos, directrices, políticas, prácticas y disposiciones de autorregulación de las diferentes instancias de administración y gestión de la entidad. </w:t>
      </w:r>
    </w:p>
    <w:p w:rsidR="00BE56D6" w:rsidRPr="00BE56D6" w:rsidRDefault="00BE56D6" w:rsidP="00BE56D6">
      <w:pPr>
        <w:pStyle w:val="Prrafodelista"/>
        <w:spacing w:line="276" w:lineRule="auto"/>
        <w:ind w:left="567" w:hanging="283"/>
        <w:jc w:val="both"/>
        <w:rPr>
          <w:rFonts w:ascii="Arial" w:hAnsi="Arial" w:cs="Arial"/>
        </w:rPr>
      </w:pPr>
    </w:p>
    <w:p w:rsidR="00BE56D6" w:rsidRPr="00BE56D6" w:rsidRDefault="00BE56D6" w:rsidP="00D0183B">
      <w:pPr>
        <w:pStyle w:val="Prrafodelista"/>
        <w:numPr>
          <w:ilvl w:val="1"/>
          <w:numId w:val="21"/>
        </w:numPr>
        <w:spacing w:after="0" w:line="276" w:lineRule="auto"/>
        <w:ind w:left="567" w:hanging="283"/>
        <w:jc w:val="both"/>
        <w:rPr>
          <w:rFonts w:ascii="Arial" w:hAnsi="Arial" w:cs="Arial"/>
        </w:rPr>
      </w:pPr>
      <w:r w:rsidRPr="00BE56D6">
        <w:rPr>
          <w:rFonts w:ascii="Arial" w:hAnsi="Arial" w:cs="Arial"/>
        </w:rPr>
        <w:t xml:space="preserve">Acuerdo de transparencia, suscrito entre los directivos del IDU y el Secretario de Transparencia de la Presidencia de la República, en pro de la eficiencia, efectividad </w:t>
      </w:r>
      <w:r w:rsidRPr="00BE56D6">
        <w:rPr>
          <w:rFonts w:ascii="Arial" w:hAnsi="Arial" w:cs="Arial"/>
        </w:rPr>
        <w:lastRenderedPageBreak/>
        <w:t xml:space="preserve">y garantías que promuevan la participación y confianza en los procesos de selección de contratistas. </w:t>
      </w:r>
    </w:p>
    <w:p w:rsidR="00BE56D6" w:rsidRPr="00BE56D6" w:rsidRDefault="00BE56D6" w:rsidP="00BE56D6">
      <w:pPr>
        <w:pStyle w:val="Prrafodelista"/>
        <w:spacing w:line="276" w:lineRule="auto"/>
        <w:ind w:left="567" w:hanging="283"/>
        <w:jc w:val="both"/>
        <w:rPr>
          <w:rFonts w:ascii="Arial" w:hAnsi="Arial" w:cs="Arial"/>
        </w:rPr>
      </w:pPr>
    </w:p>
    <w:p w:rsidR="00BE56D6" w:rsidRPr="00BE56D6" w:rsidRDefault="00BE56D6" w:rsidP="00D0183B">
      <w:pPr>
        <w:pStyle w:val="Prrafodelista"/>
        <w:numPr>
          <w:ilvl w:val="1"/>
          <w:numId w:val="21"/>
        </w:numPr>
        <w:spacing w:after="0" w:line="276" w:lineRule="auto"/>
        <w:ind w:left="567" w:hanging="283"/>
        <w:jc w:val="both"/>
        <w:rPr>
          <w:rFonts w:ascii="Arial" w:hAnsi="Arial" w:cs="Arial"/>
        </w:rPr>
      </w:pPr>
      <w:r w:rsidRPr="00BE56D6">
        <w:rPr>
          <w:rFonts w:ascii="Arial" w:hAnsi="Arial" w:cs="Arial"/>
        </w:rPr>
        <w:t xml:space="preserve">Pacto de confidencialidad, con el objetivo de garantizar que la información relativa a los procesos de contratación, en sus diferentes fases, fuese suministrada solamente a través de los canales oficiales establecidos en el proceso de contratación. </w:t>
      </w:r>
    </w:p>
    <w:p w:rsidR="00BE56D6" w:rsidRPr="00BE56D6" w:rsidRDefault="00BE56D6" w:rsidP="00BE56D6">
      <w:pPr>
        <w:pStyle w:val="Prrafodelista"/>
        <w:spacing w:line="276" w:lineRule="auto"/>
        <w:ind w:left="567" w:hanging="283"/>
        <w:jc w:val="both"/>
        <w:rPr>
          <w:rFonts w:ascii="Arial" w:hAnsi="Arial" w:cs="Arial"/>
        </w:rPr>
      </w:pPr>
    </w:p>
    <w:p w:rsidR="00BE56D6" w:rsidRPr="00BE56D6" w:rsidRDefault="00BE56D6" w:rsidP="00D0183B">
      <w:pPr>
        <w:pStyle w:val="Prrafodelista"/>
        <w:numPr>
          <w:ilvl w:val="1"/>
          <w:numId w:val="21"/>
        </w:numPr>
        <w:spacing w:after="0" w:line="276" w:lineRule="auto"/>
        <w:ind w:left="567" w:hanging="283"/>
        <w:jc w:val="both"/>
        <w:rPr>
          <w:rFonts w:ascii="Arial" w:hAnsi="Arial" w:cs="Arial"/>
        </w:rPr>
      </w:pPr>
      <w:r w:rsidRPr="00BE56D6">
        <w:rPr>
          <w:rFonts w:ascii="Arial" w:hAnsi="Arial" w:cs="Arial"/>
        </w:rPr>
        <w:t xml:space="preserve">Pliegos Tipo para la totalidad de las modalidades de selección. </w:t>
      </w:r>
    </w:p>
    <w:p w:rsidR="00BE56D6" w:rsidRPr="00BE56D6" w:rsidRDefault="00BE56D6" w:rsidP="00BE56D6">
      <w:pPr>
        <w:pStyle w:val="Prrafodelista"/>
        <w:spacing w:line="276" w:lineRule="auto"/>
        <w:ind w:left="567" w:hanging="283"/>
        <w:jc w:val="both"/>
        <w:rPr>
          <w:rFonts w:ascii="Arial" w:hAnsi="Arial" w:cs="Arial"/>
        </w:rPr>
      </w:pPr>
    </w:p>
    <w:p w:rsidR="00BE56D6" w:rsidRPr="00BE56D6" w:rsidRDefault="00BE56D6" w:rsidP="00D0183B">
      <w:pPr>
        <w:pStyle w:val="Prrafodelista"/>
        <w:numPr>
          <w:ilvl w:val="1"/>
          <w:numId w:val="21"/>
        </w:numPr>
        <w:spacing w:after="0" w:line="276" w:lineRule="auto"/>
        <w:ind w:left="567" w:hanging="283"/>
        <w:jc w:val="both"/>
        <w:rPr>
          <w:rFonts w:ascii="Arial" w:hAnsi="Arial" w:cs="Arial"/>
        </w:rPr>
      </w:pPr>
      <w:r w:rsidRPr="00BE56D6">
        <w:rPr>
          <w:rFonts w:ascii="Arial" w:hAnsi="Arial" w:cs="Arial"/>
        </w:rPr>
        <w:t xml:space="preserve">Estandarización de matrices de riesgo. </w:t>
      </w:r>
    </w:p>
    <w:p w:rsidR="00BE56D6" w:rsidRPr="00BE56D6" w:rsidRDefault="00BE56D6" w:rsidP="00BE56D6">
      <w:pPr>
        <w:pStyle w:val="Prrafodelista"/>
        <w:spacing w:line="276" w:lineRule="auto"/>
        <w:ind w:left="567" w:hanging="283"/>
        <w:jc w:val="both"/>
        <w:rPr>
          <w:rFonts w:ascii="Arial" w:hAnsi="Arial" w:cs="Arial"/>
        </w:rPr>
      </w:pPr>
    </w:p>
    <w:p w:rsidR="00BE56D6" w:rsidRPr="00BE56D6" w:rsidRDefault="00BE56D6" w:rsidP="00D0183B">
      <w:pPr>
        <w:pStyle w:val="Prrafodelista"/>
        <w:numPr>
          <w:ilvl w:val="1"/>
          <w:numId w:val="21"/>
        </w:numPr>
        <w:spacing w:after="0" w:line="276" w:lineRule="auto"/>
        <w:ind w:left="567" w:hanging="283"/>
        <w:jc w:val="both"/>
        <w:rPr>
          <w:rFonts w:ascii="Arial" w:hAnsi="Arial" w:cs="Arial"/>
        </w:rPr>
      </w:pPr>
      <w:r w:rsidRPr="00BE56D6">
        <w:rPr>
          <w:rFonts w:ascii="Arial" w:hAnsi="Arial" w:cs="Arial"/>
        </w:rPr>
        <w:t xml:space="preserve">Implementación de la Sala Transparente y la Sala de Evaluación, previas a la implementación del SECOP II, con el propósito –por una parte– de hacer público el contenido de las propuestas desde el momento en que se recibían. En la primera, se digitalizan las propuestas en las audiencias de cierre de cada proceso y se publican en los sitios web en tiempo real. Y la Sala de Evaluación se creó con medidas de seguridad especiales y un reglamento de uso, a fin de garantizar la transparencia en la evaluación de las propuestas. </w:t>
      </w:r>
    </w:p>
    <w:p w:rsidR="00BE56D6" w:rsidRPr="00BE56D6" w:rsidRDefault="00BE56D6" w:rsidP="00BE56D6">
      <w:pPr>
        <w:pStyle w:val="Prrafodelista"/>
        <w:spacing w:line="276" w:lineRule="auto"/>
        <w:ind w:left="567" w:hanging="283"/>
        <w:jc w:val="both"/>
        <w:rPr>
          <w:rFonts w:ascii="Arial" w:hAnsi="Arial" w:cs="Arial"/>
        </w:rPr>
      </w:pPr>
    </w:p>
    <w:p w:rsidR="00BE56D6" w:rsidRPr="00BE56D6" w:rsidRDefault="00BE56D6" w:rsidP="00D0183B">
      <w:pPr>
        <w:pStyle w:val="Prrafodelista"/>
        <w:numPr>
          <w:ilvl w:val="1"/>
          <w:numId w:val="21"/>
        </w:numPr>
        <w:spacing w:after="0" w:line="276" w:lineRule="auto"/>
        <w:ind w:left="567" w:hanging="283"/>
        <w:jc w:val="both"/>
        <w:rPr>
          <w:rFonts w:ascii="Arial" w:hAnsi="Arial" w:cs="Arial"/>
        </w:rPr>
      </w:pPr>
      <w:r w:rsidRPr="00BE56D6">
        <w:rPr>
          <w:rFonts w:ascii="Arial" w:hAnsi="Arial" w:cs="Arial"/>
        </w:rPr>
        <w:t xml:space="preserve">Expedición de ‘Minutas Tipo’ según la tipología contractual. </w:t>
      </w:r>
    </w:p>
    <w:p w:rsidR="00BE56D6" w:rsidRPr="00BE56D6" w:rsidRDefault="00BE56D6" w:rsidP="00BE56D6">
      <w:pPr>
        <w:pStyle w:val="Prrafodelista"/>
        <w:spacing w:line="276" w:lineRule="auto"/>
        <w:ind w:left="567" w:hanging="283"/>
        <w:jc w:val="both"/>
        <w:rPr>
          <w:rFonts w:ascii="Arial" w:hAnsi="Arial" w:cs="Arial"/>
        </w:rPr>
      </w:pPr>
    </w:p>
    <w:p w:rsidR="00BE56D6" w:rsidRPr="00BE56D6" w:rsidRDefault="00BE56D6" w:rsidP="00D0183B">
      <w:pPr>
        <w:pStyle w:val="Prrafodelista"/>
        <w:numPr>
          <w:ilvl w:val="1"/>
          <w:numId w:val="21"/>
        </w:numPr>
        <w:spacing w:after="0" w:line="276" w:lineRule="auto"/>
        <w:ind w:left="567" w:hanging="283"/>
        <w:jc w:val="both"/>
        <w:rPr>
          <w:rFonts w:ascii="Arial" w:hAnsi="Arial" w:cs="Arial"/>
        </w:rPr>
      </w:pPr>
      <w:r w:rsidRPr="00BE56D6">
        <w:rPr>
          <w:rFonts w:ascii="Arial" w:hAnsi="Arial" w:cs="Arial"/>
        </w:rPr>
        <w:t xml:space="preserve">Actualización de manuales interventoría y/o supervisión y gestión contractual. </w:t>
      </w:r>
    </w:p>
    <w:p w:rsidR="00BE56D6" w:rsidRPr="00BE56D6" w:rsidRDefault="00BE56D6" w:rsidP="00BE56D6">
      <w:pPr>
        <w:pStyle w:val="Prrafodelista"/>
        <w:spacing w:line="276" w:lineRule="auto"/>
        <w:ind w:left="567" w:hanging="283"/>
        <w:jc w:val="both"/>
        <w:rPr>
          <w:rFonts w:ascii="Arial" w:hAnsi="Arial" w:cs="Arial"/>
        </w:rPr>
      </w:pPr>
    </w:p>
    <w:p w:rsidR="00BE56D6" w:rsidRPr="00BE56D6" w:rsidRDefault="00BE56D6" w:rsidP="00D0183B">
      <w:pPr>
        <w:pStyle w:val="Prrafodelista"/>
        <w:numPr>
          <w:ilvl w:val="1"/>
          <w:numId w:val="21"/>
        </w:numPr>
        <w:spacing w:after="0" w:line="276" w:lineRule="auto"/>
        <w:ind w:left="567" w:hanging="283"/>
        <w:jc w:val="both"/>
        <w:rPr>
          <w:rFonts w:ascii="Arial" w:hAnsi="Arial" w:cs="Arial"/>
        </w:rPr>
      </w:pPr>
      <w:r w:rsidRPr="00BE56D6">
        <w:rPr>
          <w:rFonts w:ascii="Arial" w:hAnsi="Arial" w:cs="Arial"/>
        </w:rPr>
        <w:t xml:space="preserve">Pacto de excelencia, como un instrumento contractual que promueve la excelencia en la ejecución de contratos celebrados por la entidad. </w:t>
      </w:r>
    </w:p>
    <w:p w:rsidR="00BE56D6" w:rsidRPr="00BE56D6" w:rsidRDefault="00BE56D6" w:rsidP="00BE56D6">
      <w:pPr>
        <w:pStyle w:val="Prrafodelista"/>
        <w:spacing w:line="276" w:lineRule="auto"/>
        <w:ind w:left="567" w:hanging="283"/>
        <w:jc w:val="both"/>
        <w:rPr>
          <w:rFonts w:ascii="Arial" w:hAnsi="Arial" w:cs="Arial"/>
        </w:rPr>
      </w:pPr>
    </w:p>
    <w:p w:rsidR="00BE56D6" w:rsidRPr="00BE56D6" w:rsidRDefault="00BE56D6" w:rsidP="00D0183B">
      <w:pPr>
        <w:pStyle w:val="Prrafodelista"/>
        <w:numPr>
          <w:ilvl w:val="1"/>
          <w:numId w:val="21"/>
        </w:numPr>
        <w:spacing w:after="0" w:line="276" w:lineRule="auto"/>
        <w:ind w:left="567" w:hanging="283"/>
        <w:jc w:val="both"/>
        <w:rPr>
          <w:rFonts w:ascii="Arial" w:hAnsi="Arial" w:cs="Arial"/>
        </w:rPr>
      </w:pPr>
      <w:r w:rsidRPr="00BE56D6">
        <w:rPr>
          <w:rFonts w:ascii="Arial" w:hAnsi="Arial" w:cs="Arial"/>
        </w:rPr>
        <w:t>Transición de la Política Antisoborno al Subsistema de Gestión Antisoborno: durante los años 2017 y 2018 se hizo una revisión de los riesgos de soborno significativos en todas las dependencias de la entidad a fin de determinar los puntos críticos. En el año 2019 se consolidó el subsistema dentro del Sistema Integrado de Gestión IDU, que cumple con los requisitos de la norma ISO 37001 de Sistemas de Gestión Antisoborno y se encuentra listo para su certificación por parte de un organismo de certificación internacional.</w:t>
      </w:r>
    </w:p>
    <w:p w:rsidR="000B597A" w:rsidRDefault="000B597A" w:rsidP="000B597A">
      <w:pPr>
        <w:spacing w:line="276" w:lineRule="auto"/>
        <w:rPr>
          <w:rFonts w:ascii="Arial" w:hAnsi="Arial" w:cs="Arial"/>
        </w:rPr>
      </w:pPr>
    </w:p>
    <w:p w:rsidR="00551731" w:rsidRDefault="00551731" w:rsidP="000B597A">
      <w:pPr>
        <w:spacing w:line="276" w:lineRule="auto"/>
        <w:rPr>
          <w:rFonts w:ascii="Arial" w:hAnsi="Arial" w:cs="Arial"/>
        </w:rPr>
      </w:pPr>
    </w:p>
    <w:p w:rsidR="00551731" w:rsidRDefault="00551731" w:rsidP="000B597A">
      <w:pPr>
        <w:spacing w:line="276" w:lineRule="auto"/>
        <w:rPr>
          <w:rFonts w:ascii="Arial" w:hAnsi="Arial" w:cs="Arial"/>
        </w:rPr>
      </w:pPr>
    </w:p>
    <w:p w:rsidR="00551731" w:rsidRDefault="00551731" w:rsidP="000B597A">
      <w:pPr>
        <w:spacing w:line="276" w:lineRule="auto"/>
        <w:rPr>
          <w:rFonts w:ascii="Arial" w:hAnsi="Arial" w:cs="Arial"/>
        </w:rPr>
      </w:pPr>
    </w:p>
    <w:p w:rsidR="00551731" w:rsidRDefault="00551731" w:rsidP="000B597A">
      <w:pPr>
        <w:spacing w:line="276" w:lineRule="auto"/>
        <w:rPr>
          <w:rFonts w:ascii="Arial" w:hAnsi="Arial" w:cs="Arial"/>
        </w:rPr>
      </w:pPr>
    </w:p>
    <w:p w:rsidR="00551731" w:rsidRDefault="00551731" w:rsidP="000B597A">
      <w:pPr>
        <w:spacing w:line="276" w:lineRule="auto"/>
        <w:rPr>
          <w:rFonts w:ascii="Arial" w:hAnsi="Arial" w:cs="Arial"/>
        </w:rPr>
      </w:pPr>
    </w:p>
    <w:p w:rsidR="000B597A" w:rsidRPr="0064251C" w:rsidRDefault="000B597A" w:rsidP="000B597A">
      <w:pPr>
        <w:pStyle w:val="Ttulo3"/>
        <w:keepNext w:val="0"/>
        <w:keepLines w:val="0"/>
        <w:tabs>
          <w:tab w:val="left" w:pos="851"/>
        </w:tabs>
        <w:spacing w:before="0" w:line="276" w:lineRule="auto"/>
        <w:ind w:left="360"/>
        <w:jc w:val="both"/>
        <w:rPr>
          <w:rFonts w:ascii="Arial" w:hAnsi="Arial" w:cs="Arial"/>
          <w:b/>
          <w:color w:val="auto"/>
          <w:sz w:val="22"/>
          <w:szCs w:val="22"/>
        </w:rPr>
      </w:pPr>
      <w:bookmarkStart w:id="58" w:name="_Toc30774623"/>
      <w:r>
        <w:rPr>
          <w:rFonts w:ascii="Arial" w:hAnsi="Arial" w:cs="Arial"/>
          <w:b/>
          <w:color w:val="auto"/>
          <w:sz w:val="22"/>
          <w:szCs w:val="22"/>
        </w:rPr>
        <w:lastRenderedPageBreak/>
        <w:t xml:space="preserve">4.2. </w:t>
      </w:r>
      <w:bookmarkStart w:id="59" w:name="_Toc27665224"/>
      <w:r>
        <w:rPr>
          <w:rFonts w:ascii="Arial" w:hAnsi="Arial" w:cs="Arial"/>
          <w:b/>
          <w:color w:val="auto"/>
          <w:sz w:val="22"/>
          <w:szCs w:val="22"/>
        </w:rPr>
        <w:t xml:space="preserve"> </w:t>
      </w:r>
      <w:r w:rsidRPr="0064251C">
        <w:rPr>
          <w:rFonts w:ascii="Arial" w:hAnsi="Arial" w:cs="Arial"/>
          <w:b/>
          <w:color w:val="auto"/>
          <w:sz w:val="22"/>
          <w:szCs w:val="22"/>
        </w:rPr>
        <w:t>ESTRATEGIA DE TRANSPARENCIA Y EFICIENCIA EN LA GESTIÓN DEL IDU.</w:t>
      </w:r>
      <w:bookmarkEnd w:id="58"/>
      <w:bookmarkEnd w:id="59"/>
    </w:p>
    <w:p w:rsidR="000B597A" w:rsidRPr="00E803A1" w:rsidRDefault="000B597A" w:rsidP="000B597A">
      <w:pPr>
        <w:spacing w:line="276" w:lineRule="auto"/>
        <w:jc w:val="both"/>
        <w:rPr>
          <w:rFonts w:ascii="Arial" w:hAnsi="Arial" w:cs="Arial"/>
        </w:rPr>
      </w:pPr>
    </w:p>
    <w:p w:rsidR="000B597A" w:rsidRPr="00E803A1" w:rsidRDefault="000B597A" w:rsidP="000B597A">
      <w:pPr>
        <w:spacing w:line="276" w:lineRule="auto"/>
        <w:jc w:val="both"/>
        <w:rPr>
          <w:rFonts w:ascii="Arial" w:hAnsi="Arial" w:cs="Arial"/>
        </w:rPr>
      </w:pPr>
      <w:r w:rsidRPr="00E803A1">
        <w:rPr>
          <w:rFonts w:ascii="Arial" w:hAnsi="Arial" w:cs="Arial"/>
        </w:rPr>
        <w:t>Uno de los ejes transversales del Plan de Desarrollo Bogotá Mejor Para Todos es el Gobierno Legítimo y Eficiente, que prevé las acciones para restaurar la confianza institucional y el buen gobierno de las entidades del orden distrital.</w:t>
      </w:r>
    </w:p>
    <w:p w:rsidR="000B597A" w:rsidRPr="00E803A1" w:rsidRDefault="000B597A" w:rsidP="000B597A">
      <w:pPr>
        <w:spacing w:line="276" w:lineRule="auto"/>
        <w:jc w:val="both"/>
        <w:rPr>
          <w:rFonts w:ascii="Arial" w:hAnsi="Arial" w:cs="Arial"/>
        </w:rPr>
      </w:pPr>
    </w:p>
    <w:p w:rsidR="000B597A" w:rsidRPr="00E803A1" w:rsidRDefault="000B597A" w:rsidP="000B597A">
      <w:pPr>
        <w:spacing w:line="276" w:lineRule="auto"/>
        <w:jc w:val="both"/>
        <w:rPr>
          <w:rFonts w:ascii="Arial" w:hAnsi="Arial" w:cs="Arial"/>
          <w:szCs w:val="24"/>
        </w:rPr>
      </w:pPr>
      <w:r w:rsidRPr="00E803A1">
        <w:rPr>
          <w:rFonts w:ascii="Arial" w:hAnsi="Arial" w:cs="Arial"/>
          <w:szCs w:val="24"/>
        </w:rPr>
        <w:t xml:space="preserve">Desde su creación en 1972, el IDU ha venido cumpliendo su misión, funciones y competencias con altos niveles de competitividad en la prestación del servicio a la comunidad, como quiera que los planes, programas y proyectos de infraestructura vial y preservación del espacio público están encaminados al progreso y desarrollo de la ciudad y al servicio a la comunidad, desde 2007 se adscribe al Sector Movilidad del Distrito Capital, no obstante, situaciones de conocimiento público, de orden legal y administrativo, afectaron la imagen de la entidad, menguaron la confianza institucional del mercado e incidieron negativamente en el sentido de pertenencia de sus servidores públicos.  </w:t>
      </w:r>
    </w:p>
    <w:p w:rsidR="000B597A" w:rsidRPr="00E803A1" w:rsidRDefault="000B597A" w:rsidP="000B597A">
      <w:pPr>
        <w:spacing w:line="276" w:lineRule="auto"/>
        <w:jc w:val="both"/>
        <w:rPr>
          <w:rFonts w:ascii="Arial" w:hAnsi="Arial" w:cs="Arial"/>
          <w:szCs w:val="24"/>
        </w:rPr>
      </w:pPr>
    </w:p>
    <w:p w:rsidR="000B597A" w:rsidRPr="000B597A" w:rsidRDefault="000B597A" w:rsidP="000B597A">
      <w:pPr>
        <w:spacing w:line="276" w:lineRule="auto"/>
        <w:jc w:val="both"/>
        <w:rPr>
          <w:rFonts w:ascii="Arial" w:hAnsi="Arial" w:cs="Arial"/>
          <w:szCs w:val="24"/>
        </w:rPr>
      </w:pPr>
      <w:r w:rsidRPr="00E803A1">
        <w:rPr>
          <w:rFonts w:ascii="Arial" w:hAnsi="Arial" w:cs="Arial"/>
          <w:szCs w:val="24"/>
        </w:rPr>
        <w:t>Ante tal situación, la Administración se propuso conocer, identificar y estudiar las causas que habían generado tal problemática, así como las dificultades en la gestión contractual y el aumento de la litigiosidad derivados de ella. Para superar esta problemática y con el fin primordial de recuperar la confianza institucional en coherencia con los postulados del Plan de Desarrollo Bogotá Mejor para Todos, se planteó la pregunta ¿Cómo fortalecer la Transparencia y Eficiencia Institucional a partir del aprendizaje organizacional?</w:t>
      </w:r>
    </w:p>
    <w:p w:rsidR="000B597A" w:rsidRDefault="000B597A" w:rsidP="000B597A">
      <w:pPr>
        <w:spacing w:line="276" w:lineRule="auto"/>
        <w:jc w:val="both"/>
        <w:rPr>
          <w:rFonts w:ascii="Arial" w:hAnsi="Arial" w:cs="Arial"/>
        </w:rPr>
      </w:pPr>
      <w:r w:rsidRPr="00E803A1">
        <w:rPr>
          <w:rFonts w:ascii="Arial" w:hAnsi="Arial" w:cs="Arial"/>
        </w:rPr>
        <w:t>Los objetivos de la estrategia se presentan a continuación</w:t>
      </w:r>
      <w:r w:rsidR="00551731">
        <w:rPr>
          <w:rFonts w:ascii="Arial" w:hAnsi="Arial" w:cs="Arial"/>
        </w:rPr>
        <w:t>:</w:t>
      </w:r>
    </w:p>
    <w:p w:rsidR="00551731" w:rsidRPr="000B597A" w:rsidRDefault="00551731" w:rsidP="000B597A">
      <w:pPr>
        <w:spacing w:line="276" w:lineRule="auto"/>
        <w:jc w:val="both"/>
        <w:rPr>
          <w:rFonts w:ascii="Arial" w:hAnsi="Arial" w:cs="Arial"/>
        </w:rPr>
      </w:pPr>
    </w:p>
    <w:p w:rsidR="000B597A" w:rsidRPr="00E803A1" w:rsidRDefault="000B597A" w:rsidP="000B597A">
      <w:pPr>
        <w:pStyle w:val="Descripcin"/>
        <w:spacing w:after="0"/>
        <w:rPr>
          <w:rFonts w:ascii="Arial" w:hAnsi="Arial" w:cs="Arial"/>
          <w:sz w:val="24"/>
          <w:szCs w:val="24"/>
        </w:rPr>
      </w:pPr>
      <w:r w:rsidRPr="00E803A1">
        <w:rPr>
          <w:rFonts w:ascii="Arial" w:hAnsi="Arial" w:cs="Arial"/>
          <w:szCs w:val="24"/>
        </w:rPr>
        <w:tab/>
      </w:r>
      <w:bookmarkStart w:id="60" w:name="_Toc27665721"/>
      <w:r w:rsidRPr="00E803A1">
        <w:rPr>
          <w:rFonts w:ascii="Arial" w:hAnsi="Arial" w:cs="Arial"/>
        </w:rPr>
        <w:t xml:space="preserve"> Objetivos de la estrategia de transparencia y eficiencia en la gestión contractual</w:t>
      </w:r>
      <w:bookmarkEnd w:id="60"/>
    </w:p>
    <w:p w:rsidR="000B597A" w:rsidRPr="00E803A1" w:rsidRDefault="000B597A" w:rsidP="00551731">
      <w:pPr>
        <w:keepNext/>
        <w:spacing w:line="276" w:lineRule="auto"/>
        <w:jc w:val="center"/>
        <w:rPr>
          <w:rFonts w:ascii="Arial" w:hAnsi="Arial" w:cs="Arial"/>
        </w:rPr>
      </w:pPr>
      <w:r w:rsidRPr="00E803A1">
        <w:rPr>
          <w:rFonts w:ascii="Arial" w:hAnsi="Arial" w:cs="Arial"/>
          <w:noProof/>
          <w:szCs w:val="24"/>
          <w:lang w:eastAsia="es-CO"/>
        </w:rPr>
        <w:drawing>
          <wp:inline distT="0" distB="0" distL="0" distR="0" wp14:anchorId="40136441" wp14:editId="42F9F558">
            <wp:extent cx="4594860" cy="1926597"/>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07872" cy="1932053"/>
                    </a:xfrm>
                    <a:prstGeom prst="rect">
                      <a:avLst/>
                    </a:prstGeom>
                    <a:noFill/>
                  </pic:spPr>
                </pic:pic>
              </a:graphicData>
            </a:graphic>
          </wp:inline>
        </w:drawing>
      </w:r>
    </w:p>
    <w:p w:rsidR="000B597A" w:rsidRPr="000B597A" w:rsidRDefault="000B597A" w:rsidP="000B597A">
      <w:pPr>
        <w:keepNext/>
        <w:spacing w:line="276" w:lineRule="auto"/>
        <w:jc w:val="both"/>
        <w:rPr>
          <w:rFonts w:ascii="Arial" w:hAnsi="Arial" w:cs="Arial"/>
          <w:sz w:val="18"/>
          <w:szCs w:val="18"/>
        </w:rPr>
      </w:pPr>
      <w:r w:rsidRPr="000B597A">
        <w:rPr>
          <w:rFonts w:ascii="Arial" w:hAnsi="Arial" w:cs="Arial"/>
          <w:sz w:val="18"/>
          <w:szCs w:val="18"/>
        </w:rPr>
        <w:t>Fuente: Subdirección General Jurídica</w:t>
      </w:r>
    </w:p>
    <w:p w:rsidR="000B597A" w:rsidRDefault="000B597A" w:rsidP="000B597A">
      <w:pPr>
        <w:tabs>
          <w:tab w:val="left" w:pos="567"/>
          <w:tab w:val="right" w:leader="dot" w:pos="8496"/>
        </w:tabs>
        <w:kinsoku w:val="0"/>
        <w:overflowPunct w:val="0"/>
        <w:spacing w:line="276" w:lineRule="auto"/>
        <w:jc w:val="both"/>
        <w:textAlignment w:val="baseline"/>
        <w:rPr>
          <w:rFonts w:ascii="Arial" w:eastAsia="Century Gothic" w:hAnsi="Arial" w:cs="Arial"/>
          <w:b/>
          <w:szCs w:val="24"/>
        </w:rPr>
      </w:pPr>
    </w:p>
    <w:p w:rsidR="00551731" w:rsidRDefault="00551731" w:rsidP="000B597A">
      <w:pPr>
        <w:tabs>
          <w:tab w:val="left" w:pos="567"/>
          <w:tab w:val="right" w:leader="dot" w:pos="8496"/>
        </w:tabs>
        <w:kinsoku w:val="0"/>
        <w:overflowPunct w:val="0"/>
        <w:spacing w:line="276" w:lineRule="auto"/>
        <w:jc w:val="both"/>
        <w:textAlignment w:val="baseline"/>
        <w:rPr>
          <w:rFonts w:ascii="Arial" w:eastAsia="Century Gothic" w:hAnsi="Arial" w:cs="Arial"/>
          <w:b/>
          <w:szCs w:val="24"/>
        </w:rPr>
      </w:pPr>
    </w:p>
    <w:p w:rsidR="000B597A" w:rsidRPr="00E803A1" w:rsidRDefault="000B597A" w:rsidP="000B597A">
      <w:pPr>
        <w:tabs>
          <w:tab w:val="left" w:pos="567"/>
          <w:tab w:val="right" w:leader="dot" w:pos="8496"/>
        </w:tabs>
        <w:kinsoku w:val="0"/>
        <w:overflowPunct w:val="0"/>
        <w:spacing w:line="276" w:lineRule="auto"/>
        <w:jc w:val="both"/>
        <w:textAlignment w:val="baseline"/>
        <w:rPr>
          <w:rFonts w:ascii="Arial" w:eastAsia="Century Gothic" w:hAnsi="Arial" w:cs="Arial"/>
          <w:szCs w:val="24"/>
        </w:rPr>
      </w:pPr>
      <w:r w:rsidRPr="00E803A1">
        <w:rPr>
          <w:rFonts w:ascii="Arial" w:eastAsia="Century Gothic" w:hAnsi="Arial" w:cs="Arial"/>
          <w:szCs w:val="24"/>
        </w:rPr>
        <w:lastRenderedPageBreak/>
        <w:t>La documentación que soporta la estrategia, se enuncia así:</w:t>
      </w:r>
    </w:p>
    <w:p w:rsidR="000B597A" w:rsidRPr="00E803A1" w:rsidRDefault="000B597A" w:rsidP="000B597A">
      <w:pPr>
        <w:tabs>
          <w:tab w:val="left" w:pos="567"/>
          <w:tab w:val="right" w:leader="dot" w:pos="8496"/>
        </w:tabs>
        <w:kinsoku w:val="0"/>
        <w:overflowPunct w:val="0"/>
        <w:spacing w:line="276" w:lineRule="auto"/>
        <w:jc w:val="both"/>
        <w:textAlignment w:val="baseline"/>
        <w:rPr>
          <w:rFonts w:ascii="Arial" w:eastAsia="Century Gothic" w:hAnsi="Arial" w:cs="Arial"/>
          <w:szCs w:val="24"/>
        </w:rPr>
      </w:pPr>
    </w:p>
    <w:p w:rsidR="000B597A" w:rsidRPr="00E803A1" w:rsidRDefault="00551731" w:rsidP="000B597A">
      <w:pPr>
        <w:pStyle w:val="Descripcin"/>
        <w:spacing w:after="0"/>
        <w:rPr>
          <w:rFonts w:ascii="Arial" w:eastAsia="Century Gothic" w:hAnsi="Arial" w:cs="Arial"/>
          <w:szCs w:val="24"/>
        </w:rPr>
      </w:pPr>
      <w:bookmarkStart w:id="61" w:name="_Toc27665722"/>
      <w:r>
        <w:rPr>
          <w:rFonts w:ascii="Arial" w:hAnsi="Arial" w:cs="Arial"/>
        </w:rPr>
        <w:t xml:space="preserve"> Documentación </w:t>
      </w:r>
      <w:r w:rsidR="000B597A" w:rsidRPr="00E803A1">
        <w:rPr>
          <w:rFonts w:ascii="Arial" w:hAnsi="Arial" w:cs="Arial"/>
        </w:rPr>
        <w:t>de la estrategia de transparencia y eficiencia en la gestión contractual</w:t>
      </w:r>
      <w:bookmarkEnd w:id="61"/>
    </w:p>
    <w:p w:rsidR="000B597A" w:rsidRPr="00E803A1" w:rsidRDefault="000B597A" w:rsidP="00551731">
      <w:pPr>
        <w:spacing w:line="276" w:lineRule="auto"/>
        <w:jc w:val="center"/>
        <w:rPr>
          <w:rFonts w:ascii="Arial" w:eastAsia="Times New Roman" w:hAnsi="Arial" w:cs="Arial"/>
          <w:szCs w:val="24"/>
          <w:lang w:val="en-US"/>
        </w:rPr>
      </w:pPr>
      <w:r w:rsidRPr="00E803A1">
        <w:rPr>
          <w:rFonts w:ascii="Arial" w:eastAsia="Times New Roman" w:hAnsi="Arial" w:cs="Arial"/>
          <w:noProof/>
          <w:szCs w:val="24"/>
          <w:lang w:eastAsia="es-CO"/>
        </w:rPr>
        <w:drawing>
          <wp:inline distT="0" distB="0" distL="0" distR="0" wp14:anchorId="0A4601BF" wp14:editId="3ABDA885">
            <wp:extent cx="4928429" cy="5872698"/>
            <wp:effectExtent l="0" t="0" r="5715"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36174" cy="5881927"/>
                    </a:xfrm>
                    <a:prstGeom prst="rect">
                      <a:avLst/>
                    </a:prstGeom>
                    <a:noFill/>
                  </pic:spPr>
                </pic:pic>
              </a:graphicData>
            </a:graphic>
          </wp:inline>
        </w:drawing>
      </w:r>
    </w:p>
    <w:p w:rsidR="000B597A" w:rsidRPr="000B597A" w:rsidRDefault="000B597A" w:rsidP="000B597A">
      <w:pPr>
        <w:keepNext/>
        <w:spacing w:line="276" w:lineRule="auto"/>
        <w:jc w:val="both"/>
        <w:rPr>
          <w:rFonts w:ascii="Arial" w:hAnsi="Arial" w:cs="Arial"/>
          <w:sz w:val="18"/>
          <w:szCs w:val="18"/>
        </w:rPr>
      </w:pPr>
      <w:r w:rsidRPr="000B597A">
        <w:rPr>
          <w:rFonts w:ascii="Arial" w:hAnsi="Arial" w:cs="Arial"/>
          <w:sz w:val="18"/>
          <w:szCs w:val="18"/>
        </w:rPr>
        <w:t>Fuente: Subdirección General Jurídica</w:t>
      </w:r>
    </w:p>
    <w:p w:rsidR="000B597A" w:rsidRPr="00E803A1" w:rsidRDefault="000B597A" w:rsidP="000B597A">
      <w:pPr>
        <w:spacing w:line="276" w:lineRule="auto"/>
        <w:jc w:val="both"/>
        <w:rPr>
          <w:rFonts w:ascii="Arial" w:hAnsi="Arial" w:cs="Arial"/>
          <w:b/>
          <w:szCs w:val="24"/>
          <w:u w:val="single"/>
        </w:rPr>
      </w:pPr>
    </w:p>
    <w:p w:rsidR="000B597A" w:rsidRPr="00E803A1" w:rsidRDefault="000B597A" w:rsidP="000B597A">
      <w:pPr>
        <w:spacing w:line="276" w:lineRule="auto"/>
        <w:jc w:val="both"/>
        <w:rPr>
          <w:rFonts w:ascii="Arial" w:hAnsi="Arial" w:cs="Arial"/>
          <w:szCs w:val="24"/>
        </w:rPr>
      </w:pPr>
      <w:r w:rsidRPr="00E803A1">
        <w:rPr>
          <w:rFonts w:ascii="Arial" w:hAnsi="Arial" w:cs="Arial"/>
          <w:b/>
          <w:szCs w:val="24"/>
          <w:u w:val="single"/>
        </w:rPr>
        <w:t>Otras herramientas:</w:t>
      </w:r>
      <w:r w:rsidRPr="00E803A1">
        <w:rPr>
          <w:rFonts w:ascii="Arial" w:hAnsi="Arial" w:cs="Arial"/>
          <w:szCs w:val="24"/>
        </w:rPr>
        <w:t xml:space="preserve"> Complementariamente, se tomaron medidas orientadas a la gestión integral de proyectos, que permiten control ciudadano y autocontrol hacia la transparencia (ver Figura No. 3. </w:t>
      </w:r>
      <w:r w:rsidRPr="00E803A1">
        <w:rPr>
          <w:rFonts w:ascii="Arial" w:hAnsi="Arial" w:cs="Arial"/>
        </w:rPr>
        <w:t>Otras herramientas de la estrategia de transparencia y eficiencia en la gestión contractual)</w:t>
      </w:r>
    </w:p>
    <w:p w:rsidR="000B597A" w:rsidRPr="00E803A1" w:rsidRDefault="000B597A" w:rsidP="000B597A">
      <w:pPr>
        <w:pStyle w:val="Ttulo4"/>
        <w:keepNext w:val="0"/>
        <w:keepLines w:val="0"/>
        <w:spacing w:before="0" w:line="276" w:lineRule="auto"/>
        <w:ind w:left="426" w:hanging="360"/>
        <w:jc w:val="both"/>
        <w:rPr>
          <w:rFonts w:ascii="Arial" w:hAnsi="Arial" w:cs="Arial"/>
          <w:i w:val="0"/>
          <w:color w:val="auto"/>
        </w:rPr>
      </w:pPr>
      <w:r>
        <w:rPr>
          <w:rFonts w:ascii="Arial" w:hAnsi="Arial" w:cs="Arial"/>
          <w:b/>
          <w:i w:val="0"/>
          <w:color w:val="auto"/>
        </w:rPr>
        <w:lastRenderedPageBreak/>
        <w:t xml:space="preserve">4.2.1. </w:t>
      </w:r>
      <w:r w:rsidRPr="00E803A1">
        <w:rPr>
          <w:rFonts w:ascii="Arial" w:hAnsi="Arial" w:cs="Arial"/>
          <w:b/>
          <w:i w:val="0"/>
          <w:color w:val="auto"/>
        </w:rPr>
        <w:t>Mesas Técnicas de Trabajo generadas</w:t>
      </w:r>
      <w:r w:rsidRPr="00E803A1">
        <w:rPr>
          <w:rFonts w:ascii="Arial" w:hAnsi="Arial" w:cs="Arial"/>
          <w:i w:val="0"/>
          <w:color w:val="auto"/>
        </w:rPr>
        <w:t xml:space="preserve">. </w:t>
      </w:r>
    </w:p>
    <w:p w:rsidR="000B597A" w:rsidRPr="00E803A1" w:rsidRDefault="000B597A" w:rsidP="000B597A">
      <w:pPr>
        <w:tabs>
          <w:tab w:val="left" w:pos="6312"/>
        </w:tabs>
        <w:spacing w:line="276" w:lineRule="auto"/>
        <w:jc w:val="both"/>
        <w:rPr>
          <w:rFonts w:ascii="Arial" w:hAnsi="Arial" w:cs="Arial"/>
        </w:rPr>
      </w:pPr>
      <w:r w:rsidRPr="00E803A1">
        <w:rPr>
          <w:rFonts w:ascii="Arial" w:hAnsi="Arial" w:cs="Arial"/>
        </w:rPr>
        <w:tab/>
      </w:r>
    </w:p>
    <w:p w:rsidR="000B597A" w:rsidRPr="00E803A1" w:rsidRDefault="000B597A" w:rsidP="000B597A">
      <w:pPr>
        <w:spacing w:line="276" w:lineRule="auto"/>
        <w:jc w:val="both"/>
        <w:rPr>
          <w:rFonts w:ascii="Arial" w:hAnsi="Arial" w:cs="Arial"/>
        </w:rPr>
      </w:pPr>
      <w:r w:rsidRPr="00E803A1">
        <w:rPr>
          <w:rFonts w:ascii="Arial" w:hAnsi="Arial" w:cs="Arial"/>
        </w:rPr>
        <w:t xml:space="preserve">Se consolidaron mesas con el fin de continuar implementando medidas de seguimiento, eficiencia y transparencia así: </w:t>
      </w:r>
    </w:p>
    <w:p w:rsidR="000B597A" w:rsidRPr="00E803A1" w:rsidRDefault="000B597A" w:rsidP="00D0183B">
      <w:pPr>
        <w:pStyle w:val="Prrafodelista"/>
        <w:numPr>
          <w:ilvl w:val="0"/>
          <w:numId w:val="9"/>
        </w:numPr>
        <w:spacing w:line="276" w:lineRule="auto"/>
        <w:ind w:left="567" w:hanging="283"/>
        <w:jc w:val="both"/>
        <w:rPr>
          <w:rFonts w:ascii="Arial" w:hAnsi="Arial" w:cs="Arial"/>
          <w:szCs w:val="24"/>
          <w:lang w:val="x-none"/>
        </w:rPr>
      </w:pPr>
      <w:r w:rsidRPr="00E803A1">
        <w:rPr>
          <w:rFonts w:ascii="Arial" w:hAnsi="Arial" w:cs="Arial"/>
          <w:szCs w:val="24"/>
        </w:rPr>
        <w:t xml:space="preserve">Mesa de Soluciones Contractuales. </w:t>
      </w:r>
    </w:p>
    <w:p w:rsidR="000B597A" w:rsidRPr="00E803A1" w:rsidRDefault="000B597A" w:rsidP="00D0183B">
      <w:pPr>
        <w:pStyle w:val="Prrafodelista"/>
        <w:numPr>
          <w:ilvl w:val="0"/>
          <w:numId w:val="9"/>
        </w:numPr>
        <w:spacing w:line="276" w:lineRule="auto"/>
        <w:ind w:left="567" w:hanging="283"/>
        <w:jc w:val="both"/>
        <w:rPr>
          <w:rFonts w:ascii="Arial" w:hAnsi="Arial" w:cs="Arial"/>
          <w:szCs w:val="24"/>
        </w:rPr>
      </w:pPr>
      <w:r w:rsidRPr="00E803A1">
        <w:rPr>
          <w:rFonts w:ascii="Arial" w:hAnsi="Arial" w:cs="Arial"/>
          <w:szCs w:val="24"/>
        </w:rPr>
        <w:t xml:space="preserve">Mesa de Seguimiento Acciones Populares </w:t>
      </w:r>
    </w:p>
    <w:p w:rsidR="000B597A" w:rsidRPr="00E803A1" w:rsidRDefault="000B597A" w:rsidP="00D0183B">
      <w:pPr>
        <w:pStyle w:val="Prrafodelista"/>
        <w:numPr>
          <w:ilvl w:val="0"/>
          <w:numId w:val="9"/>
        </w:numPr>
        <w:spacing w:line="276" w:lineRule="auto"/>
        <w:ind w:left="567" w:hanging="283"/>
        <w:jc w:val="both"/>
        <w:rPr>
          <w:rFonts w:ascii="Arial" w:hAnsi="Arial" w:cs="Arial"/>
          <w:szCs w:val="24"/>
        </w:rPr>
      </w:pPr>
      <w:r w:rsidRPr="00E803A1">
        <w:rPr>
          <w:rFonts w:ascii="Arial" w:hAnsi="Arial" w:cs="Arial"/>
          <w:szCs w:val="24"/>
        </w:rPr>
        <w:t>Mesa de Trabajo Colombia Compra Eficiente. Pliegos Tipo Nación.</w:t>
      </w:r>
    </w:p>
    <w:p w:rsidR="000B597A" w:rsidRPr="00E803A1" w:rsidRDefault="000B597A" w:rsidP="00D0183B">
      <w:pPr>
        <w:pStyle w:val="Prrafodelista"/>
        <w:numPr>
          <w:ilvl w:val="0"/>
          <w:numId w:val="9"/>
        </w:numPr>
        <w:spacing w:line="276" w:lineRule="auto"/>
        <w:ind w:left="567" w:hanging="283"/>
        <w:jc w:val="both"/>
        <w:rPr>
          <w:rFonts w:ascii="Arial" w:hAnsi="Arial" w:cs="Arial"/>
          <w:szCs w:val="24"/>
        </w:rPr>
      </w:pPr>
      <w:r w:rsidRPr="00E803A1">
        <w:rPr>
          <w:rFonts w:ascii="Arial" w:hAnsi="Arial" w:cs="Arial"/>
          <w:szCs w:val="24"/>
        </w:rPr>
        <w:t xml:space="preserve">Mesa Asociación Pública Privada. </w:t>
      </w:r>
    </w:p>
    <w:p w:rsidR="000B597A" w:rsidRPr="00E803A1" w:rsidRDefault="000B597A" w:rsidP="00D0183B">
      <w:pPr>
        <w:pStyle w:val="Prrafodelista"/>
        <w:numPr>
          <w:ilvl w:val="0"/>
          <w:numId w:val="9"/>
        </w:numPr>
        <w:spacing w:line="276" w:lineRule="auto"/>
        <w:ind w:left="567" w:hanging="283"/>
        <w:jc w:val="both"/>
        <w:rPr>
          <w:rFonts w:ascii="Arial" w:hAnsi="Arial" w:cs="Arial"/>
          <w:szCs w:val="24"/>
        </w:rPr>
      </w:pPr>
      <w:r w:rsidRPr="00E803A1">
        <w:rPr>
          <w:rFonts w:ascii="Arial" w:hAnsi="Arial" w:cs="Arial"/>
          <w:szCs w:val="24"/>
        </w:rPr>
        <w:t>Mesa Políticas Prevención der Daño Antijurídico</w:t>
      </w:r>
    </w:p>
    <w:p w:rsidR="000B597A" w:rsidRPr="00E803A1" w:rsidRDefault="000B597A" w:rsidP="00D0183B">
      <w:pPr>
        <w:pStyle w:val="Prrafodelista"/>
        <w:numPr>
          <w:ilvl w:val="0"/>
          <w:numId w:val="9"/>
        </w:numPr>
        <w:spacing w:after="0" w:line="276" w:lineRule="auto"/>
        <w:ind w:left="567" w:hanging="283"/>
        <w:jc w:val="both"/>
        <w:rPr>
          <w:rFonts w:ascii="Arial" w:hAnsi="Arial" w:cs="Arial"/>
          <w:szCs w:val="24"/>
        </w:rPr>
      </w:pPr>
      <w:r w:rsidRPr="00E803A1">
        <w:rPr>
          <w:rFonts w:ascii="Arial" w:hAnsi="Arial" w:cs="Arial"/>
          <w:szCs w:val="24"/>
        </w:rPr>
        <w:t xml:space="preserve">Mesa Especial Valorización. </w:t>
      </w:r>
    </w:p>
    <w:p w:rsidR="000B597A" w:rsidRPr="00E803A1" w:rsidRDefault="000B597A" w:rsidP="000B597A">
      <w:pPr>
        <w:jc w:val="both"/>
        <w:rPr>
          <w:rFonts w:ascii="Arial" w:hAnsi="Arial" w:cs="Arial"/>
          <w:lang w:eastAsia="es-CO"/>
        </w:rPr>
      </w:pPr>
    </w:p>
    <w:p w:rsidR="000B597A" w:rsidRPr="00E803A1" w:rsidRDefault="000B597A" w:rsidP="000B597A">
      <w:pPr>
        <w:pStyle w:val="Descripcin"/>
        <w:spacing w:after="0"/>
        <w:rPr>
          <w:rFonts w:ascii="Arial" w:eastAsia="Century Gothic" w:hAnsi="Arial" w:cs="Arial"/>
          <w:szCs w:val="24"/>
        </w:rPr>
      </w:pPr>
      <w:bookmarkStart w:id="62" w:name="_Toc27665723"/>
      <w:r w:rsidRPr="00E803A1">
        <w:rPr>
          <w:rFonts w:ascii="Arial" w:hAnsi="Arial" w:cs="Arial"/>
        </w:rPr>
        <w:t>Herramientas de la estrategia de transparencia y eficiencia en la gestión contractual</w:t>
      </w:r>
      <w:bookmarkEnd w:id="62"/>
    </w:p>
    <w:p w:rsidR="000B597A" w:rsidRPr="00E803A1" w:rsidRDefault="000B597A" w:rsidP="000B597A">
      <w:pPr>
        <w:spacing w:line="276" w:lineRule="auto"/>
        <w:jc w:val="both"/>
        <w:rPr>
          <w:rFonts w:ascii="Arial" w:hAnsi="Arial" w:cs="Arial"/>
          <w:szCs w:val="24"/>
        </w:rPr>
      </w:pPr>
      <w:r w:rsidRPr="00E803A1">
        <w:rPr>
          <w:rFonts w:ascii="Arial" w:hAnsi="Arial" w:cs="Arial"/>
          <w:noProof/>
          <w:szCs w:val="24"/>
          <w:lang w:eastAsia="es-CO"/>
        </w:rPr>
        <w:drawing>
          <wp:inline distT="0" distB="0" distL="0" distR="0" wp14:anchorId="18F6CFA2" wp14:editId="4F88411C">
            <wp:extent cx="3786291" cy="3574473"/>
            <wp:effectExtent l="0" t="0" r="5080" b="6985"/>
            <wp:docPr id="2059" name="Imagen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91795" cy="3579669"/>
                    </a:xfrm>
                    <a:prstGeom prst="rect">
                      <a:avLst/>
                    </a:prstGeom>
                    <a:noFill/>
                  </pic:spPr>
                </pic:pic>
              </a:graphicData>
            </a:graphic>
          </wp:inline>
        </w:drawing>
      </w:r>
    </w:p>
    <w:p w:rsidR="000B597A" w:rsidRPr="00E803A1" w:rsidRDefault="000B597A" w:rsidP="000B597A">
      <w:pPr>
        <w:keepNext/>
        <w:spacing w:line="276" w:lineRule="auto"/>
        <w:jc w:val="both"/>
        <w:rPr>
          <w:rFonts w:ascii="Arial" w:hAnsi="Arial" w:cs="Arial"/>
          <w:sz w:val="20"/>
        </w:rPr>
      </w:pPr>
      <w:r w:rsidRPr="00E803A1">
        <w:rPr>
          <w:rFonts w:ascii="Arial" w:hAnsi="Arial" w:cs="Arial"/>
          <w:sz w:val="20"/>
        </w:rPr>
        <w:t>Fuente: Subdirección General Jurídica</w:t>
      </w:r>
    </w:p>
    <w:p w:rsidR="00551731" w:rsidRDefault="00551731" w:rsidP="000B597A">
      <w:pPr>
        <w:spacing w:line="276" w:lineRule="auto"/>
        <w:jc w:val="both"/>
        <w:rPr>
          <w:rFonts w:ascii="Arial" w:hAnsi="Arial" w:cs="Arial"/>
          <w:szCs w:val="24"/>
        </w:rPr>
      </w:pPr>
    </w:p>
    <w:p w:rsidR="000B597A" w:rsidRPr="00E803A1" w:rsidRDefault="000B597A" w:rsidP="000B597A">
      <w:pPr>
        <w:spacing w:line="276" w:lineRule="auto"/>
        <w:jc w:val="both"/>
        <w:rPr>
          <w:rFonts w:ascii="Arial" w:hAnsi="Arial" w:cs="Arial"/>
          <w:szCs w:val="24"/>
        </w:rPr>
      </w:pPr>
      <w:r w:rsidRPr="00E803A1">
        <w:rPr>
          <w:rFonts w:ascii="Arial" w:hAnsi="Arial" w:cs="Arial"/>
          <w:szCs w:val="24"/>
        </w:rPr>
        <w:t xml:space="preserve">Logros de Mesas Técnicas: </w:t>
      </w:r>
    </w:p>
    <w:p w:rsidR="000B597A" w:rsidRPr="00E803A1" w:rsidRDefault="000B597A" w:rsidP="00D0183B">
      <w:pPr>
        <w:pStyle w:val="Prrafodelista"/>
        <w:numPr>
          <w:ilvl w:val="0"/>
          <w:numId w:val="10"/>
        </w:numPr>
        <w:spacing w:line="276" w:lineRule="auto"/>
        <w:ind w:left="567" w:hanging="283"/>
        <w:jc w:val="both"/>
        <w:rPr>
          <w:rFonts w:ascii="Arial" w:hAnsi="Arial" w:cs="Arial"/>
          <w:szCs w:val="24"/>
          <w:lang w:eastAsia="es-CO"/>
        </w:rPr>
      </w:pPr>
      <w:r w:rsidRPr="00E803A1">
        <w:rPr>
          <w:rFonts w:ascii="Arial" w:hAnsi="Arial" w:cs="Arial"/>
          <w:szCs w:val="24"/>
          <w:lang w:eastAsia="es-CO"/>
        </w:rPr>
        <w:t>Participación activa en Pliegos Tipo (Nación).</w:t>
      </w:r>
    </w:p>
    <w:p w:rsidR="000B597A" w:rsidRPr="00E803A1" w:rsidRDefault="000B597A" w:rsidP="00D0183B">
      <w:pPr>
        <w:pStyle w:val="Prrafodelista"/>
        <w:numPr>
          <w:ilvl w:val="0"/>
          <w:numId w:val="10"/>
        </w:numPr>
        <w:spacing w:line="276" w:lineRule="auto"/>
        <w:ind w:left="567" w:hanging="283"/>
        <w:jc w:val="both"/>
        <w:rPr>
          <w:rFonts w:ascii="Arial" w:hAnsi="Arial" w:cs="Arial"/>
          <w:szCs w:val="24"/>
          <w:lang w:eastAsia="es-CO"/>
        </w:rPr>
      </w:pPr>
      <w:r w:rsidRPr="00E803A1">
        <w:rPr>
          <w:rFonts w:ascii="Arial" w:hAnsi="Arial" w:cs="Arial"/>
          <w:szCs w:val="24"/>
          <w:lang w:eastAsia="es-CO"/>
        </w:rPr>
        <w:t xml:space="preserve">Agilización de los proyectos. </w:t>
      </w:r>
    </w:p>
    <w:p w:rsidR="000B597A" w:rsidRPr="00E803A1" w:rsidRDefault="000B597A" w:rsidP="00D0183B">
      <w:pPr>
        <w:pStyle w:val="Prrafodelista"/>
        <w:numPr>
          <w:ilvl w:val="0"/>
          <w:numId w:val="10"/>
        </w:numPr>
        <w:tabs>
          <w:tab w:val="left" w:pos="567"/>
          <w:tab w:val="right" w:leader="dot" w:pos="8496"/>
        </w:tabs>
        <w:kinsoku w:val="0"/>
        <w:overflowPunct w:val="0"/>
        <w:spacing w:line="276" w:lineRule="auto"/>
        <w:ind w:left="567" w:hanging="283"/>
        <w:jc w:val="both"/>
        <w:textAlignment w:val="baseline"/>
        <w:rPr>
          <w:rFonts w:ascii="Arial" w:hAnsi="Arial" w:cs="Arial"/>
          <w:szCs w:val="24"/>
          <w:lang w:eastAsia="es-ES"/>
        </w:rPr>
      </w:pPr>
      <w:r w:rsidRPr="00E803A1">
        <w:rPr>
          <w:rFonts w:ascii="Arial" w:hAnsi="Arial" w:cs="Arial"/>
          <w:szCs w:val="24"/>
        </w:rPr>
        <w:t>Entrega de información completa y oportuna a los jueces para lo toma de decisiones judiciales.</w:t>
      </w:r>
    </w:p>
    <w:p w:rsidR="000B597A" w:rsidRPr="00E803A1" w:rsidRDefault="000B597A" w:rsidP="00D0183B">
      <w:pPr>
        <w:pStyle w:val="Prrafodelista"/>
        <w:numPr>
          <w:ilvl w:val="0"/>
          <w:numId w:val="10"/>
        </w:numPr>
        <w:spacing w:line="276" w:lineRule="auto"/>
        <w:ind w:left="567" w:hanging="283"/>
        <w:jc w:val="both"/>
        <w:rPr>
          <w:rFonts w:ascii="Arial" w:hAnsi="Arial" w:cs="Arial"/>
          <w:szCs w:val="24"/>
          <w:lang w:eastAsia="es-CO"/>
        </w:rPr>
      </w:pPr>
      <w:r w:rsidRPr="00E803A1">
        <w:rPr>
          <w:rFonts w:ascii="Arial" w:hAnsi="Arial" w:cs="Arial"/>
          <w:szCs w:val="24"/>
          <w:lang w:eastAsia="es-CO"/>
        </w:rPr>
        <w:lastRenderedPageBreak/>
        <w:t>Emisión y actualización de políticas de Prevención de Daño Antijurídico</w:t>
      </w:r>
    </w:p>
    <w:p w:rsidR="000B597A" w:rsidRPr="00E803A1" w:rsidRDefault="000B597A" w:rsidP="00D0183B">
      <w:pPr>
        <w:pStyle w:val="Prrafodelista"/>
        <w:numPr>
          <w:ilvl w:val="0"/>
          <w:numId w:val="10"/>
        </w:numPr>
        <w:spacing w:line="276" w:lineRule="auto"/>
        <w:ind w:left="567" w:hanging="283"/>
        <w:jc w:val="both"/>
        <w:rPr>
          <w:rFonts w:ascii="Arial" w:hAnsi="Arial" w:cs="Arial"/>
          <w:szCs w:val="24"/>
          <w:lang w:eastAsia="es-CO"/>
        </w:rPr>
      </w:pPr>
      <w:r w:rsidRPr="00E803A1">
        <w:rPr>
          <w:rFonts w:ascii="Arial" w:hAnsi="Arial" w:cs="Arial"/>
          <w:szCs w:val="24"/>
          <w:lang w:eastAsia="es-CO"/>
        </w:rPr>
        <w:t>Expedición del Acuerdo de Valorización</w:t>
      </w:r>
      <w:r w:rsidRPr="00E803A1">
        <w:rPr>
          <w:rFonts w:ascii="Arial" w:hAnsi="Arial" w:cs="Arial"/>
          <w:szCs w:val="24"/>
        </w:rPr>
        <w:t xml:space="preserve"> </w:t>
      </w:r>
    </w:p>
    <w:p w:rsidR="000B597A" w:rsidRPr="00E803A1" w:rsidRDefault="000B597A" w:rsidP="00D0183B">
      <w:pPr>
        <w:pStyle w:val="Prrafodelista"/>
        <w:numPr>
          <w:ilvl w:val="0"/>
          <w:numId w:val="10"/>
        </w:numPr>
        <w:spacing w:line="276" w:lineRule="auto"/>
        <w:ind w:left="567" w:hanging="283"/>
        <w:jc w:val="both"/>
        <w:rPr>
          <w:rFonts w:ascii="Arial" w:hAnsi="Arial" w:cs="Arial"/>
          <w:szCs w:val="24"/>
          <w:lang w:eastAsia="es-CO"/>
        </w:rPr>
      </w:pPr>
      <w:r w:rsidRPr="00E803A1">
        <w:rPr>
          <w:rFonts w:ascii="Arial" w:hAnsi="Arial" w:cs="Arial"/>
          <w:szCs w:val="24"/>
        </w:rPr>
        <w:t>Profesionalización y Actualización de Competencias (Jornadas de Conocimiento).</w:t>
      </w:r>
    </w:p>
    <w:p w:rsidR="000B597A" w:rsidRPr="00E803A1" w:rsidRDefault="000B597A" w:rsidP="00D0183B">
      <w:pPr>
        <w:pStyle w:val="Prrafodelista"/>
        <w:numPr>
          <w:ilvl w:val="0"/>
          <w:numId w:val="10"/>
        </w:numPr>
        <w:shd w:val="clear" w:color="auto" w:fill="FFFFFF"/>
        <w:spacing w:line="276" w:lineRule="auto"/>
        <w:ind w:left="567" w:hanging="283"/>
        <w:jc w:val="both"/>
        <w:rPr>
          <w:rFonts w:ascii="Arial" w:hAnsi="Arial" w:cs="Arial"/>
          <w:szCs w:val="24"/>
        </w:rPr>
      </w:pPr>
      <w:r w:rsidRPr="00E803A1">
        <w:rPr>
          <w:rFonts w:ascii="Arial" w:hAnsi="Arial" w:cs="Arial"/>
          <w:szCs w:val="24"/>
        </w:rPr>
        <w:t>Desde el año 2018 se dio inició al programa de “Supervisor Ideal del IDU”, que comprendió un proceso de formación para el fortalecimiento de las competencias duras</w:t>
      </w:r>
      <w:r w:rsidRPr="00E803A1">
        <w:rPr>
          <w:rStyle w:val="Refdenotaalpie"/>
          <w:rFonts w:ascii="Arial" w:hAnsi="Arial" w:cs="Arial"/>
          <w:szCs w:val="24"/>
        </w:rPr>
        <w:footnoteReference w:id="1"/>
      </w:r>
      <w:r w:rsidRPr="00E803A1">
        <w:rPr>
          <w:rFonts w:ascii="Arial" w:hAnsi="Arial" w:cs="Arial"/>
          <w:szCs w:val="24"/>
        </w:rPr>
        <w:t xml:space="preserve"> y blandas</w:t>
      </w:r>
      <w:r w:rsidRPr="00E803A1">
        <w:rPr>
          <w:rStyle w:val="Refdenotaalpie"/>
          <w:rFonts w:ascii="Arial" w:hAnsi="Arial" w:cs="Arial"/>
          <w:szCs w:val="24"/>
        </w:rPr>
        <w:footnoteReference w:id="2"/>
      </w:r>
      <w:r w:rsidRPr="00E803A1">
        <w:rPr>
          <w:rFonts w:ascii="Arial" w:hAnsi="Arial" w:cs="Arial"/>
          <w:szCs w:val="24"/>
        </w:rPr>
        <w:t xml:space="preserve"> de las personas que ejercen la supervisión de contratos en el Instituto de Desarrollo Urbano. </w:t>
      </w:r>
    </w:p>
    <w:p w:rsidR="000B597A" w:rsidRPr="00E803A1" w:rsidRDefault="000B597A" w:rsidP="00D0183B">
      <w:pPr>
        <w:pStyle w:val="Prrafodelista"/>
        <w:numPr>
          <w:ilvl w:val="0"/>
          <w:numId w:val="10"/>
        </w:numPr>
        <w:shd w:val="clear" w:color="auto" w:fill="FFFFFF"/>
        <w:spacing w:line="276" w:lineRule="auto"/>
        <w:ind w:left="567" w:hanging="283"/>
        <w:jc w:val="both"/>
        <w:rPr>
          <w:rFonts w:ascii="Arial" w:hAnsi="Arial" w:cs="Arial"/>
          <w:szCs w:val="24"/>
        </w:rPr>
      </w:pPr>
      <w:r w:rsidRPr="00E803A1">
        <w:rPr>
          <w:rFonts w:ascii="Arial" w:hAnsi="Arial" w:cs="Arial"/>
          <w:szCs w:val="24"/>
        </w:rPr>
        <w:t xml:space="preserve">Jornadas de conocimiento para lograr la actualización de los procedimientos de contratación y su correcta implementación en la plataforma SECOP II. </w:t>
      </w:r>
    </w:p>
    <w:p w:rsidR="000B597A" w:rsidRPr="00E803A1" w:rsidRDefault="000B597A" w:rsidP="000B597A">
      <w:pPr>
        <w:shd w:val="clear" w:color="auto" w:fill="FFFFFF"/>
        <w:spacing w:line="276" w:lineRule="auto"/>
        <w:jc w:val="both"/>
        <w:rPr>
          <w:rFonts w:ascii="Arial" w:hAnsi="Arial" w:cs="Arial"/>
          <w:szCs w:val="24"/>
        </w:rPr>
      </w:pPr>
    </w:p>
    <w:p w:rsidR="000B597A" w:rsidRPr="00E803A1" w:rsidRDefault="000B597A" w:rsidP="000B597A">
      <w:pPr>
        <w:pStyle w:val="Ttulo4"/>
        <w:keepNext w:val="0"/>
        <w:keepLines w:val="0"/>
        <w:spacing w:before="0" w:line="360" w:lineRule="auto"/>
        <w:ind w:left="426" w:hanging="360"/>
        <w:jc w:val="both"/>
        <w:rPr>
          <w:rFonts w:ascii="Arial" w:hAnsi="Arial" w:cs="Arial"/>
          <w:b/>
          <w:i w:val="0"/>
          <w:color w:val="auto"/>
        </w:rPr>
      </w:pPr>
      <w:r>
        <w:rPr>
          <w:rFonts w:ascii="Arial" w:hAnsi="Arial" w:cs="Arial"/>
          <w:b/>
          <w:i w:val="0"/>
          <w:color w:val="auto"/>
        </w:rPr>
        <w:t xml:space="preserve">4.2.2. </w:t>
      </w:r>
      <w:r w:rsidRPr="00E803A1">
        <w:rPr>
          <w:rFonts w:ascii="Arial" w:hAnsi="Arial" w:cs="Arial"/>
          <w:b/>
          <w:i w:val="0"/>
          <w:color w:val="auto"/>
        </w:rPr>
        <w:t>Tres herramientas para destacar de la Estrategia.</w:t>
      </w:r>
    </w:p>
    <w:p w:rsidR="000B597A" w:rsidRPr="00E803A1" w:rsidRDefault="000B597A" w:rsidP="000B597A">
      <w:pPr>
        <w:shd w:val="clear" w:color="auto" w:fill="FFFFFF"/>
        <w:spacing w:line="276" w:lineRule="auto"/>
        <w:jc w:val="both"/>
        <w:rPr>
          <w:rFonts w:ascii="Arial" w:hAnsi="Arial" w:cs="Arial"/>
          <w:szCs w:val="24"/>
        </w:rPr>
      </w:pPr>
    </w:p>
    <w:p w:rsidR="000B597A" w:rsidRPr="00E803A1" w:rsidRDefault="000B597A" w:rsidP="000B597A">
      <w:pPr>
        <w:shd w:val="clear" w:color="auto" w:fill="FFFFFF"/>
        <w:spacing w:line="276" w:lineRule="auto"/>
        <w:jc w:val="both"/>
        <w:rPr>
          <w:rFonts w:ascii="Arial" w:hAnsi="Arial" w:cs="Arial"/>
          <w:b/>
          <w:szCs w:val="24"/>
          <w:u w:val="single"/>
        </w:rPr>
      </w:pPr>
      <w:r w:rsidRPr="00E803A1">
        <w:rPr>
          <w:rFonts w:ascii="Arial" w:hAnsi="Arial" w:cs="Arial"/>
          <w:b/>
          <w:szCs w:val="24"/>
          <w:u w:val="single"/>
        </w:rPr>
        <w:t>Puesta en funcionamiento de SECOP II</w:t>
      </w:r>
    </w:p>
    <w:p w:rsidR="000B597A" w:rsidRPr="00E803A1" w:rsidRDefault="000B597A" w:rsidP="000B597A">
      <w:pPr>
        <w:shd w:val="clear" w:color="auto" w:fill="FFFFFF"/>
        <w:spacing w:line="276" w:lineRule="auto"/>
        <w:jc w:val="both"/>
        <w:rPr>
          <w:rFonts w:ascii="Arial" w:hAnsi="Arial" w:cs="Arial"/>
          <w:b/>
          <w:szCs w:val="24"/>
          <w:u w:val="single"/>
        </w:rPr>
      </w:pPr>
    </w:p>
    <w:p w:rsidR="000B597A" w:rsidRPr="00E803A1" w:rsidRDefault="000B597A" w:rsidP="000B597A">
      <w:pPr>
        <w:shd w:val="clear" w:color="auto" w:fill="FFFFFF"/>
        <w:spacing w:line="276" w:lineRule="auto"/>
        <w:jc w:val="both"/>
        <w:rPr>
          <w:rFonts w:ascii="Arial" w:hAnsi="Arial" w:cs="Arial"/>
          <w:szCs w:val="24"/>
        </w:rPr>
      </w:pPr>
      <w:r w:rsidRPr="00E803A1">
        <w:rPr>
          <w:rFonts w:ascii="Arial" w:hAnsi="Arial" w:cs="Arial"/>
          <w:szCs w:val="24"/>
        </w:rPr>
        <w:t xml:space="preserve">A </w:t>
      </w:r>
      <w:r w:rsidR="00551731" w:rsidRPr="00E803A1">
        <w:rPr>
          <w:rFonts w:ascii="Arial" w:hAnsi="Arial" w:cs="Arial"/>
          <w:szCs w:val="24"/>
        </w:rPr>
        <w:t>continuación,</w:t>
      </w:r>
      <w:r w:rsidRPr="00E803A1">
        <w:rPr>
          <w:rFonts w:ascii="Arial" w:hAnsi="Arial" w:cs="Arial"/>
          <w:szCs w:val="24"/>
        </w:rPr>
        <w:t xml:space="preserve"> se ilustra el proceso de implementación de la plataforma SECOP II en el Instituto.</w:t>
      </w:r>
    </w:p>
    <w:p w:rsidR="000B597A" w:rsidRPr="00E803A1" w:rsidRDefault="000B597A" w:rsidP="000B597A">
      <w:pPr>
        <w:pStyle w:val="Descripcin"/>
        <w:spacing w:after="0"/>
        <w:rPr>
          <w:rFonts w:ascii="Arial" w:hAnsi="Arial" w:cs="Arial"/>
          <w:szCs w:val="24"/>
        </w:rPr>
      </w:pPr>
      <w:bookmarkStart w:id="63" w:name="_Toc27665724"/>
      <w:r w:rsidRPr="00E803A1">
        <w:rPr>
          <w:rFonts w:ascii="Arial" w:hAnsi="Arial" w:cs="Arial"/>
        </w:rPr>
        <w:t xml:space="preserve">Figura </w:t>
      </w:r>
      <w:r w:rsidRPr="00E803A1">
        <w:rPr>
          <w:rFonts w:ascii="Arial" w:hAnsi="Arial" w:cs="Arial"/>
        </w:rPr>
        <w:fldChar w:fldCharType="begin"/>
      </w:r>
      <w:r w:rsidRPr="00E803A1">
        <w:rPr>
          <w:rFonts w:ascii="Arial" w:hAnsi="Arial" w:cs="Arial"/>
        </w:rPr>
        <w:instrText xml:space="preserve"> SEQ Figura \* ARABIC </w:instrText>
      </w:r>
      <w:r w:rsidRPr="00E803A1">
        <w:rPr>
          <w:rFonts w:ascii="Arial" w:hAnsi="Arial" w:cs="Arial"/>
        </w:rPr>
        <w:fldChar w:fldCharType="separate"/>
      </w:r>
      <w:r w:rsidR="002D104F">
        <w:rPr>
          <w:rFonts w:ascii="Arial" w:hAnsi="Arial" w:cs="Arial"/>
          <w:noProof/>
        </w:rPr>
        <w:t>1</w:t>
      </w:r>
      <w:r w:rsidRPr="00E803A1">
        <w:rPr>
          <w:rFonts w:ascii="Arial" w:hAnsi="Arial" w:cs="Arial"/>
          <w:noProof/>
        </w:rPr>
        <w:fldChar w:fldCharType="end"/>
      </w:r>
      <w:r w:rsidRPr="00E803A1">
        <w:rPr>
          <w:rFonts w:ascii="Arial" w:hAnsi="Arial" w:cs="Arial"/>
        </w:rPr>
        <w:t>. Implementación SECOP II</w:t>
      </w:r>
      <w:bookmarkEnd w:id="63"/>
    </w:p>
    <w:p w:rsidR="000B597A" w:rsidRPr="00E803A1" w:rsidRDefault="000B597A" w:rsidP="000B597A">
      <w:pPr>
        <w:shd w:val="clear" w:color="auto" w:fill="FFFFFF"/>
        <w:spacing w:line="276" w:lineRule="auto"/>
        <w:jc w:val="both"/>
        <w:rPr>
          <w:rFonts w:ascii="Arial" w:hAnsi="Arial" w:cs="Arial"/>
          <w:szCs w:val="24"/>
        </w:rPr>
      </w:pPr>
      <w:r w:rsidRPr="00E803A1">
        <w:rPr>
          <w:rFonts w:ascii="Arial" w:hAnsi="Arial" w:cs="Arial"/>
          <w:noProof/>
          <w:lang w:eastAsia="es-CO"/>
        </w:rPr>
        <w:drawing>
          <wp:inline distT="0" distB="0" distL="0" distR="0" wp14:anchorId="39369F0C" wp14:editId="7F805AF5">
            <wp:extent cx="4229100" cy="2008823"/>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3" cstate="print">
                      <a:extLst>
                        <a:ext uri="{28A0092B-C50C-407E-A947-70E740481C1C}">
                          <a14:useLocalDpi xmlns:a14="http://schemas.microsoft.com/office/drawing/2010/main" val="0"/>
                        </a:ext>
                      </a:extLst>
                    </a:blip>
                    <a:srcRect l="22635" t="15239" r="1671" b="9248"/>
                    <a:stretch>
                      <a:fillRect/>
                    </a:stretch>
                  </pic:blipFill>
                  <pic:spPr bwMode="auto">
                    <a:xfrm>
                      <a:off x="0" y="0"/>
                      <a:ext cx="4229100" cy="2008823"/>
                    </a:xfrm>
                    <a:prstGeom prst="rect">
                      <a:avLst/>
                    </a:prstGeom>
                    <a:noFill/>
                    <a:ln>
                      <a:noFill/>
                    </a:ln>
                  </pic:spPr>
                </pic:pic>
              </a:graphicData>
            </a:graphic>
          </wp:inline>
        </w:drawing>
      </w:r>
    </w:p>
    <w:p w:rsidR="000B597A" w:rsidRPr="00E803A1" w:rsidRDefault="000B597A" w:rsidP="000B597A">
      <w:pPr>
        <w:keepNext/>
        <w:spacing w:line="276" w:lineRule="auto"/>
        <w:jc w:val="both"/>
        <w:rPr>
          <w:rFonts w:ascii="Arial" w:hAnsi="Arial" w:cs="Arial"/>
          <w:sz w:val="20"/>
        </w:rPr>
      </w:pPr>
      <w:r w:rsidRPr="00E803A1">
        <w:rPr>
          <w:rFonts w:ascii="Arial" w:hAnsi="Arial" w:cs="Arial"/>
          <w:sz w:val="20"/>
        </w:rPr>
        <w:t>Fuente: Subdirección General Jurídica</w:t>
      </w:r>
    </w:p>
    <w:p w:rsidR="000B597A" w:rsidRPr="00E803A1" w:rsidRDefault="000B597A" w:rsidP="000B597A">
      <w:pPr>
        <w:shd w:val="clear" w:color="auto" w:fill="FFFFFF"/>
        <w:spacing w:line="276" w:lineRule="auto"/>
        <w:jc w:val="both"/>
        <w:rPr>
          <w:rFonts w:ascii="Arial" w:hAnsi="Arial" w:cs="Arial"/>
          <w:szCs w:val="24"/>
        </w:rPr>
      </w:pPr>
    </w:p>
    <w:p w:rsidR="000B597A" w:rsidRPr="00E803A1" w:rsidRDefault="000B597A" w:rsidP="000B597A">
      <w:pPr>
        <w:shd w:val="clear" w:color="auto" w:fill="FFFFFF"/>
        <w:spacing w:line="276" w:lineRule="auto"/>
        <w:jc w:val="both"/>
        <w:rPr>
          <w:rFonts w:ascii="Arial" w:hAnsi="Arial" w:cs="Arial"/>
          <w:szCs w:val="24"/>
        </w:rPr>
      </w:pPr>
      <w:r w:rsidRPr="00E803A1">
        <w:rPr>
          <w:rFonts w:ascii="Arial" w:hAnsi="Arial" w:cs="Arial"/>
          <w:b/>
          <w:szCs w:val="24"/>
          <w:u w:val="single"/>
        </w:rPr>
        <w:lastRenderedPageBreak/>
        <w:t>Subsistema de Gestión Anti-soborno</w:t>
      </w:r>
      <w:r w:rsidRPr="00E803A1">
        <w:rPr>
          <w:rFonts w:ascii="Arial" w:hAnsi="Arial" w:cs="Arial"/>
          <w:b/>
          <w:szCs w:val="24"/>
        </w:rPr>
        <w:t>.</w:t>
      </w:r>
      <w:r w:rsidRPr="00E803A1">
        <w:rPr>
          <w:rFonts w:ascii="Arial" w:hAnsi="Arial" w:cs="Arial"/>
          <w:szCs w:val="24"/>
        </w:rPr>
        <w:t xml:space="preserve"> </w:t>
      </w:r>
    </w:p>
    <w:p w:rsidR="000B597A" w:rsidRPr="00E803A1" w:rsidRDefault="000B597A" w:rsidP="000B597A">
      <w:pPr>
        <w:shd w:val="clear" w:color="auto" w:fill="FFFFFF"/>
        <w:spacing w:line="276" w:lineRule="auto"/>
        <w:jc w:val="both"/>
        <w:rPr>
          <w:rFonts w:ascii="Arial" w:hAnsi="Arial" w:cs="Arial"/>
          <w:szCs w:val="24"/>
        </w:rPr>
      </w:pPr>
    </w:p>
    <w:p w:rsidR="000B597A" w:rsidRPr="00E803A1" w:rsidRDefault="000B597A" w:rsidP="000B597A">
      <w:pPr>
        <w:shd w:val="clear" w:color="auto" w:fill="FFFFFF"/>
        <w:spacing w:line="276" w:lineRule="auto"/>
        <w:jc w:val="both"/>
        <w:rPr>
          <w:rFonts w:ascii="Arial" w:hAnsi="Arial" w:cs="Arial"/>
          <w:szCs w:val="24"/>
        </w:rPr>
      </w:pPr>
      <w:r w:rsidRPr="00E803A1">
        <w:rPr>
          <w:rFonts w:ascii="Arial" w:hAnsi="Arial" w:cs="Arial"/>
          <w:szCs w:val="24"/>
        </w:rPr>
        <w:t>Durante el año 2019 se consolidó el Subsistema de Gestión Anti-soborno, la Dirección General definió una Directriz (política) la cual recibió aprobación y apoyo irrestricto de parte del Consejo Directivo, el cual emitió el Acuerdo No. 4 de 2019 consolidando este respaldo a la gestión anti-soborno del IDU. A partir de la Directriz y con el liderazgo de la Dirección General y el apoyo de la Oficina Asesora de Planeación, la Subdirección General de Gestión Corporativa y la Subdirección General Jurídica, hoy el IDU ha consolidado un Subsistema de Gestión Anti-soborno que cumple con los requisitos de la norma ISO 37001 y se encuentra listo para su certificación por parte de un Organismo de Certificación Internacional.</w:t>
      </w:r>
    </w:p>
    <w:p w:rsidR="000B597A" w:rsidRPr="00E803A1" w:rsidRDefault="000B597A" w:rsidP="000B597A">
      <w:pPr>
        <w:shd w:val="clear" w:color="auto" w:fill="FFFFFF"/>
        <w:spacing w:line="276" w:lineRule="auto"/>
        <w:jc w:val="both"/>
        <w:rPr>
          <w:rFonts w:ascii="Arial" w:hAnsi="Arial" w:cs="Arial"/>
          <w:szCs w:val="24"/>
        </w:rPr>
      </w:pPr>
    </w:p>
    <w:p w:rsidR="000B597A" w:rsidRPr="00E803A1" w:rsidRDefault="000B597A" w:rsidP="000B597A">
      <w:pPr>
        <w:shd w:val="clear" w:color="auto" w:fill="FFFFFF"/>
        <w:spacing w:line="276" w:lineRule="auto"/>
        <w:jc w:val="both"/>
        <w:rPr>
          <w:rFonts w:ascii="Arial" w:hAnsi="Arial" w:cs="Arial"/>
          <w:b/>
          <w:szCs w:val="24"/>
          <w:u w:val="single"/>
        </w:rPr>
      </w:pPr>
      <w:r w:rsidRPr="00E803A1">
        <w:rPr>
          <w:rFonts w:ascii="Arial" w:hAnsi="Arial" w:cs="Arial"/>
          <w:b/>
          <w:szCs w:val="24"/>
          <w:u w:val="single"/>
        </w:rPr>
        <w:t xml:space="preserve">Pliegos Tipo y Minutas Tipo. </w:t>
      </w:r>
    </w:p>
    <w:p w:rsidR="000B597A" w:rsidRPr="00E803A1" w:rsidRDefault="000B597A" w:rsidP="000B597A">
      <w:pPr>
        <w:tabs>
          <w:tab w:val="left" w:pos="1992"/>
        </w:tabs>
        <w:jc w:val="both"/>
        <w:rPr>
          <w:rFonts w:ascii="Arial" w:hAnsi="Arial" w:cs="Arial"/>
          <w:szCs w:val="24"/>
        </w:rPr>
      </w:pPr>
      <w:r w:rsidRPr="00E803A1">
        <w:rPr>
          <w:rFonts w:ascii="Arial" w:hAnsi="Arial" w:cs="Arial"/>
          <w:szCs w:val="24"/>
        </w:rPr>
        <w:tab/>
      </w:r>
    </w:p>
    <w:p w:rsidR="000B597A" w:rsidRPr="00E803A1" w:rsidRDefault="000B597A" w:rsidP="000B597A">
      <w:pPr>
        <w:shd w:val="clear" w:color="auto" w:fill="FFFFFF"/>
        <w:spacing w:line="276" w:lineRule="auto"/>
        <w:jc w:val="both"/>
        <w:rPr>
          <w:rFonts w:ascii="Arial" w:hAnsi="Arial" w:cs="Arial"/>
          <w:szCs w:val="24"/>
        </w:rPr>
      </w:pPr>
      <w:r w:rsidRPr="00E803A1">
        <w:rPr>
          <w:rFonts w:ascii="Arial" w:hAnsi="Arial" w:cs="Arial"/>
          <w:szCs w:val="24"/>
        </w:rPr>
        <w:t>Por su parte las Minutas Tipo incorporan desde el inicio del vínculo contractual, las herramientas, procedimientos y mecanismos de solución de tales situaciones en el evento que se presentan, salvaguardando de esta manera los intereses de la entidad, facilitando la ejecución de los proyectos y el cumplimiento de los objetos contractuales y garantizando, adicionalmente, la adopción de criterios y soluciones estándar a situaciones de hecho iguales.</w:t>
      </w:r>
    </w:p>
    <w:p w:rsidR="000B597A" w:rsidRPr="00E803A1" w:rsidRDefault="000B597A" w:rsidP="000B597A">
      <w:pPr>
        <w:pStyle w:val="Descripcin"/>
        <w:spacing w:after="0" w:line="276" w:lineRule="auto"/>
        <w:rPr>
          <w:rFonts w:ascii="Arial" w:hAnsi="Arial" w:cs="Arial"/>
          <w:szCs w:val="24"/>
        </w:rPr>
      </w:pPr>
      <w:bookmarkStart w:id="64" w:name="_Toc27665725"/>
      <w:r w:rsidRPr="00E803A1">
        <w:rPr>
          <w:rFonts w:ascii="Arial" w:hAnsi="Arial" w:cs="Arial"/>
        </w:rPr>
        <w:t>Implementación Pliegos y minutas tipo</w:t>
      </w:r>
      <w:bookmarkEnd w:id="64"/>
    </w:p>
    <w:p w:rsidR="000B597A" w:rsidRPr="00E803A1" w:rsidRDefault="000B597A" w:rsidP="000B597A">
      <w:pPr>
        <w:shd w:val="clear" w:color="auto" w:fill="FFFFFF"/>
        <w:spacing w:line="276" w:lineRule="auto"/>
        <w:jc w:val="both"/>
        <w:rPr>
          <w:rFonts w:ascii="Arial" w:hAnsi="Arial" w:cs="Arial"/>
          <w:szCs w:val="24"/>
          <w:u w:val="single"/>
        </w:rPr>
      </w:pPr>
      <w:r w:rsidRPr="00E803A1">
        <w:rPr>
          <w:rFonts w:ascii="Arial" w:hAnsi="Arial" w:cs="Arial"/>
          <w:noProof/>
          <w:szCs w:val="24"/>
          <w:u w:val="single"/>
          <w:lang w:eastAsia="es-CO"/>
        </w:rPr>
        <w:drawing>
          <wp:inline distT="0" distB="0" distL="0" distR="0" wp14:anchorId="7A2E73C5" wp14:editId="631C35B0">
            <wp:extent cx="3705863" cy="2750820"/>
            <wp:effectExtent l="0" t="0" r="0" b="0"/>
            <wp:docPr id="2060" name="Imagen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08923" cy="2753091"/>
                    </a:xfrm>
                    <a:prstGeom prst="rect">
                      <a:avLst/>
                    </a:prstGeom>
                    <a:noFill/>
                  </pic:spPr>
                </pic:pic>
              </a:graphicData>
            </a:graphic>
          </wp:inline>
        </w:drawing>
      </w:r>
    </w:p>
    <w:p w:rsidR="000B597A" w:rsidRPr="00E803A1" w:rsidRDefault="000B597A" w:rsidP="000B597A">
      <w:pPr>
        <w:keepNext/>
        <w:spacing w:line="276" w:lineRule="auto"/>
        <w:jc w:val="both"/>
        <w:rPr>
          <w:rFonts w:ascii="Arial" w:hAnsi="Arial" w:cs="Arial"/>
          <w:sz w:val="20"/>
        </w:rPr>
      </w:pPr>
      <w:r w:rsidRPr="00E803A1">
        <w:rPr>
          <w:rFonts w:ascii="Arial" w:hAnsi="Arial" w:cs="Arial"/>
          <w:sz w:val="20"/>
        </w:rPr>
        <w:t>Fuente: Subdirección General Jurídica</w:t>
      </w:r>
    </w:p>
    <w:p w:rsidR="000B597A" w:rsidRPr="00E803A1" w:rsidRDefault="000B597A" w:rsidP="000B597A">
      <w:pPr>
        <w:shd w:val="clear" w:color="auto" w:fill="FFFFFF"/>
        <w:spacing w:line="276" w:lineRule="auto"/>
        <w:jc w:val="both"/>
        <w:rPr>
          <w:rFonts w:ascii="Arial" w:hAnsi="Arial" w:cs="Arial"/>
          <w:szCs w:val="24"/>
          <w:u w:val="single"/>
        </w:rPr>
      </w:pPr>
    </w:p>
    <w:p w:rsidR="000B597A" w:rsidRPr="00E803A1" w:rsidRDefault="000B597A" w:rsidP="000B597A">
      <w:pPr>
        <w:shd w:val="clear" w:color="auto" w:fill="FFFFFF"/>
        <w:spacing w:line="276" w:lineRule="auto"/>
        <w:jc w:val="both"/>
        <w:rPr>
          <w:rFonts w:ascii="Arial" w:hAnsi="Arial" w:cs="Arial"/>
          <w:szCs w:val="24"/>
        </w:rPr>
      </w:pPr>
      <w:r w:rsidRPr="00E803A1">
        <w:rPr>
          <w:rFonts w:ascii="Arial" w:hAnsi="Arial" w:cs="Arial"/>
          <w:szCs w:val="24"/>
        </w:rPr>
        <w:lastRenderedPageBreak/>
        <w:t>La implementación de estas Minutas, además ha impactado positivamente los tiempos de respuesta de la Subdirección General Jurídica, en tanto que el trámite de elaboración de las mismas para la publicación de los procesos de selección es prácticamente inmediato, liberando a las Direcciones Técnicas de dicho proceso, pues la articulación para elaboración de cada Minuta, se realiza entre la DTPS y DTGC.  Finalmente, es importante precisar que estas Minutas Tipo son revisadas y actualizadas de manera constante conforme las solitudes o temas que se vayan informando por parte de las Direcciones Técnicas.</w:t>
      </w:r>
    </w:p>
    <w:p w:rsidR="000B597A" w:rsidRPr="00E803A1" w:rsidRDefault="000B597A" w:rsidP="000B597A">
      <w:pPr>
        <w:shd w:val="clear" w:color="auto" w:fill="FFFFFF"/>
        <w:spacing w:line="276" w:lineRule="auto"/>
        <w:jc w:val="both"/>
        <w:rPr>
          <w:rFonts w:ascii="Arial" w:hAnsi="Arial" w:cs="Arial"/>
          <w:szCs w:val="24"/>
        </w:rPr>
      </w:pPr>
    </w:p>
    <w:p w:rsidR="000B597A" w:rsidRDefault="000B597A" w:rsidP="000B597A">
      <w:pPr>
        <w:shd w:val="clear" w:color="auto" w:fill="FFFFFF"/>
        <w:spacing w:line="276" w:lineRule="auto"/>
        <w:jc w:val="both"/>
        <w:rPr>
          <w:rFonts w:ascii="Arial" w:hAnsi="Arial" w:cs="Arial"/>
          <w:szCs w:val="24"/>
        </w:rPr>
      </w:pPr>
      <w:r w:rsidRPr="00E803A1">
        <w:rPr>
          <w:rFonts w:ascii="Arial" w:hAnsi="Arial" w:cs="Arial"/>
          <w:szCs w:val="24"/>
        </w:rPr>
        <w:t>Se estructuró una Minuta Tipo para todos los proyectos de construcción de Troncales, dicha Minuta recoge las mejores prácticas no solo del IDU sino de otras entidades públicas en procesos de gran envergadura y permite regular y dar tratamiento a buena parte de las circunstancias jurídicas, técnicas y financiera que se presentan en ejecución de estos contratos, de tal manera que no se generen traumatismos, sino que se cuente con soluciones prontas y efectivas.</w:t>
      </w:r>
    </w:p>
    <w:p w:rsidR="00555563" w:rsidRDefault="00555563" w:rsidP="000B597A">
      <w:pPr>
        <w:shd w:val="clear" w:color="auto" w:fill="FFFFFF"/>
        <w:spacing w:line="276" w:lineRule="auto"/>
        <w:jc w:val="both"/>
        <w:rPr>
          <w:rFonts w:ascii="Arial" w:hAnsi="Arial" w:cs="Arial"/>
          <w:szCs w:val="24"/>
        </w:rPr>
      </w:pPr>
    </w:p>
    <w:p w:rsidR="00555563" w:rsidRPr="00555563" w:rsidRDefault="00555563" w:rsidP="00F35F4D">
      <w:pPr>
        <w:pStyle w:val="Ttulo2"/>
        <w:numPr>
          <w:ilvl w:val="0"/>
          <w:numId w:val="0"/>
        </w:numPr>
        <w:ind w:left="1428" w:hanging="360"/>
        <w:jc w:val="center"/>
        <w:rPr>
          <w:sz w:val="24"/>
          <w:szCs w:val="24"/>
        </w:rPr>
      </w:pPr>
      <w:bookmarkStart w:id="65" w:name="_Toc30774624"/>
      <w:r w:rsidRPr="00F35F4D">
        <w:rPr>
          <w:sz w:val="24"/>
          <w:szCs w:val="24"/>
        </w:rPr>
        <w:t>CAPITULO 5. GESTIÓN DE INFRAESTRUCTURA</w:t>
      </w:r>
      <w:bookmarkEnd w:id="65"/>
    </w:p>
    <w:p w:rsidR="00BE56D6" w:rsidRPr="00AC30EC" w:rsidRDefault="00BE56D6" w:rsidP="00BE56D6">
      <w:pPr>
        <w:spacing w:line="276" w:lineRule="auto"/>
        <w:jc w:val="both"/>
        <w:rPr>
          <w:rFonts w:ascii="Arial" w:hAnsi="Arial" w:cs="Arial"/>
        </w:rPr>
      </w:pPr>
    </w:p>
    <w:p w:rsidR="00AC30EC" w:rsidRPr="00AC30EC" w:rsidRDefault="00AC30EC" w:rsidP="00D0183B">
      <w:pPr>
        <w:pStyle w:val="Ttulo2"/>
        <w:numPr>
          <w:ilvl w:val="1"/>
          <w:numId w:val="51"/>
        </w:numPr>
        <w:spacing w:line="276" w:lineRule="auto"/>
        <w:rPr>
          <w:sz w:val="22"/>
          <w:lang w:val="en-US"/>
        </w:rPr>
      </w:pPr>
      <w:bookmarkStart w:id="66" w:name="_Toc27665230"/>
      <w:bookmarkStart w:id="67" w:name="_Toc30774625"/>
      <w:r w:rsidRPr="00AC30EC">
        <w:rPr>
          <w:sz w:val="22"/>
          <w:lang w:val="en-US"/>
        </w:rPr>
        <w:t>BALANCE PORTAFOLIO DE PROYECTOS 2016-2019</w:t>
      </w:r>
      <w:bookmarkEnd w:id="66"/>
      <w:bookmarkEnd w:id="67"/>
    </w:p>
    <w:p w:rsidR="00AC30EC" w:rsidRPr="00AC30EC" w:rsidRDefault="00AC30EC" w:rsidP="00AC30EC">
      <w:pPr>
        <w:spacing w:line="276" w:lineRule="auto"/>
        <w:rPr>
          <w:rFonts w:ascii="Arial" w:hAnsi="Arial" w:cs="Arial"/>
          <w:lang w:val="en-US"/>
        </w:rPr>
      </w:pPr>
    </w:p>
    <w:p w:rsidR="00AC30EC" w:rsidRPr="00AC30EC" w:rsidRDefault="00AC30EC" w:rsidP="00551731">
      <w:pPr>
        <w:spacing w:line="276" w:lineRule="auto"/>
        <w:jc w:val="both"/>
        <w:rPr>
          <w:rFonts w:ascii="Arial" w:hAnsi="Arial" w:cs="Arial"/>
        </w:rPr>
      </w:pPr>
      <w:r w:rsidRPr="00AC30EC">
        <w:rPr>
          <w:rFonts w:ascii="Arial" w:hAnsi="Arial" w:cs="Arial"/>
        </w:rPr>
        <w:t>Al inicio de la Administración, se realizó un balance de los proyectos que en ese momento se encontraban en ejecución y de aquellos que podrían tener avances importantes en las etapas del ciclo de vida de los proyectos previas a la construcción (Diseños, Gestión predial, entre otros). El resultado arrojó que si bien venían en marcha importantes proyectos en materia de infraestructura vial y de transporte (Transmicable, Av. Rincón – Tabor, Av. Bosa, Av. Ciudad de Cali, entre otros), éstos presentaban serias dificultades en los diseños que se adelantaban, y en su mayoría no contaban con los predios requeridos para iniciar la ejecución de obras ya contratadas.</w:t>
      </w:r>
    </w:p>
    <w:p w:rsidR="00AC30EC" w:rsidRPr="00AC30EC" w:rsidRDefault="00AC30EC" w:rsidP="00551731">
      <w:pPr>
        <w:spacing w:line="276" w:lineRule="auto"/>
        <w:jc w:val="both"/>
        <w:rPr>
          <w:rFonts w:ascii="Arial" w:hAnsi="Arial" w:cs="Arial"/>
        </w:rPr>
      </w:pPr>
    </w:p>
    <w:p w:rsidR="00AC30EC" w:rsidRPr="00AC30EC" w:rsidRDefault="00AC30EC" w:rsidP="00551731">
      <w:pPr>
        <w:spacing w:line="276" w:lineRule="auto"/>
        <w:jc w:val="both"/>
        <w:rPr>
          <w:rFonts w:ascii="Arial" w:hAnsi="Arial" w:cs="Arial"/>
        </w:rPr>
      </w:pPr>
      <w:r w:rsidRPr="00AC30EC">
        <w:rPr>
          <w:rFonts w:ascii="Arial" w:hAnsi="Arial" w:cs="Arial"/>
        </w:rPr>
        <w:t xml:space="preserve">Frente a los proyectos que se encontraban en estructuración, el resultado del balance no fue positivo ya que se pudo identificar que la Entidad no había adelantado los estudios necesarios para la ampliación de la red de troncales del sistema Transmilenio priorizadas en el POT y tampoco se contaba con estudios y diseños de proyectos de infraestructura vial y de espacio público diferentes a los que ya se encontraban contratados y que presentaban los inconvenientes mencionados anteriormente. Adicionalmente, se pudo establecer que para desarrollar la totalidad de los proyectos incluidos en el Acuerdo de Valorización 523 de 2013, existía un déficit estimado en ese momento en $304.000 millones </w:t>
      </w:r>
      <w:r w:rsidRPr="00AC30EC">
        <w:rPr>
          <w:rFonts w:ascii="Arial" w:hAnsi="Arial" w:cs="Arial"/>
        </w:rPr>
        <w:lastRenderedPageBreak/>
        <w:t>de pesos y un alto riesgo de tener que iniciar la devolución de los dineros recaudados por el incumplimiento en el inicio de las obras establecido en dicho Acuerdo.</w:t>
      </w:r>
    </w:p>
    <w:p w:rsidR="00AC30EC" w:rsidRPr="00AC30EC" w:rsidRDefault="00AC30EC" w:rsidP="00AC30EC">
      <w:pPr>
        <w:spacing w:line="276" w:lineRule="auto"/>
        <w:rPr>
          <w:rFonts w:ascii="Arial" w:hAnsi="Arial" w:cs="Arial"/>
        </w:rPr>
      </w:pPr>
    </w:p>
    <w:p w:rsidR="00AC30EC" w:rsidRPr="00AC30EC" w:rsidRDefault="00AC30EC" w:rsidP="00551731">
      <w:pPr>
        <w:spacing w:line="276" w:lineRule="auto"/>
        <w:jc w:val="both"/>
        <w:rPr>
          <w:rFonts w:ascii="Arial" w:hAnsi="Arial" w:cs="Arial"/>
        </w:rPr>
      </w:pPr>
      <w:r w:rsidRPr="00AC30EC">
        <w:rPr>
          <w:rFonts w:ascii="Arial" w:hAnsi="Arial" w:cs="Arial"/>
        </w:rPr>
        <w:t xml:space="preserve">Con este panorama, se inició un ambicioso plan de trabajo cuyos primeros objetivos consistieron en solucionar de manera inmediata los problemas de ejecución de las obras contratadas y en ejecución, así como también en la consecución de los recursos necesarios para apalancar la construcción de los grandes proyectos de infraestructura que iban a hacer incluidos en el Plan de Desarrollo, incluyendo por supuesto, las partidas presupuestales necesarias para dar cabal cumplimiento a los diferentes Acuerdos de Valorización vigentes al iniciar la Administración, cuyo incumplimiento venía generado una profunda desconfianza por parte de la ciudadanía hacia este importante mecanismo de financiación de los proyectos que requiere la ciudad. </w:t>
      </w:r>
    </w:p>
    <w:p w:rsidR="00AC30EC" w:rsidRPr="00AC30EC" w:rsidRDefault="00AC30EC" w:rsidP="00551731">
      <w:pPr>
        <w:spacing w:line="276" w:lineRule="auto"/>
        <w:jc w:val="both"/>
        <w:rPr>
          <w:rFonts w:ascii="Arial" w:hAnsi="Arial" w:cs="Arial"/>
        </w:rPr>
      </w:pPr>
    </w:p>
    <w:p w:rsidR="00AC30EC" w:rsidRPr="00AC30EC" w:rsidRDefault="00AC30EC" w:rsidP="00551731">
      <w:pPr>
        <w:spacing w:line="276" w:lineRule="auto"/>
        <w:jc w:val="both"/>
        <w:rPr>
          <w:rFonts w:ascii="Arial" w:hAnsi="Arial" w:cs="Arial"/>
        </w:rPr>
      </w:pPr>
      <w:r w:rsidRPr="00AC30EC">
        <w:rPr>
          <w:rFonts w:ascii="Arial" w:hAnsi="Arial" w:cs="Arial"/>
        </w:rPr>
        <w:t>Finalmente, y como parte del plan de trabajo propuesto, se inició la estructuración de los proyectos a ser ejecutados durante el periodo de gobierno, como lo son la ampliación de la red de  Troncales (Carrera Séptima, Av. 68, Av. Ciudad de Cali, Av. Villavicencio, etc.), el corredor de la Av. Tintal y la Av. Alsacia y la ampliación de los accesos viales de la ciudad (Autopista Norte, Carrera Séptima, Calle 13, ALO), entre otros importantes proyectos que finalmente fueron incluidos en el plan de obras del Plan de Desarrollo 2016-2019 “Bogotá Mejor Para Todos”, con sus metas correspondientes.</w:t>
      </w:r>
    </w:p>
    <w:p w:rsidR="00AC30EC" w:rsidRPr="00AC30EC" w:rsidRDefault="00AC30EC" w:rsidP="00551731">
      <w:pPr>
        <w:spacing w:line="276" w:lineRule="auto"/>
        <w:jc w:val="both"/>
        <w:rPr>
          <w:rFonts w:ascii="Arial" w:hAnsi="Arial" w:cs="Arial"/>
        </w:rPr>
      </w:pPr>
    </w:p>
    <w:p w:rsidR="00AC30EC" w:rsidRPr="00AC30EC" w:rsidRDefault="00AC30EC" w:rsidP="00551731">
      <w:pPr>
        <w:spacing w:line="276" w:lineRule="auto"/>
        <w:jc w:val="both"/>
        <w:rPr>
          <w:rFonts w:ascii="Arial" w:hAnsi="Arial" w:cs="Arial"/>
        </w:rPr>
      </w:pPr>
      <w:r w:rsidRPr="00AC30EC">
        <w:rPr>
          <w:rFonts w:ascii="Arial" w:hAnsi="Arial" w:cs="Arial"/>
        </w:rPr>
        <w:t>Con la hoja de ruta establecida al comienzo de la Administración, se inició la estructuración del más ambicioso plan de obras de la historia reciente de la ciudad, que después de superar importantes obstáculos desde el punto de vista técnico, financiero y político, han generado unos avances significativos en cuanto a la ejecución de los proyectos de construcción de infraestructura vial y de transporte de la ciudad, gracias a una inversión superior a los $200.000 millones de pesos en estudios y diseños que garantizan la ejecución de obra y la gestión predial de 85 proyectos por un valor de 8.6 Billones de pesos.</w:t>
      </w:r>
    </w:p>
    <w:p w:rsidR="00AC30EC" w:rsidRPr="00AC30EC" w:rsidRDefault="00AC30EC" w:rsidP="00551731">
      <w:pPr>
        <w:spacing w:line="276" w:lineRule="auto"/>
        <w:jc w:val="both"/>
        <w:rPr>
          <w:rFonts w:ascii="Arial" w:hAnsi="Arial" w:cs="Arial"/>
        </w:rPr>
      </w:pPr>
    </w:p>
    <w:p w:rsidR="00AC30EC" w:rsidRPr="00AC30EC" w:rsidRDefault="00AC30EC" w:rsidP="00551731">
      <w:pPr>
        <w:spacing w:line="276" w:lineRule="auto"/>
        <w:jc w:val="both"/>
        <w:rPr>
          <w:rFonts w:ascii="Arial" w:hAnsi="Arial" w:cs="Arial"/>
        </w:rPr>
      </w:pPr>
      <w:r w:rsidRPr="00AC30EC">
        <w:rPr>
          <w:rFonts w:ascii="Arial" w:hAnsi="Arial" w:cs="Arial"/>
        </w:rPr>
        <w:t>Dentro de los 85 proyectos mencionados, 30 obras ya han sido terminadas y entregadas a la ciudad y 54 proyectos continuarán su ejecución durante los próximos años (47 obras ya adjudicadas a diciembre de 2019 y 7 a ser contratadas en la vigencia 2020 – procesos en curso). Adicionalmente, la administración entrante contará con una base de datos compuesta por 67 proyectos con sus estudios de ingeniería en Fases II y III.</w:t>
      </w:r>
    </w:p>
    <w:p w:rsidR="00AC30EC" w:rsidRPr="00AC30EC" w:rsidRDefault="00AC30EC" w:rsidP="00551731">
      <w:pPr>
        <w:spacing w:line="276" w:lineRule="auto"/>
        <w:jc w:val="both"/>
        <w:rPr>
          <w:rFonts w:ascii="Arial" w:hAnsi="Arial" w:cs="Arial"/>
        </w:rPr>
      </w:pPr>
    </w:p>
    <w:p w:rsidR="00AC30EC" w:rsidRPr="00AC30EC" w:rsidRDefault="00AC30EC" w:rsidP="00551731">
      <w:pPr>
        <w:spacing w:line="276" w:lineRule="auto"/>
        <w:jc w:val="both"/>
        <w:rPr>
          <w:rFonts w:ascii="Arial" w:hAnsi="Arial" w:cs="Arial"/>
        </w:rPr>
      </w:pPr>
      <w:r w:rsidRPr="00AC30EC">
        <w:rPr>
          <w:rFonts w:ascii="Arial" w:hAnsi="Arial" w:cs="Arial"/>
        </w:rPr>
        <w:t xml:space="preserve">Así las cosas, esta Administración ha gestionado un total de 151 proyectos que abarcan todos los elementos que componen la infraestructura vial y de transporte de la ciudad, </w:t>
      </w:r>
      <w:r w:rsidRPr="00AC30EC">
        <w:rPr>
          <w:rFonts w:ascii="Arial" w:hAnsi="Arial" w:cs="Arial"/>
        </w:rPr>
        <w:lastRenderedPageBreak/>
        <w:t>garantizando que en cada uno de los proyectos gestionados se encuentre incluido dentro de su alcance, el mejoramiento y/o construcción del espacio público y las ciclorrutas asociados a cada uno de ellos.</w:t>
      </w:r>
    </w:p>
    <w:p w:rsidR="00AC30EC" w:rsidRPr="00AC30EC" w:rsidRDefault="00AC30EC" w:rsidP="00551731">
      <w:pPr>
        <w:spacing w:line="276" w:lineRule="auto"/>
        <w:jc w:val="both"/>
        <w:rPr>
          <w:rFonts w:ascii="Arial" w:hAnsi="Arial" w:cs="Arial"/>
        </w:rPr>
      </w:pPr>
    </w:p>
    <w:p w:rsidR="00AC30EC" w:rsidRPr="00AC30EC" w:rsidRDefault="00AC30EC" w:rsidP="00551731">
      <w:pPr>
        <w:spacing w:line="276" w:lineRule="auto"/>
        <w:jc w:val="both"/>
        <w:rPr>
          <w:rFonts w:ascii="Arial" w:hAnsi="Arial" w:cs="Arial"/>
        </w:rPr>
      </w:pPr>
      <w:r w:rsidRPr="00AC30EC">
        <w:rPr>
          <w:rFonts w:ascii="Arial" w:hAnsi="Arial" w:cs="Arial"/>
        </w:rPr>
        <w:t>El gestionar un proyecto significa adelantar una o más de las etapas principales del ciclo de vida de los proyectos de infraestructura vial y espacio público, el cual ha sido definido en el Instituto de acuerdo con la Figura No 7. Ciclo de Vida de los proyectos IDU.</w:t>
      </w:r>
    </w:p>
    <w:p w:rsidR="00AC30EC" w:rsidRPr="00AC30EC" w:rsidRDefault="00AC30EC" w:rsidP="00551731">
      <w:pPr>
        <w:spacing w:line="276" w:lineRule="auto"/>
        <w:jc w:val="both"/>
        <w:rPr>
          <w:rFonts w:ascii="Arial" w:hAnsi="Arial" w:cs="Arial"/>
        </w:rPr>
      </w:pPr>
    </w:p>
    <w:p w:rsidR="00AC30EC" w:rsidRPr="00AC30EC" w:rsidRDefault="00AC30EC" w:rsidP="00551731">
      <w:pPr>
        <w:spacing w:line="276" w:lineRule="auto"/>
        <w:jc w:val="both"/>
        <w:rPr>
          <w:rFonts w:ascii="Arial" w:hAnsi="Arial" w:cs="Arial"/>
        </w:rPr>
      </w:pPr>
      <w:r w:rsidRPr="00AC30EC">
        <w:rPr>
          <w:rFonts w:ascii="Arial" w:hAnsi="Arial" w:cs="Arial"/>
        </w:rPr>
        <w:t>La duración de cada una de las etapas puede variar según las características particulares de cada proyecto; no obstante, en promedio se ha establecido que este ciclo del proyecto puede durar 56 meses, según el análisis que se muestra a contin</w:t>
      </w:r>
      <w:r>
        <w:rPr>
          <w:rFonts w:ascii="Arial" w:hAnsi="Arial" w:cs="Arial"/>
        </w:rPr>
        <w:t xml:space="preserve">uación para cada una de ellas. </w:t>
      </w:r>
    </w:p>
    <w:p w:rsidR="00AC30EC" w:rsidRPr="00AC30EC" w:rsidRDefault="00AC30EC" w:rsidP="00AC30EC">
      <w:pPr>
        <w:spacing w:line="276" w:lineRule="auto"/>
        <w:rPr>
          <w:rFonts w:ascii="Arial" w:hAnsi="Arial" w:cs="Arial"/>
        </w:rPr>
      </w:pPr>
    </w:p>
    <w:p w:rsidR="00AC30EC" w:rsidRPr="00AC30EC" w:rsidRDefault="00AC30EC" w:rsidP="00AC30EC">
      <w:pPr>
        <w:pStyle w:val="Descripcin"/>
        <w:spacing w:after="0"/>
        <w:rPr>
          <w:rFonts w:ascii="Arial" w:hAnsi="Arial" w:cs="Arial"/>
          <w:i/>
        </w:rPr>
      </w:pPr>
      <w:bookmarkStart w:id="68" w:name="_Toc26192968"/>
      <w:bookmarkStart w:id="69" w:name="_Toc27665727"/>
      <w:r w:rsidRPr="00AC30EC">
        <w:rPr>
          <w:rFonts w:ascii="Arial" w:hAnsi="Arial" w:cs="Arial"/>
        </w:rPr>
        <w:t>Ciclo de Vida de los proyectos IDU</w:t>
      </w:r>
      <w:bookmarkEnd w:id="68"/>
      <w:bookmarkEnd w:id="69"/>
    </w:p>
    <w:p w:rsidR="00AC30EC" w:rsidRPr="00AC30EC" w:rsidRDefault="00AC30EC" w:rsidP="00551731">
      <w:pPr>
        <w:pStyle w:val="Descripcin"/>
        <w:spacing w:after="0"/>
        <w:jc w:val="center"/>
        <w:rPr>
          <w:rFonts w:ascii="Arial" w:hAnsi="Arial" w:cs="Arial"/>
          <w:i/>
        </w:rPr>
      </w:pPr>
      <w:r w:rsidRPr="00AC30EC">
        <w:rPr>
          <w:rFonts w:ascii="Arial" w:hAnsi="Arial" w:cs="Arial"/>
          <w:noProof/>
          <w:lang w:eastAsia="es-CO"/>
        </w:rPr>
        <w:drawing>
          <wp:inline distT="0" distB="0" distL="0" distR="0" wp14:anchorId="4C449B25" wp14:editId="7F00BE18">
            <wp:extent cx="3695700" cy="2951439"/>
            <wp:effectExtent l="0" t="0" r="0" b="190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707101" cy="2960544"/>
                    </a:xfrm>
                    <a:prstGeom prst="rect">
                      <a:avLst/>
                    </a:prstGeom>
                  </pic:spPr>
                </pic:pic>
              </a:graphicData>
            </a:graphic>
          </wp:inline>
        </w:drawing>
      </w:r>
    </w:p>
    <w:p w:rsidR="00AC30EC" w:rsidRPr="00AC30EC" w:rsidRDefault="00AC30EC" w:rsidP="00AC30EC">
      <w:pPr>
        <w:spacing w:line="276" w:lineRule="auto"/>
        <w:jc w:val="center"/>
        <w:rPr>
          <w:rFonts w:ascii="Arial" w:eastAsia="SimSun" w:hAnsi="Arial" w:cs="Arial"/>
          <w:iCs/>
          <w:sz w:val="20"/>
          <w:szCs w:val="24"/>
          <w:lang w:eastAsia="zh-CN" w:bidi="hi-IN"/>
        </w:rPr>
      </w:pPr>
      <w:r w:rsidRPr="00AC30EC">
        <w:rPr>
          <w:rFonts w:ascii="Arial" w:eastAsia="SimSun" w:hAnsi="Arial" w:cs="Arial"/>
          <w:iCs/>
          <w:sz w:val="20"/>
          <w:szCs w:val="24"/>
          <w:lang w:eastAsia="zh-CN" w:bidi="hi-IN"/>
        </w:rPr>
        <w:t>Fuente: Oficina Asesora de Planeación</w:t>
      </w:r>
    </w:p>
    <w:p w:rsidR="00AC30EC" w:rsidRPr="00AC30EC" w:rsidRDefault="00AC30EC" w:rsidP="00AC30EC">
      <w:pPr>
        <w:spacing w:line="276" w:lineRule="auto"/>
        <w:rPr>
          <w:rFonts w:ascii="Arial" w:hAnsi="Arial" w:cs="Arial"/>
        </w:rPr>
      </w:pPr>
    </w:p>
    <w:p w:rsidR="00AC30EC" w:rsidRPr="00AC30EC" w:rsidRDefault="00AC30EC" w:rsidP="00AC30EC">
      <w:pPr>
        <w:spacing w:line="276" w:lineRule="auto"/>
        <w:rPr>
          <w:rFonts w:ascii="Arial" w:hAnsi="Arial" w:cs="Arial"/>
          <w:b/>
        </w:rPr>
      </w:pPr>
      <w:r w:rsidRPr="00AC30EC">
        <w:rPr>
          <w:rFonts w:ascii="Arial" w:hAnsi="Arial" w:cs="Arial"/>
          <w:b/>
        </w:rPr>
        <w:t>a)</w:t>
      </w:r>
      <w:r w:rsidRPr="00AC30EC">
        <w:rPr>
          <w:rFonts w:ascii="Arial" w:hAnsi="Arial" w:cs="Arial"/>
          <w:b/>
        </w:rPr>
        <w:tab/>
        <w:t xml:space="preserve">ETAPA DE PREFACTIBILIDAD </w:t>
      </w:r>
    </w:p>
    <w:p w:rsidR="00AC30EC" w:rsidRPr="00AC30EC" w:rsidRDefault="00AC30EC" w:rsidP="00551731">
      <w:pPr>
        <w:spacing w:line="276" w:lineRule="auto"/>
        <w:jc w:val="both"/>
        <w:rPr>
          <w:rFonts w:ascii="Arial" w:hAnsi="Arial" w:cs="Arial"/>
          <w:b/>
        </w:rPr>
      </w:pPr>
    </w:p>
    <w:p w:rsidR="00AC30EC" w:rsidRPr="00AC30EC" w:rsidRDefault="00AC30EC" w:rsidP="00551731">
      <w:pPr>
        <w:spacing w:line="276" w:lineRule="auto"/>
        <w:jc w:val="both"/>
        <w:rPr>
          <w:rFonts w:ascii="Arial" w:hAnsi="Arial" w:cs="Arial"/>
        </w:rPr>
      </w:pPr>
      <w:r w:rsidRPr="00AC30EC">
        <w:rPr>
          <w:rFonts w:ascii="Arial" w:hAnsi="Arial" w:cs="Arial"/>
          <w:b/>
        </w:rPr>
        <w:t>Alcance:</w:t>
      </w:r>
      <w:r w:rsidRPr="00AC30EC">
        <w:rPr>
          <w:rFonts w:ascii="Arial" w:hAnsi="Arial" w:cs="Arial"/>
        </w:rPr>
        <w:t xml:space="preserve"> El estudio de Prefactibilidad (Estudios Fase I) analizan las alternativas de solución del proyecto. Se realizan con información secundaria. Estos estudios se realizan considerando una serie de criterios, técnicos, legales, prediales, financieros, económicos, sociales y ambientales, para determinar la bondad de cada una de las alternativas; se </w:t>
      </w:r>
      <w:r w:rsidRPr="00AC30EC">
        <w:rPr>
          <w:rFonts w:ascii="Arial" w:hAnsi="Arial" w:cs="Arial"/>
        </w:rPr>
        <w:lastRenderedPageBreak/>
        <w:t>determinan los criterios de evaluación de tal forma que se pueda tomar la decisión de selección de la alternativa más favorable, en la siguiente etapa de proyecto.</w:t>
      </w:r>
    </w:p>
    <w:p w:rsidR="00AC30EC" w:rsidRPr="00AC30EC" w:rsidRDefault="00AC30EC" w:rsidP="00551731">
      <w:pPr>
        <w:spacing w:line="276" w:lineRule="auto"/>
        <w:jc w:val="both"/>
        <w:rPr>
          <w:rFonts w:ascii="Arial" w:hAnsi="Arial" w:cs="Arial"/>
        </w:rPr>
      </w:pPr>
    </w:p>
    <w:p w:rsidR="00AC30EC" w:rsidRPr="00AC30EC" w:rsidRDefault="00AC30EC" w:rsidP="00551731">
      <w:pPr>
        <w:spacing w:line="276" w:lineRule="auto"/>
        <w:jc w:val="both"/>
        <w:rPr>
          <w:rFonts w:ascii="Arial" w:hAnsi="Arial" w:cs="Arial"/>
          <w:b/>
        </w:rPr>
      </w:pPr>
      <w:r w:rsidRPr="00AC30EC">
        <w:rPr>
          <w:rFonts w:ascii="Arial" w:hAnsi="Arial" w:cs="Arial"/>
          <w:b/>
        </w:rPr>
        <w:t>b)</w:t>
      </w:r>
      <w:r w:rsidRPr="00AC30EC">
        <w:rPr>
          <w:rFonts w:ascii="Arial" w:hAnsi="Arial" w:cs="Arial"/>
          <w:b/>
        </w:rPr>
        <w:tab/>
        <w:t xml:space="preserve">ETAPA DE FACTIBILIDAD </w:t>
      </w:r>
    </w:p>
    <w:p w:rsidR="00AC30EC" w:rsidRPr="00AC30EC" w:rsidRDefault="00AC30EC" w:rsidP="00551731">
      <w:pPr>
        <w:spacing w:line="276" w:lineRule="auto"/>
        <w:jc w:val="both"/>
        <w:rPr>
          <w:rFonts w:ascii="Arial" w:hAnsi="Arial" w:cs="Arial"/>
          <w:b/>
        </w:rPr>
      </w:pPr>
    </w:p>
    <w:p w:rsidR="00AC30EC" w:rsidRPr="00AC30EC" w:rsidRDefault="00AC30EC" w:rsidP="00551731">
      <w:pPr>
        <w:spacing w:line="276" w:lineRule="auto"/>
        <w:jc w:val="both"/>
        <w:rPr>
          <w:rFonts w:ascii="Arial" w:hAnsi="Arial" w:cs="Arial"/>
        </w:rPr>
      </w:pPr>
      <w:r w:rsidRPr="00AC30EC">
        <w:rPr>
          <w:rFonts w:ascii="Arial" w:hAnsi="Arial" w:cs="Arial"/>
          <w:b/>
        </w:rPr>
        <w:t>Alcance:</w:t>
      </w:r>
      <w:r w:rsidRPr="00AC30EC">
        <w:rPr>
          <w:rFonts w:ascii="Arial" w:hAnsi="Arial" w:cs="Arial"/>
        </w:rPr>
        <w:t xml:space="preserve"> En los estudios de factibilidad se selecciona la alternativa según los criterios dados en la Prefactibilidad y se perfecciona, se amplían los aspectos técnicos y prediales, y por último se realiza la evaluación financiera, económica, social y ambiental del proyecto. Se trabaja con información primaria.</w:t>
      </w:r>
    </w:p>
    <w:p w:rsidR="00AC30EC" w:rsidRPr="00AC30EC" w:rsidRDefault="00AC30EC" w:rsidP="00551731">
      <w:pPr>
        <w:spacing w:line="276" w:lineRule="auto"/>
        <w:jc w:val="both"/>
        <w:rPr>
          <w:rFonts w:ascii="Arial" w:hAnsi="Arial" w:cs="Arial"/>
        </w:rPr>
      </w:pPr>
    </w:p>
    <w:p w:rsidR="00AC30EC" w:rsidRPr="00AC30EC" w:rsidRDefault="00AC30EC" w:rsidP="00551731">
      <w:pPr>
        <w:spacing w:line="276" w:lineRule="auto"/>
        <w:jc w:val="both"/>
        <w:rPr>
          <w:rFonts w:ascii="Arial" w:hAnsi="Arial" w:cs="Arial"/>
        </w:rPr>
      </w:pPr>
      <w:r w:rsidRPr="00AC30EC">
        <w:rPr>
          <w:rFonts w:ascii="Arial" w:hAnsi="Arial" w:cs="Arial"/>
        </w:rPr>
        <w:t>Comprende en desarrollo de componentes técnicos como son:</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1.</w:t>
      </w:r>
      <w:r w:rsidRPr="00AC30EC">
        <w:rPr>
          <w:rFonts w:ascii="Arial" w:hAnsi="Arial" w:cs="Arial"/>
        </w:rPr>
        <w:tab/>
        <w:t>Diseño Urbano y Paisajismo</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2.</w:t>
      </w:r>
      <w:r w:rsidRPr="00AC30EC">
        <w:rPr>
          <w:rFonts w:ascii="Arial" w:hAnsi="Arial" w:cs="Arial"/>
        </w:rPr>
        <w:tab/>
        <w:t>Diseño Geométrico</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3.</w:t>
      </w:r>
      <w:r w:rsidRPr="00AC30EC">
        <w:rPr>
          <w:rFonts w:ascii="Arial" w:hAnsi="Arial" w:cs="Arial"/>
        </w:rPr>
        <w:tab/>
        <w:t>Tránsito y transporte</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4.</w:t>
      </w:r>
      <w:r w:rsidRPr="00AC30EC">
        <w:rPr>
          <w:rFonts w:ascii="Arial" w:hAnsi="Arial" w:cs="Arial"/>
        </w:rPr>
        <w:tab/>
        <w:t>Arqueología</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5.</w:t>
      </w:r>
      <w:r w:rsidRPr="00AC30EC">
        <w:rPr>
          <w:rFonts w:ascii="Arial" w:hAnsi="Arial" w:cs="Arial"/>
        </w:rPr>
        <w:tab/>
        <w:t>Topografía</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6.</w:t>
      </w:r>
      <w:r w:rsidRPr="00AC30EC">
        <w:rPr>
          <w:rFonts w:ascii="Arial" w:hAnsi="Arial" w:cs="Arial"/>
        </w:rPr>
        <w:tab/>
        <w:t>Estructuras (Vehiculares y Peatonales)</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7.</w:t>
      </w:r>
      <w:r w:rsidRPr="00AC30EC">
        <w:rPr>
          <w:rFonts w:ascii="Arial" w:hAnsi="Arial" w:cs="Arial"/>
        </w:rPr>
        <w:tab/>
        <w:t>Pavimentos y geotecnia</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8.</w:t>
      </w:r>
      <w:r w:rsidRPr="00AC30EC">
        <w:rPr>
          <w:rFonts w:ascii="Arial" w:hAnsi="Arial" w:cs="Arial"/>
        </w:rPr>
        <w:tab/>
        <w:t>Redes Secas (Energía – Telecomunicaciones – Gas Natural)</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9.</w:t>
      </w:r>
      <w:r w:rsidRPr="00AC30EC">
        <w:rPr>
          <w:rFonts w:ascii="Arial" w:hAnsi="Arial" w:cs="Arial"/>
        </w:rPr>
        <w:tab/>
        <w:t>Redes Hidrosanitarias</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10.</w:t>
      </w:r>
      <w:r w:rsidRPr="00AC30EC">
        <w:rPr>
          <w:rFonts w:ascii="Arial" w:hAnsi="Arial" w:cs="Arial"/>
        </w:rPr>
        <w:tab/>
        <w:t>Ambiental</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11.</w:t>
      </w:r>
      <w:r w:rsidRPr="00AC30EC">
        <w:rPr>
          <w:rFonts w:ascii="Arial" w:hAnsi="Arial" w:cs="Arial"/>
        </w:rPr>
        <w:tab/>
        <w:t>Predial</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12.</w:t>
      </w:r>
      <w:r w:rsidRPr="00AC30EC">
        <w:rPr>
          <w:rFonts w:ascii="Arial" w:hAnsi="Arial" w:cs="Arial"/>
        </w:rPr>
        <w:tab/>
        <w:t>Social</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13.</w:t>
      </w:r>
      <w:r w:rsidRPr="00AC30EC">
        <w:rPr>
          <w:rFonts w:ascii="Arial" w:hAnsi="Arial" w:cs="Arial"/>
        </w:rPr>
        <w:tab/>
        <w:t>Presupuestos</w:t>
      </w:r>
    </w:p>
    <w:p w:rsidR="00AC30EC" w:rsidRPr="00AC30EC" w:rsidRDefault="00AC30EC" w:rsidP="00551731">
      <w:pPr>
        <w:spacing w:line="276" w:lineRule="auto"/>
        <w:jc w:val="both"/>
        <w:rPr>
          <w:rFonts w:ascii="Arial" w:hAnsi="Arial" w:cs="Arial"/>
        </w:rPr>
      </w:pPr>
    </w:p>
    <w:p w:rsidR="00AC30EC" w:rsidRPr="00AC30EC" w:rsidRDefault="00AC30EC" w:rsidP="00551731">
      <w:pPr>
        <w:spacing w:line="276" w:lineRule="auto"/>
        <w:jc w:val="both"/>
        <w:rPr>
          <w:rFonts w:ascii="Arial" w:hAnsi="Arial" w:cs="Arial"/>
          <w:b/>
        </w:rPr>
      </w:pPr>
      <w:r w:rsidRPr="00AC30EC">
        <w:rPr>
          <w:rFonts w:ascii="Arial" w:hAnsi="Arial" w:cs="Arial"/>
          <w:b/>
        </w:rPr>
        <w:t>c)</w:t>
      </w:r>
      <w:r w:rsidRPr="00AC30EC">
        <w:rPr>
          <w:rFonts w:ascii="Arial" w:hAnsi="Arial" w:cs="Arial"/>
          <w:b/>
        </w:rPr>
        <w:tab/>
        <w:t xml:space="preserve">ETAPA DE DISEÑOS </w:t>
      </w:r>
    </w:p>
    <w:p w:rsidR="00AC30EC" w:rsidRPr="00AC30EC" w:rsidRDefault="00AC30EC" w:rsidP="00551731">
      <w:pPr>
        <w:spacing w:line="276" w:lineRule="auto"/>
        <w:jc w:val="both"/>
        <w:rPr>
          <w:rFonts w:ascii="Arial" w:hAnsi="Arial" w:cs="Arial"/>
        </w:rPr>
      </w:pPr>
    </w:p>
    <w:p w:rsidR="00AC30EC" w:rsidRPr="00AC30EC" w:rsidRDefault="00AC30EC" w:rsidP="00551731">
      <w:pPr>
        <w:spacing w:line="276" w:lineRule="auto"/>
        <w:jc w:val="both"/>
        <w:rPr>
          <w:rFonts w:ascii="Arial" w:hAnsi="Arial" w:cs="Arial"/>
        </w:rPr>
      </w:pPr>
      <w:r w:rsidRPr="00AC30EC">
        <w:rPr>
          <w:rFonts w:ascii="Arial" w:hAnsi="Arial" w:cs="Arial"/>
          <w:b/>
        </w:rPr>
        <w:t>Alcance:</w:t>
      </w:r>
      <w:r w:rsidRPr="00AC30EC">
        <w:rPr>
          <w:rFonts w:ascii="Arial" w:hAnsi="Arial" w:cs="Arial"/>
        </w:rPr>
        <w:t xml:space="preserve"> El diseño definitivo consiste en la elaboración del proyecto de ingeniería de detalle, con preparación de planos finales para la construcción de las obras, y con un grado de exactitud de las cuantificaciones de 90 % a 100%. Esta ingeniería de detalle se debe basar en los aspectos técnicos descritos en los estudios de factibilidad. Los estudios de </w:t>
      </w:r>
      <w:r w:rsidRPr="00AC30EC">
        <w:rPr>
          <w:rFonts w:ascii="Arial" w:hAnsi="Arial" w:cs="Arial"/>
        </w:rPr>
        <w:lastRenderedPageBreak/>
        <w:t>cada componente son los productos de diseño, los cuales corresponden a carteras de campo, informes, planos y memorias de cálculo, según sea el componente.</w:t>
      </w:r>
    </w:p>
    <w:p w:rsidR="00AC30EC" w:rsidRPr="00AC30EC" w:rsidRDefault="00AC30EC" w:rsidP="00551731">
      <w:pPr>
        <w:spacing w:line="276" w:lineRule="auto"/>
        <w:jc w:val="both"/>
        <w:rPr>
          <w:rFonts w:ascii="Arial" w:hAnsi="Arial" w:cs="Arial"/>
        </w:rPr>
      </w:pPr>
    </w:p>
    <w:p w:rsidR="00AC30EC" w:rsidRPr="00AC30EC" w:rsidRDefault="00AC30EC" w:rsidP="00551731">
      <w:pPr>
        <w:spacing w:line="276" w:lineRule="auto"/>
        <w:jc w:val="both"/>
        <w:rPr>
          <w:rFonts w:ascii="Arial" w:hAnsi="Arial" w:cs="Arial"/>
        </w:rPr>
      </w:pPr>
      <w:r w:rsidRPr="00AC30EC">
        <w:rPr>
          <w:rFonts w:ascii="Arial" w:hAnsi="Arial" w:cs="Arial"/>
        </w:rPr>
        <w:t>Al igual que la factibilidad comprende el desarrollo de componentes técnicos como son:</w:t>
      </w:r>
    </w:p>
    <w:p w:rsidR="00AC30EC" w:rsidRPr="00AC30EC" w:rsidRDefault="00AC30EC" w:rsidP="00551731">
      <w:pPr>
        <w:spacing w:line="276" w:lineRule="auto"/>
        <w:jc w:val="both"/>
        <w:rPr>
          <w:rFonts w:ascii="Arial" w:hAnsi="Arial" w:cs="Arial"/>
        </w:rPr>
      </w:pP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1.</w:t>
      </w:r>
      <w:r w:rsidRPr="00AC30EC">
        <w:rPr>
          <w:rFonts w:ascii="Arial" w:hAnsi="Arial" w:cs="Arial"/>
        </w:rPr>
        <w:tab/>
        <w:t>Diseño Urbano y Paisajismo</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2.</w:t>
      </w:r>
      <w:r w:rsidRPr="00AC30EC">
        <w:rPr>
          <w:rFonts w:ascii="Arial" w:hAnsi="Arial" w:cs="Arial"/>
        </w:rPr>
        <w:tab/>
        <w:t>Diseño Geométrico</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3.</w:t>
      </w:r>
      <w:r w:rsidRPr="00AC30EC">
        <w:rPr>
          <w:rFonts w:ascii="Arial" w:hAnsi="Arial" w:cs="Arial"/>
        </w:rPr>
        <w:tab/>
        <w:t>Tránsito y transporte</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4.</w:t>
      </w:r>
      <w:r w:rsidRPr="00AC30EC">
        <w:rPr>
          <w:rFonts w:ascii="Arial" w:hAnsi="Arial" w:cs="Arial"/>
        </w:rPr>
        <w:tab/>
        <w:t>Arqueología</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5.</w:t>
      </w:r>
      <w:r w:rsidRPr="00AC30EC">
        <w:rPr>
          <w:rFonts w:ascii="Arial" w:hAnsi="Arial" w:cs="Arial"/>
        </w:rPr>
        <w:tab/>
        <w:t>Topografía</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6.</w:t>
      </w:r>
      <w:r w:rsidRPr="00AC30EC">
        <w:rPr>
          <w:rFonts w:ascii="Arial" w:hAnsi="Arial" w:cs="Arial"/>
        </w:rPr>
        <w:tab/>
        <w:t>Estructuras (Vehiculares y Peatonales)</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7.</w:t>
      </w:r>
      <w:r w:rsidRPr="00AC30EC">
        <w:rPr>
          <w:rFonts w:ascii="Arial" w:hAnsi="Arial" w:cs="Arial"/>
        </w:rPr>
        <w:tab/>
        <w:t>Pavimentos y geotecnia</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8.</w:t>
      </w:r>
      <w:r w:rsidRPr="00AC30EC">
        <w:rPr>
          <w:rFonts w:ascii="Arial" w:hAnsi="Arial" w:cs="Arial"/>
        </w:rPr>
        <w:tab/>
        <w:t>Redes Secas (Energía – Telecomunicaciones – Gas Natural)</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9.</w:t>
      </w:r>
      <w:r w:rsidRPr="00AC30EC">
        <w:rPr>
          <w:rFonts w:ascii="Arial" w:hAnsi="Arial" w:cs="Arial"/>
        </w:rPr>
        <w:tab/>
        <w:t>Redes Hidrosanitarias</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10.</w:t>
      </w:r>
      <w:r w:rsidRPr="00AC30EC">
        <w:rPr>
          <w:rFonts w:ascii="Arial" w:hAnsi="Arial" w:cs="Arial"/>
        </w:rPr>
        <w:tab/>
        <w:t>Ambiental</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11.</w:t>
      </w:r>
      <w:r w:rsidRPr="00AC30EC">
        <w:rPr>
          <w:rFonts w:ascii="Arial" w:hAnsi="Arial" w:cs="Arial"/>
        </w:rPr>
        <w:tab/>
        <w:t>Predial</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12.</w:t>
      </w:r>
      <w:r w:rsidRPr="00AC30EC">
        <w:rPr>
          <w:rFonts w:ascii="Arial" w:hAnsi="Arial" w:cs="Arial"/>
        </w:rPr>
        <w:tab/>
        <w:t>Social</w:t>
      </w:r>
    </w:p>
    <w:p w:rsidR="00AC30EC" w:rsidRPr="00AC30EC" w:rsidRDefault="00AC30EC" w:rsidP="00551731">
      <w:pPr>
        <w:spacing w:line="240" w:lineRule="auto"/>
        <w:ind w:left="567" w:hanging="283"/>
        <w:jc w:val="both"/>
        <w:rPr>
          <w:rFonts w:ascii="Arial" w:hAnsi="Arial" w:cs="Arial"/>
        </w:rPr>
      </w:pPr>
      <w:r w:rsidRPr="00AC30EC">
        <w:rPr>
          <w:rFonts w:ascii="Arial" w:hAnsi="Arial" w:cs="Arial"/>
        </w:rPr>
        <w:t>13.</w:t>
      </w:r>
      <w:r w:rsidRPr="00AC30EC">
        <w:rPr>
          <w:rFonts w:ascii="Arial" w:hAnsi="Arial" w:cs="Arial"/>
        </w:rPr>
        <w:tab/>
        <w:t>Presupuestos, cronograma y especificaciones técnicas</w:t>
      </w:r>
    </w:p>
    <w:p w:rsidR="00AC30EC" w:rsidRPr="00AC30EC" w:rsidRDefault="00AC30EC" w:rsidP="00551731">
      <w:pPr>
        <w:spacing w:line="276" w:lineRule="auto"/>
        <w:jc w:val="both"/>
        <w:rPr>
          <w:rFonts w:ascii="Arial" w:hAnsi="Arial" w:cs="Arial"/>
        </w:rPr>
      </w:pPr>
    </w:p>
    <w:p w:rsidR="00AC30EC" w:rsidRPr="00AC30EC" w:rsidRDefault="00AC30EC" w:rsidP="00551731">
      <w:pPr>
        <w:spacing w:line="276" w:lineRule="auto"/>
        <w:jc w:val="both"/>
        <w:rPr>
          <w:rFonts w:ascii="Arial" w:hAnsi="Arial" w:cs="Arial"/>
        </w:rPr>
      </w:pPr>
    </w:p>
    <w:p w:rsidR="00AC30EC" w:rsidRPr="00AC30EC" w:rsidRDefault="00AC30EC" w:rsidP="00551731">
      <w:pPr>
        <w:spacing w:line="276" w:lineRule="auto"/>
        <w:jc w:val="both"/>
        <w:rPr>
          <w:rFonts w:ascii="Arial" w:hAnsi="Arial" w:cs="Arial"/>
          <w:b/>
        </w:rPr>
      </w:pPr>
      <w:r w:rsidRPr="00AC30EC">
        <w:rPr>
          <w:rFonts w:ascii="Arial" w:hAnsi="Arial" w:cs="Arial"/>
          <w:b/>
        </w:rPr>
        <w:t>d)</w:t>
      </w:r>
      <w:r w:rsidRPr="00AC30EC">
        <w:rPr>
          <w:rFonts w:ascii="Arial" w:hAnsi="Arial" w:cs="Arial"/>
          <w:b/>
        </w:rPr>
        <w:tab/>
        <w:t>ETAPA DE GESTIÓN PREDIAL</w:t>
      </w:r>
    </w:p>
    <w:p w:rsidR="00AC30EC" w:rsidRPr="00AC30EC" w:rsidRDefault="00AC30EC" w:rsidP="00551731">
      <w:pPr>
        <w:spacing w:line="276" w:lineRule="auto"/>
        <w:jc w:val="both"/>
        <w:rPr>
          <w:rFonts w:ascii="Arial" w:hAnsi="Arial" w:cs="Arial"/>
          <w:b/>
        </w:rPr>
      </w:pPr>
    </w:p>
    <w:p w:rsidR="00AC30EC" w:rsidRPr="00AC30EC" w:rsidRDefault="00AC30EC" w:rsidP="00551731">
      <w:pPr>
        <w:spacing w:line="276" w:lineRule="auto"/>
        <w:jc w:val="both"/>
        <w:rPr>
          <w:rFonts w:ascii="Arial" w:hAnsi="Arial" w:cs="Arial"/>
        </w:rPr>
      </w:pPr>
      <w:r w:rsidRPr="00AC30EC">
        <w:rPr>
          <w:rFonts w:ascii="Arial" w:hAnsi="Arial" w:cs="Arial"/>
          <w:b/>
        </w:rPr>
        <w:t>Alcance:</w:t>
      </w:r>
      <w:r w:rsidRPr="00AC30EC">
        <w:rPr>
          <w:rFonts w:ascii="Arial" w:hAnsi="Arial" w:cs="Arial"/>
        </w:rPr>
        <w:t xml:space="preserve"> Esta etapa tiene como objetivo la adquisición de los predios que se identifican como afectados según el trazado de la obra definido y en coherencia con la reserva vial aprobada. Asimismo, durante esta etapa se busca dar acompañamiento integral de las personas que se ven afectadas por la adquisición de dichos predios.</w:t>
      </w:r>
    </w:p>
    <w:p w:rsidR="00AC30EC" w:rsidRPr="00AC30EC" w:rsidRDefault="00AC30EC" w:rsidP="00551731">
      <w:pPr>
        <w:spacing w:line="276" w:lineRule="auto"/>
        <w:jc w:val="both"/>
        <w:rPr>
          <w:rFonts w:ascii="Arial" w:hAnsi="Arial" w:cs="Arial"/>
        </w:rPr>
      </w:pPr>
      <w:r w:rsidRPr="00AC30EC">
        <w:rPr>
          <w:rFonts w:ascii="Arial" w:hAnsi="Arial" w:cs="Arial"/>
        </w:rPr>
        <w:t>Esta etapa comprende tres momentos principales:</w:t>
      </w:r>
    </w:p>
    <w:p w:rsidR="00AC30EC" w:rsidRPr="00AC30EC" w:rsidRDefault="00AC30EC" w:rsidP="00551731">
      <w:pPr>
        <w:spacing w:line="276" w:lineRule="auto"/>
        <w:ind w:left="567" w:hanging="283"/>
        <w:jc w:val="both"/>
        <w:rPr>
          <w:rFonts w:ascii="Arial" w:hAnsi="Arial" w:cs="Arial"/>
        </w:rPr>
      </w:pPr>
      <w:r w:rsidRPr="00AC30EC">
        <w:rPr>
          <w:rFonts w:ascii="Arial" w:hAnsi="Arial" w:cs="Arial"/>
        </w:rPr>
        <w:t>1.</w:t>
      </w:r>
      <w:r w:rsidRPr="00AC30EC">
        <w:rPr>
          <w:rFonts w:ascii="Arial" w:hAnsi="Arial" w:cs="Arial"/>
        </w:rPr>
        <w:tab/>
        <w:t>Levantamiento de insumos: Este capítulo abarca, entre otros, realiza el censo de las unidades sociales, estudio de títulos y avalúos.</w:t>
      </w:r>
    </w:p>
    <w:p w:rsidR="00AC30EC" w:rsidRPr="00AC30EC" w:rsidRDefault="00AC30EC" w:rsidP="00551731">
      <w:pPr>
        <w:spacing w:line="276" w:lineRule="auto"/>
        <w:ind w:left="567" w:hanging="283"/>
        <w:jc w:val="both"/>
        <w:rPr>
          <w:rFonts w:ascii="Arial" w:hAnsi="Arial" w:cs="Arial"/>
        </w:rPr>
      </w:pPr>
    </w:p>
    <w:p w:rsidR="00AC30EC" w:rsidRPr="00AC30EC" w:rsidRDefault="00AC30EC" w:rsidP="00551731">
      <w:pPr>
        <w:spacing w:line="276" w:lineRule="auto"/>
        <w:ind w:left="567" w:hanging="283"/>
        <w:jc w:val="both"/>
        <w:rPr>
          <w:rFonts w:ascii="Arial" w:hAnsi="Arial" w:cs="Arial"/>
        </w:rPr>
      </w:pPr>
      <w:r w:rsidRPr="00AC30EC">
        <w:rPr>
          <w:rFonts w:ascii="Arial" w:hAnsi="Arial" w:cs="Arial"/>
        </w:rPr>
        <w:lastRenderedPageBreak/>
        <w:t>2.</w:t>
      </w:r>
      <w:r w:rsidRPr="00AC30EC">
        <w:rPr>
          <w:rFonts w:ascii="Arial" w:hAnsi="Arial" w:cs="Arial"/>
        </w:rPr>
        <w:tab/>
        <w:t>Adquisición predial: una vez se cuenta con los avalúos de los predios necesarios para adquirir, se emite una resolución de oferta de compra y se notifica a las personas de las unidades sociales afectadas. Una vez se surte los tiempos de ley para la aceptación de la oferta se procede a la adquisición de los predios ya sea por enajenación voluntaria o por vía administrativa</w:t>
      </w:r>
    </w:p>
    <w:p w:rsidR="00AC30EC" w:rsidRPr="00AC30EC" w:rsidRDefault="00AC30EC" w:rsidP="00551731">
      <w:pPr>
        <w:spacing w:line="276" w:lineRule="auto"/>
        <w:ind w:left="567" w:hanging="283"/>
        <w:jc w:val="both"/>
        <w:rPr>
          <w:rFonts w:ascii="Arial" w:hAnsi="Arial" w:cs="Arial"/>
        </w:rPr>
      </w:pPr>
      <w:r w:rsidRPr="00AC30EC">
        <w:rPr>
          <w:rFonts w:ascii="Arial" w:hAnsi="Arial" w:cs="Arial"/>
        </w:rPr>
        <w:t>3.</w:t>
      </w:r>
      <w:r w:rsidRPr="00AC30EC">
        <w:rPr>
          <w:rFonts w:ascii="Arial" w:hAnsi="Arial" w:cs="Arial"/>
        </w:rPr>
        <w:tab/>
        <w:t xml:space="preserve">Reasentamiento integral: De manera simultánea que se inicia la adquisición predial, se realiza un reasentamiento integral de las personas de las unidades sociales afectadas, el cual implica acompañamiento psicosocial, jurídico, económico e inmobiliario. </w:t>
      </w:r>
    </w:p>
    <w:p w:rsidR="00AC30EC" w:rsidRPr="00AC30EC" w:rsidRDefault="00AC30EC" w:rsidP="00AC30EC">
      <w:pPr>
        <w:tabs>
          <w:tab w:val="left" w:pos="142"/>
        </w:tabs>
        <w:spacing w:line="276" w:lineRule="auto"/>
        <w:rPr>
          <w:rFonts w:ascii="Arial" w:hAnsi="Arial" w:cs="Arial"/>
        </w:rPr>
      </w:pPr>
    </w:p>
    <w:p w:rsidR="00AC30EC" w:rsidRPr="00AC30EC" w:rsidRDefault="00AC30EC" w:rsidP="00AC30EC">
      <w:pPr>
        <w:spacing w:line="276" w:lineRule="auto"/>
        <w:rPr>
          <w:rFonts w:ascii="Arial" w:hAnsi="Arial" w:cs="Arial"/>
          <w:b/>
        </w:rPr>
      </w:pPr>
      <w:r w:rsidRPr="00AC30EC">
        <w:rPr>
          <w:rFonts w:ascii="Arial" w:hAnsi="Arial" w:cs="Arial"/>
          <w:b/>
        </w:rPr>
        <w:t>e)</w:t>
      </w:r>
      <w:r w:rsidRPr="00AC30EC">
        <w:rPr>
          <w:rFonts w:ascii="Arial" w:hAnsi="Arial" w:cs="Arial"/>
          <w:b/>
        </w:rPr>
        <w:tab/>
        <w:t>ETAPA DE ESTUDIOS PREVIOS</w:t>
      </w:r>
    </w:p>
    <w:p w:rsidR="00AC30EC" w:rsidRPr="00AC30EC" w:rsidRDefault="00AC30EC" w:rsidP="00551731">
      <w:pPr>
        <w:spacing w:line="276" w:lineRule="auto"/>
        <w:jc w:val="both"/>
        <w:rPr>
          <w:rFonts w:ascii="Arial" w:hAnsi="Arial" w:cs="Arial"/>
        </w:rPr>
      </w:pPr>
      <w:r w:rsidRPr="00AC30EC">
        <w:rPr>
          <w:rFonts w:ascii="Arial" w:hAnsi="Arial" w:cs="Arial"/>
          <w:b/>
        </w:rPr>
        <w:t>Alcance:</w:t>
      </w:r>
      <w:r w:rsidRPr="00AC30EC">
        <w:rPr>
          <w:rFonts w:ascii="Arial" w:hAnsi="Arial" w:cs="Arial"/>
        </w:rPr>
        <w:t xml:space="preserve"> Con base en la información entregada durante la etapa de factibilidad, se elabora el presupuesto del costo de los diseños y/o construcción de la obra  y se estructuran todos los requerimientos y requisitos técnicos necesarios para la contratación de un tercero que elabore los diseños definitivos y/o construya la obra.</w:t>
      </w:r>
    </w:p>
    <w:p w:rsidR="00AC30EC" w:rsidRPr="00AC30EC" w:rsidRDefault="00AC30EC" w:rsidP="00551731">
      <w:pPr>
        <w:spacing w:line="276" w:lineRule="auto"/>
        <w:jc w:val="both"/>
        <w:rPr>
          <w:rFonts w:ascii="Arial" w:hAnsi="Arial" w:cs="Arial"/>
        </w:rPr>
      </w:pPr>
    </w:p>
    <w:p w:rsidR="00AC30EC" w:rsidRPr="00AC30EC" w:rsidRDefault="00AC30EC" w:rsidP="00551731">
      <w:pPr>
        <w:spacing w:line="276" w:lineRule="auto"/>
        <w:jc w:val="both"/>
        <w:rPr>
          <w:rFonts w:ascii="Arial" w:hAnsi="Arial" w:cs="Arial"/>
          <w:b/>
        </w:rPr>
      </w:pPr>
      <w:r w:rsidRPr="00AC30EC">
        <w:rPr>
          <w:rFonts w:ascii="Arial" w:hAnsi="Arial" w:cs="Arial"/>
          <w:b/>
        </w:rPr>
        <w:t>f)</w:t>
      </w:r>
      <w:r w:rsidRPr="00AC30EC">
        <w:rPr>
          <w:rFonts w:ascii="Arial" w:hAnsi="Arial" w:cs="Arial"/>
          <w:b/>
        </w:rPr>
        <w:tab/>
        <w:t>ETAPA DE SELECCIÓN Y ADJUDICACIÓN</w:t>
      </w:r>
    </w:p>
    <w:p w:rsidR="00AC30EC" w:rsidRPr="00AC30EC" w:rsidRDefault="00AC30EC" w:rsidP="00551731">
      <w:pPr>
        <w:spacing w:line="276" w:lineRule="auto"/>
        <w:jc w:val="both"/>
        <w:rPr>
          <w:rFonts w:ascii="Arial" w:hAnsi="Arial" w:cs="Arial"/>
        </w:rPr>
      </w:pPr>
      <w:r w:rsidRPr="00AC30EC">
        <w:rPr>
          <w:rFonts w:ascii="Arial" w:hAnsi="Arial" w:cs="Arial"/>
        </w:rPr>
        <w:t xml:space="preserve">Con base en la información entregada en los estudios previos, se elaboran los pliegos de condiciones los cuales se publican en los portales de contratación señalados por la normatividad vigente. De acuerdo con la ley, estos pliegos tienen un tiempo previsto para recibir ajustes según surjan dudas por parte de los proponentes para su publicación definitiva.  </w:t>
      </w:r>
    </w:p>
    <w:p w:rsidR="00AC30EC" w:rsidRPr="00AC30EC" w:rsidRDefault="00AC30EC" w:rsidP="00551731">
      <w:pPr>
        <w:spacing w:line="276" w:lineRule="auto"/>
        <w:jc w:val="both"/>
        <w:rPr>
          <w:rFonts w:ascii="Arial" w:hAnsi="Arial" w:cs="Arial"/>
        </w:rPr>
      </w:pPr>
      <w:r w:rsidRPr="00AC30EC">
        <w:rPr>
          <w:rFonts w:ascii="Arial" w:hAnsi="Arial" w:cs="Arial"/>
        </w:rPr>
        <w:t>Una vez se ha publicado la versión definitiva de los pliegos, de a</w:t>
      </w:r>
      <w:r w:rsidR="00551731">
        <w:rPr>
          <w:rFonts w:ascii="Arial" w:hAnsi="Arial" w:cs="Arial"/>
        </w:rPr>
        <w:t xml:space="preserve">cuerdo con los tiempos de ley, </w:t>
      </w:r>
      <w:r w:rsidRPr="00AC30EC">
        <w:rPr>
          <w:rFonts w:ascii="Arial" w:hAnsi="Arial" w:cs="Arial"/>
        </w:rPr>
        <w:t>los distintos interesados presentan una propuesta técnica y/o económica, la cual es sometida a evaluación por parte del IDU.  Por medio de la evaluación se establece la mejor propuesta y se comunica la adjudicación del proceso al ganador a través de una audiencia pública, previo cumplimiento de todos los requisitos legales.</w:t>
      </w:r>
    </w:p>
    <w:p w:rsidR="00551731" w:rsidRPr="00AC30EC" w:rsidRDefault="00551731" w:rsidP="00AC30EC">
      <w:pPr>
        <w:spacing w:line="276" w:lineRule="auto"/>
        <w:rPr>
          <w:rFonts w:ascii="Arial" w:hAnsi="Arial" w:cs="Arial"/>
        </w:rPr>
      </w:pPr>
    </w:p>
    <w:p w:rsidR="00AC30EC" w:rsidRPr="00AC30EC" w:rsidRDefault="00AC30EC" w:rsidP="00AC30EC">
      <w:pPr>
        <w:spacing w:line="276" w:lineRule="auto"/>
        <w:rPr>
          <w:rFonts w:ascii="Arial" w:hAnsi="Arial" w:cs="Arial"/>
          <w:b/>
        </w:rPr>
      </w:pPr>
      <w:r w:rsidRPr="00AC30EC">
        <w:rPr>
          <w:rFonts w:ascii="Arial" w:hAnsi="Arial" w:cs="Arial"/>
          <w:b/>
        </w:rPr>
        <w:t>g)</w:t>
      </w:r>
      <w:r w:rsidRPr="00AC30EC">
        <w:rPr>
          <w:rFonts w:ascii="Arial" w:hAnsi="Arial" w:cs="Arial"/>
          <w:b/>
        </w:rPr>
        <w:tab/>
        <w:t xml:space="preserve">ETAPA DE CONSTRUCCION </w:t>
      </w:r>
    </w:p>
    <w:p w:rsidR="00AC30EC" w:rsidRPr="00AC30EC" w:rsidRDefault="00AC30EC" w:rsidP="00AC30EC">
      <w:pPr>
        <w:spacing w:line="276" w:lineRule="auto"/>
        <w:rPr>
          <w:rFonts w:ascii="Arial" w:hAnsi="Arial" w:cs="Arial"/>
        </w:rPr>
      </w:pPr>
    </w:p>
    <w:p w:rsidR="00AC30EC" w:rsidRPr="00AC30EC" w:rsidRDefault="00AC30EC" w:rsidP="00551731">
      <w:pPr>
        <w:spacing w:line="276" w:lineRule="auto"/>
        <w:jc w:val="both"/>
        <w:rPr>
          <w:rFonts w:ascii="Arial" w:hAnsi="Arial" w:cs="Arial"/>
        </w:rPr>
      </w:pPr>
      <w:r w:rsidRPr="00AC30EC">
        <w:rPr>
          <w:rFonts w:ascii="Arial" w:hAnsi="Arial" w:cs="Arial"/>
          <w:b/>
        </w:rPr>
        <w:t>Alcance:</w:t>
      </w:r>
      <w:r w:rsidRPr="00AC30EC">
        <w:rPr>
          <w:rFonts w:ascii="Arial" w:hAnsi="Arial" w:cs="Arial"/>
        </w:rPr>
        <w:t xml:space="preserve"> Durante esta etapa se inicia la construcción de la obra según lo establecido en los diseños elaborados. Esta etapa abarca una fase preliminar para revisión y apropiación de los diseños, la cual una vez surti</w:t>
      </w:r>
      <w:r>
        <w:rPr>
          <w:rFonts w:ascii="Arial" w:hAnsi="Arial" w:cs="Arial"/>
        </w:rPr>
        <w:t>da da inicio a la construcción.</w:t>
      </w:r>
    </w:p>
    <w:p w:rsidR="00AC30EC" w:rsidRDefault="00AC30EC" w:rsidP="00551731">
      <w:pPr>
        <w:spacing w:line="276" w:lineRule="auto"/>
        <w:jc w:val="both"/>
        <w:rPr>
          <w:rFonts w:ascii="Arial" w:hAnsi="Arial" w:cs="Arial"/>
        </w:rPr>
      </w:pPr>
      <w:r w:rsidRPr="00AC30EC">
        <w:rPr>
          <w:rFonts w:ascii="Arial" w:hAnsi="Arial" w:cs="Arial"/>
        </w:rPr>
        <w:t xml:space="preserve">Así las cosas, a </w:t>
      </w:r>
      <w:r w:rsidR="00551731" w:rsidRPr="00AC30EC">
        <w:rPr>
          <w:rFonts w:ascii="Arial" w:hAnsi="Arial" w:cs="Arial"/>
        </w:rPr>
        <w:t>continuación,</w:t>
      </w:r>
      <w:r w:rsidRPr="00AC30EC">
        <w:rPr>
          <w:rFonts w:ascii="Arial" w:hAnsi="Arial" w:cs="Arial"/>
        </w:rPr>
        <w:t xml:space="preserve"> se detallan los 151 proyectos gestionados durante el cuatrienio, detallando el estado de cada uno de ellos.</w:t>
      </w:r>
    </w:p>
    <w:p w:rsidR="00551731" w:rsidRPr="00AC30EC" w:rsidRDefault="00551731" w:rsidP="00551731">
      <w:pPr>
        <w:spacing w:line="276" w:lineRule="auto"/>
        <w:jc w:val="both"/>
        <w:rPr>
          <w:rFonts w:ascii="Arial" w:hAnsi="Arial" w:cs="Arial"/>
        </w:rPr>
      </w:pPr>
    </w:p>
    <w:p w:rsidR="00AC30EC" w:rsidRPr="00AC30EC" w:rsidRDefault="00AC30EC" w:rsidP="00194618">
      <w:pPr>
        <w:pStyle w:val="Ttulo3"/>
        <w:keepNext w:val="0"/>
        <w:keepLines w:val="0"/>
        <w:numPr>
          <w:ilvl w:val="1"/>
          <w:numId w:val="51"/>
        </w:numPr>
        <w:spacing w:before="0" w:line="276" w:lineRule="auto"/>
        <w:ind w:left="567" w:hanging="283"/>
        <w:jc w:val="both"/>
        <w:rPr>
          <w:rFonts w:ascii="Arial" w:hAnsi="Arial" w:cs="Arial"/>
          <w:b/>
          <w:color w:val="auto"/>
          <w:sz w:val="22"/>
          <w:szCs w:val="22"/>
          <w:lang w:val="en-US"/>
        </w:rPr>
      </w:pPr>
      <w:bookmarkStart w:id="70" w:name="_Toc27665231"/>
      <w:bookmarkStart w:id="71" w:name="_Toc30774626"/>
      <w:r w:rsidRPr="00AC30EC">
        <w:rPr>
          <w:rFonts w:ascii="Arial" w:hAnsi="Arial" w:cs="Arial"/>
          <w:b/>
          <w:color w:val="auto"/>
          <w:sz w:val="22"/>
          <w:szCs w:val="22"/>
          <w:lang w:val="en-US"/>
        </w:rPr>
        <w:t>PROYECTOS ENTREGADOS</w:t>
      </w:r>
      <w:bookmarkEnd w:id="70"/>
      <w:bookmarkEnd w:id="71"/>
    </w:p>
    <w:p w:rsidR="00AC30EC" w:rsidRDefault="00AC30EC" w:rsidP="00AC30EC">
      <w:pPr>
        <w:pStyle w:val="Descripcin"/>
        <w:spacing w:after="0" w:line="276" w:lineRule="auto"/>
        <w:rPr>
          <w:rFonts w:ascii="Arial" w:hAnsi="Arial" w:cs="Arial"/>
        </w:rPr>
      </w:pPr>
      <w:bookmarkStart w:id="72" w:name="_Toc27665328"/>
    </w:p>
    <w:tbl>
      <w:tblPr>
        <w:tblW w:w="8926" w:type="dxa"/>
        <w:tblCellMar>
          <w:left w:w="70" w:type="dxa"/>
          <w:right w:w="70" w:type="dxa"/>
        </w:tblCellMar>
        <w:tblLook w:val="04A0" w:firstRow="1" w:lastRow="0" w:firstColumn="1" w:lastColumn="0" w:noHBand="0" w:noVBand="1"/>
      </w:tblPr>
      <w:tblGrid>
        <w:gridCol w:w="679"/>
        <w:gridCol w:w="4136"/>
        <w:gridCol w:w="850"/>
        <w:gridCol w:w="1157"/>
        <w:gridCol w:w="1053"/>
        <w:gridCol w:w="1051"/>
      </w:tblGrid>
      <w:tr w:rsidR="00194618" w:rsidRPr="0099053F" w:rsidTr="00194618">
        <w:trPr>
          <w:trHeight w:val="170"/>
          <w:tblHeader/>
        </w:trPr>
        <w:tc>
          <w:tcPr>
            <w:tcW w:w="679" w:type="dxa"/>
            <w:vMerge w:val="restart"/>
            <w:tcBorders>
              <w:top w:val="single" w:sz="4" w:space="0" w:color="auto"/>
              <w:left w:val="single" w:sz="4" w:space="0" w:color="auto"/>
              <w:bottom w:val="single" w:sz="4" w:space="0" w:color="auto"/>
              <w:right w:val="single" w:sz="4" w:space="0" w:color="auto"/>
            </w:tcBorders>
            <w:shd w:val="clear" w:color="000000" w:fill="D0CECE"/>
            <w:vAlign w:val="center"/>
            <w:hideMark/>
          </w:tcPr>
          <w:bookmarkEnd w:id="72"/>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No</w:t>
            </w:r>
          </w:p>
        </w:tc>
        <w:tc>
          <w:tcPr>
            <w:tcW w:w="4136" w:type="dxa"/>
            <w:vMerge w:val="restart"/>
            <w:tcBorders>
              <w:top w:val="single" w:sz="4" w:space="0" w:color="auto"/>
              <w:left w:val="single" w:sz="4" w:space="0" w:color="auto"/>
              <w:bottom w:val="single" w:sz="4" w:space="0" w:color="auto"/>
              <w:right w:val="single" w:sz="4" w:space="0" w:color="auto"/>
            </w:tcBorders>
            <w:shd w:val="clear" w:color="000000" w:fill="D0CECE"/>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Nombre del Proyecto</w:t>
            </w:r>
          </w:p>
        </w:tc>
        <w:tc>
          <w:tcPr>
            <w:tcW w:w="3060" w:type="dxa"/>
            <w:gridSpan w:val="3"/>
            <w:tcBorders>
              <w:top w:val="single" w:sz="4" w:space="0" w:color="auto"/>
              <w:left w:val="nil"/>
              <w:bottom w:val="single" w:sz="4" w:space="0" w:color="auto"/>
              <w:right w:val="single" w:sz="4" w:space="0" w:color="auto"/>
            </w:tcBorders>
            <w:shd w:val="clear" w:color="000000" w:fill="D0CECE"/>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Metas Físicas</w:t>
            </w:r>
          </w:p>
        </w:tc>
        <w:tc>
          <w:tcPr>
            <w:tcW w:w="1051" w:type="dxa"/>
            <w:vMerge w:val="restart"/>
            <w:tcBorders>
              <w:top w:val="single" w:sz="4" w:space="0" w:color="auto"/>
              <w:left w:val="single" w:sz="4" w:space="0" w:color="auto"/>
              <w:right w:val="single" w:sz="4" w:space="0" w:color="auto"/>
            </w:tcBorders>
            <w:shd w:val="clear" w:color="000000" w:fill="D0CECE"/>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 xml:space="preserve"> Costo Total </w:t>
            </w:r>
          </w:p>
        </w:tc>
      </w:tr>
      <w:tr w:rsidR="00194618" w:rsidRPr="0099053F" w:rsidTr="00194618">
        <w:trPr>
          <w:trHeight w:val="170"/>
        </w:trPr>
        <w:tc>
          <w:tcPr>
            <w:tcW w:w="679" w:type="dxa"/>
            <w:vMerge/>
            <w:tcBorders>
              <w:top w:val="single" w:sz="4" w:space="0" w:color="auto"/>
              <w:left w:val="single" w:sz="4" w:space="0" w:color="auto"/>
              <w:bottom w:val="single" w:sz="4" w:space="0" w:color="auto"/>
              <w:right w:val="single" w:sz="4" w:space="0" w:color="auto"/>
            </w:tcBorders>
            <w:vAlign w:val="center"/>
            <w:hideMark/>
          </w:tcPr>
          <w:p w:rsidR="00194618" w:rsidRPr="0099053F" w:rsidRDefault="00194618" w:rsidP="0099053F">
            <w:pPr>
              <w:rPr>
                <w:rFonts w:ascii="Calibri" w:eastAsia="Times New Roman" w:hAnsi="Calibri" w:cs="Calibri"/>
                <w:b/>
                <w:bCs/>
                <w:color w:val="000000"/>
                <w:sz w:val="14"/>
                <w:szCs w:val="14"/>
                <w:lang w:eastAsia="es-CO"/>
              </w:rPr>
            </w:pPr>
          </w:p>
        </w:tc>
        <w:tc>
          <w:tcPr>
            <w:tcW w:w="4136" w:type="dxa"/>
            <w:vMerge/>
            <w:tcBorders>
              <w:top w:val="single" w:sz="4" w:space="0" w:color="auto"/>
              <w:left w:val="single" w:sz="4" w:space="0" w:color="auto"/>
              <w:bottom w:val="single" w:sz="4" w:space="0" w:color="auto"/>
              <w:right w:val="single" w:sz="4" w:space="0" w:color="auto"/>
            </w:tcBorders>
            <w:vAlign w:val="center"/>
            <w:hideMark/>
          </w:tcPr>
          <w:p w:rsidR="00194618" w:rsidRPr="0099053F" w:rsidRDefault="00194618" w:rsidP="0099053F">
            <w:pPr>
              <w:rPr>
                <w:rFonts w:ascii="Calibri" w:eastAsia="Times New Roman" w:hAnsi="Calibri" w:cs="Calibri"/>
                <w:b/>
                <w:bCs/>
                <w:color w:val="000000"/>
                <w:sz w:val="14"/>
                <w:szCs w:val="14"/>
                <w:lang w:eastAsia="es-CO"/>
              </w:rPr>
            </w:pPr>
          </w:p>
        </w:tc>
        <w:tc>
          <w:tcPr>
            <w:tcW w:w="850" w:type="dxa"/>
            <w:tcBorders>
              <w:top w:val="single" w:sz="4" w:space="0" w:color="auto"/>
              <w:left w:val="nil"/>
              <w:bottom w:val="single" w:sz="4" w:space="0" w:color="auto"/>
              <w:right w:val="single" w:sz="4" w:space="0" w:color="auto"/>
            </w:tcBorders>
            <w:shd w:val="clear" w:color="000000" w:fill="D0CECE"/>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Longitud (Km)</w:t>
            </w:r>
          </w:p>
        </w:tc>
        <w:tc>
          <w:tcPr>
            <w:tcW w:w="1157" w:type="dxa"/>
            <w:tcBorders>
              <w:top w:val="single" w:sz="4" w:space="0" w:color="auto"/>
              <w:left w:val="nil"/>
              <w:bottom w:val="single" w:sz="4" w:space="0" w:color="auto"/>
              <w:right w:val="single" w:sz="4" w:space="0" w:color="auto"/>
            </w:tcBorders>
            <w:shd w:val="clear" w:color="000000" w:fill="D0CECE"/>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Espacio Público (M2)</w:t>
            </w:r>
          </w:p>
        </w:tc>
        <w:tc>
          <w:tcPr>
            <w:tcW w:w="1053" w:type="dxa"/>
            <w:tcBorders>
              <w:top w:val="single" w:sz="4" w:space="0" w:color="auto"/>
              <w:left w:val="nil"/>
              <w:bottom w:val="single" w:sz="4" w:space="0" w:color="auto"/>
              <w:right w:val="single" w:sz="4" w:space="0" w:color="auto"/>
            </w:tcBorders>
            <w:shd w:val="clear" w:color="000000" w:fill="D0CECE"/>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Ciclorruta (Km)</w:t>
            </w:r>
          </w:p>
        </w:tc>
        <w:tc>
          <w:tcPr>
            <w:tcW w:w="1051" w:type="dxa"/>
            <w:vMerge/>
            <w:tcBorders>
              <w:left w:val="single" w:sz="4" w:space="0" w:color="auto"/>
              <w:bottom w:val="single" w:sz="4" w:space="0" w:color="000000"/>
              <w:right w:val="single" w:sz="4" w:space="0" w:color="auto"/>
            </w:tcBorders>
            <w:vAlign w:val="center"/>
            <w:hideMark/>
          </w:tcPr>
          <w:p w:rsidR="00194618" w:rsidRPr="0099053F" w:rsidRDefault="00194618" w:rsidP="0099053F">
            <w:pPr>
              <w:rPr>
                <w:rFonts w:ascii="Calibri" w:eastAsia="Times New Roman" w:hAnsi="Calibri" w:cs="Calibri"/>
                <w:b/>
                <w:bCs/>
                <w:color w:val="000000"/>
                <w:sz w:val="14"/>
                <w:szCs w:val="14"/>
                <w:lang w:eastAsia="es-CO"/>
              </w:rPr>
            </w:pP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Transmicable Ciudad Bolívar</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3.4</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17,749</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245,077</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2</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Ampliación de Estaciones: Calle 146, Mazuren, Toberín</w:t>
            </w:r>
          </w:p>
        </w:tc>
        <w:tc>
          <w:tcPr>
            <w:tcW w:w="3060" w:type="dxa"/>
            <w:gridSpan w:val="3"/>
            <w:tcBorders>
              <w:top w:val="single" w:sz="4" w:space="0" w:color="auto"/>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3 ESTACIONES</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 xml:space="preserve"> 25,860 </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3</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Estación Intermedia Primero de Mayo</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0.1</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10,352</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0.2</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22,520</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4</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Patio Portal El Dorado</w:t>
            </w:r>
          </w:p>
        </w:tc>
        <w:tc>
          <w:tcPr>
            <w:tcW w:w="3060" w:type="dxa"/>
            <w:gridSpan w:val="3"/>
            <w:tcBorders>
              <w:top w:val="single" w:sz="4" w:space="0" w:color="auto"/>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 PATIO</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 xml:space="preserve">   12,685 </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5</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FASE II. Patio Sur</w:t>
            </w:r>
          </w:p>
        </w:tc>
        <w:tc>
          <w:tcPr>
            <w:tcW w:w="3060" w:type="dxa"/>
            <w:gridSpan w:val="3"/>
            <w:tcBorders>
              <w:top w:val="single" w:sz="4" w:space="0" w:color="auto"/>
              <w:left w:val="nil"/>
              <w:bottom w:val="single" w:sz="4" w:space="0" w:color="auto"/>
              <w:right w:val="single" w:sz="4" w:space="0" w:color="auto"/>
            </w:tcBorders>
            <w:shd w:val="clear" w:color="auto" w:fill="auto"/>
            <w:noWrap/>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Ampliación Infraestructura 5.300 M2</w:t>
            </w:r>
            <w:r w:rsidRPr="0099053F">
              <w:rPr>
                <w:rFonts w:ascii="Calibri" w:eastAsia="Times New Roman" w:hAnsi="Calibri" w:cs="Calibri"/>
                <w:color w:val="000000"/>
                <w:sz w:val="14"/>
                <w:szCs w:val="14"/>
                <w:lang w:eastAsia="es-CO"/>
              </w:rPr>
              <w:br/>
              <w:t>Capacidad Para 25 Biarticulados</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 xml:space="preserve">   4,230 </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6</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Avenida de los Cerros (Avenida Circunvalar) desde Calle 9 hasta Avenida de los Comuneros</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0.4</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4,058</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14,072</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7</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Avenida Ciudad de Cali, desde Avenida Bosa hasta Avenida San Bernardino</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2.3</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40,674</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1.8</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144,306</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8</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Avenida Bosa, desde Avenida Agoberto Mejía (AK 80) hasta Avenida Ciudad de Cali.</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1.6</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37,071</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1.2</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115,981</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9</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 xml:space="preserve">Av. San Antonio (AC 183) de Av. Paseo de los Libertadores (Autonorte) a Av. Alberto Lleras Camargo (AC. 7). </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2.1</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15,000</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2.1</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121,350</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10</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Conexiones complementarias y mejoramiento de la Red de Ciclorutas.</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2.7</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6,814</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11</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 xml:space="preserve">Raps Suba- Rincón </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89,399</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31,403</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12</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Red Tintal</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95,762</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28,153</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13</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Raps Kennedy Central</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53,125</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26,478</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14</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Raps Teusaquillo</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55,439</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21,284</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15</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Raps Restrepo</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39,457</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16,947</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16</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Raps Nieves</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28,174</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16,538</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17</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Raps Carvajal</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38,300</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15,708</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18</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Avenida Tabor desde Avenida la Conejera hasta Av. Ciudad de Cali</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1.6</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32,600</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1.6</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66,829</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19</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Avenida Ferrocarril de Occidente desde Carrera 93 hasta la Carrera 100</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0.9</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5,642</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0.5</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25,820</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20</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Intersección AK 9 (Av. 19 – Calle 94)</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2.5</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29,540</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1.6</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181,242</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21</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Avenida Colombia de la Calle 80 a la Calle 76</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0.8</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3,800</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0.8</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15,129</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22</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Av. la Sirena (AC 153) de Av. Laureano Gómez (AK 9) a Av.  Alberto Lleras Camargo (AC 7)</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0.9</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2,800</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11,774</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23</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Puente Vehicular costado sur de la Avenida San Antonio</w:t>
            </w:r>
          </w:p>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(AC 183) con Autopista Norte</w:t>
            </w:r>
          </w:p>
        </w:tc>
        <w:tc>
          <w:tcPr>
            <w:tcW w:w="3060" w:type="dxa"/>
            <w:gridSpan w:val="3"/>
            <w:tcBorders>
              <w:top w:val="single" w:sz="4" w:space="0" w:color="auto"/>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 Puente Vehicular de 0,4 Km</w:t>
            </w:r>
            <w:r w:rsidRPr="0099053F">
              <w:rPr>
                <w:rFonts w:ascii="Calibri" w:eastAsia="Times New Roman" w:hAnsi="Calibri" w:cs="Calibri"/>
                <w:color w:val="000000"/>
                <w:sz w:val="14"/>
                <w:szCs w:val="14"/>
                <w:lang w:eastAsia="es-CO"/>
              </w:rPr>
              <w:br/>
              <w:t>1 Puente Peatonal</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 xml:space="preserve">25,568 </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24</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Ciclorruta Calle 116 entre Carrera 11 y Carrera 50</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2.4</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8,029</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25</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Rampas Ciclorruta CL 26</w:t>
            </w:r>
          </w:p>
        </w:tc>
        <w:tc>
          <w:tcPr>
            <w:tcW w:w="3060" w:type="dxa"/>
            <w:gridSpan w:val="3"/>
            <w:tcBorders>
              <w:top w:val="single" w:sz="4" w:space="0" w:color="auto"/>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6 Rampas</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 xml:space="preserve">2,956 </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lastRenderedPageBreak/>
              <w:t>26</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Rehabilitación del Eje Ambiental</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1.0</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1,590</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9,901</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27</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Parque Bicentenario</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7,592</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32,998</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28</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Plazoleta del Concejo</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10,591</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13,707</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29</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Canal Boyacá</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0.1</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17,013</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3,331</w:t>
            </w:r>
          </w:p>
        </w:tc>
      </w:tr>
      <w:tr w:rsidR="00194618" w:rsidRPr="0099053F" w:rsidTr="00194618">
        <w:trPr>
          <w:trHeight w:val="170"/>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30</w:t>
            </w:r>
          </w:p>
        </w:tc>
        <w:tc>
          <w:tcPr>
            <w:tcW w:w="4136" w:type="dxa"/>
            <w:tcBorders>
              <w:top w:val="nil"/>
              <w:left w:val="nil"/>
              <w:bottom w:val="single" w:sz="4" w:space="0" w:color="auto"/>
              <w:right w:val="single" w:sz="4" w:space="0" w:color="auto"/>
            </w:tcBorders>
            <w:shd w:val="clear" w:color="auto" w:fill="auto"/>
            <w:vAlign w:val="center"/>
            <w:hideMark/>
          </w:tcPr>
          <w:p w:rsidR="00194618" w:rsidRPr="0099053F" w:rsidRDefault="00194618" w:rsidP="0099053F">
            <w:pP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San Jerónimo del Yuste</w:t>
            </w:r>
          </w:p>
        </w:tc>
        <w:tc>
          <w:tcPr>
            <w:tcW w:w="850"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0.4</w:t>
            </w:r>
          </w:p>
        </w:tc>
        <w:tc>
          <w:tcPr>
            <w:tcW w:w="1157"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790</w:t>
            </w:r>
          </w:p>
        </w:tc>
        <w:tc>
          <w:tcPr>
            <w:tcW w:w="1053"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051" w:type="dxa"/>
            <w:tcBorders>
              <w:top w:val="nil"/>
              <w:left w:val="nil"/>
              <w:bottom w:val="single" w:sz="4" w:space="0" w:color="auto"/>
              <w:right w:val="single" w:sz="4" w:space="0" w:color="auto"/>
            </w:tcBorders>
            <w:shd w:val="clear" w:color="auto" w:fill="auto"/>
            <w:noWrap/>
            <w:vAlign w:val="center"/>
            <w:hideMark/>
          </w:tcPr>
          <w:p w:rsidR="00194618" w:rsidRPr="0099053F" w:rsidRDefault="00194618" w:rsidP="0099053F">
            <w:pPr>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5,528</w:t>
            </w:r>
          </w:p>
        </w:tc>
      </w:tr>
      <w:tr w:rsidR="00194618" w:rsidRPr="0099053F" w:rsidTr="00194618">
        <w:trPr>
          <w:trHeight w:val="170"/>
        </w:trPr>
        <w:tc>
          <w:tcPr>
            <w:tcW w:w="4815" w:type="dxa"/>
            <w:gridSpan w:val="2"/>
            <w:tcBorders>
              <w:top w:val="single" w:sz="4" w:space="0" w:color="auto"/>
              <w:left w:val="single" w:sz="4" w:space="0" w:color="auto"/>
              <w:bottom w:val="single" w:sz="4" w:space="0" w:color="auto"/>
              <w:right w:val="single" w:sz="4" w:space="0" w:color="000000"/>
            </w:tcBorders>
            <w:shd w:val="clear" w:color="000000" w:fill="D0CECE"/>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TOTALES</w:t>
            </w:r>
          </w:p>
        </w:tc>
        <w:tc>
          <w:tcPr>
            <w:tcW w:w="850" w:type="dxa"/>
            <w:tcBorders>
              <w:top w:val="single" w:sz="4" w:space="0" w:color="auto"/>
              <w:left w:val="nil"/>
              <w:bottom w:val="single" w:sz="4" w:space="0" w:color="auto"/>
              <w:right w:val="single" w:sz="4" w:space="0" w:color="auto"/>
            </w:tcBorders>
            <w:shd w:val="clear" w:color="000000" w:fill="D0CECE"/>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18.0</w:t>
            </w:r>
          </w:p>
        </w:tc>
        <w:tc>
          <w:tcPr>
            <w:tcW w:w="1157" w:type="dxa"/>
            <w:tcBorders>
              <w:top w:val="single" w:sz="4" w:space="0" w:color="auto"/>
              <w:left w:val="nil"/>
              <w:bottom w:val="single" w:sz="4" w:space="0" w:color="auto"/>
              <w:right w:val="single" w:sz="4" w:space="0" w:color="auto"/>
            </w:tcBorders>
            <w:shd w:val="clear" w:color="000000" w:fill="D0CECE"/>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636,518</w:t>
            </w:r>
          </w:p>
        </w:tc>
        <w:tc>
          <w:tcPr>
            <w:tcW w:w="1053" w:type="dxa"/>
            <w:tcBorders>
              <w:top w:val="single" w:sz="4" w:space="0" w:color="auto"/>
              <w:left w:val="nil"/>
              <w:bottom w:val="single" w:sz="4" w:space="0" w:color="auto"/>
              <w:right w:val="single" w:sz="4" w:space="0" w:color="auto"/>
            </w:tcBorders>
            <w:shd w:val="clear" w:color="000000" w:fill="D0CECE"/>
            <w:noWrap/>
            <w:vAlign w:val="center"/>
            <w:hideMark/>
          </w:tcPr>
          <w:p w:rsidR="00194618" w:rsidRPr="0099053F" w:rsidRDefault="00194618" w:rsidP="0099053F">
            <w:pPr>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15.2</w:t>
            </w:r>
          </w:p>
        </w:tc>
        <w:tc>
          <w:tcPr>
            <w:tcW w:w="1051" w:type="dxa"/>
            <w:tcBorders>
              <w:top w:val="single" w:sz="4" w:space="0" w:color="auto"/>
              <w:left w:val="nil"/>
              <w:bottom w:val="single" w:sz="4" w:space="0" w:color="auto"/>
              <w:right w:val="single" w:sz="4" w:space="0" w:color="auto"/>
            </w:tcBorders>
            <w:shd w:val="clear" w:color="000000" w:fill="D0CECE"/>
            <w:noWrap/>
            <w:vAlign w:val="center"/>
            <w:hideMark/>
          </w:tcPr>
          <w:p w:rsidR="00194618" w:rsidRPr="0099053F" w:rsidRDefault="00194618" w:rsidP="0099053F">
            <w:pPr>
              <w:jc w:val="right"/>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1,272,217</w:t>
            </w:r>
          </w:p>
        </w:tc>
      </w:tr>
    </w:tbl>
    <w:p w:rsidR="00194618" w:rsidRPr="00B42866" w:rsidRDefault="00194618" w:rsidP="00194618">
      <w:pPr>
        <w:jc w:val="both"/>
        <w:rPr>
          <w:rFonts w:ascii="Arial" w:hAnsi="Arial"/>
          <w:sz w:val="14"/>
        </w:rPr>
      </w:pPr>
      <w:r w:rsidRPr="00B42866">
        <w:rPr>
          <w:rFonts w:ascii="Arial" w:hAnsi="Arial"/>
          <w:sz w:val="14"/>
        </w:rPr>
        <w:t xml:space="preserve">Fuente de Información: Oficina Asesora de Planeación - Sistema de Gestión de Proyectos ZIPA - </w:t>
      </w:r>
      <w:r>
        <w:rPr>
          <w:rFonts w:ascii="Arial" w:hAnsi="Arial"/>
          <w:sz w:val="14"/>
        </w:rPr>
        <w:tab/>
      </w:r>
      <w:r>
        <w:rPr>
          <w:rFonts w:ascii="Arial" w:hAnsi="Arial"/>
          <w:sz w:val="14"/>
        </w:rPr>
        <w:tab/>
        <w:t xml:space="preserve"> </w:t>
      </w:r>
      <w:r w:rsidRPr="00B42866">
        <w:rPr>
          <w:rFonts w:ascii="Arial" w:hAnsi="Arial"/>
          <w:sz w:val="14"/>
        </w:rPr>
        <w:t>Cifras en Millones de pesos</w:t>
      </w:r>
    </w:p>
    <w:p w:rsidR="00AC30EC" w:rsidRPr="00001F39" w:rsidRDefault="00AC30EC" w:rsidP="00AC30EC">
      <w:pPr>
        <w:spacing w:line="276" w:lineRule="auto"/>
        <w:ind w:hanging="283"/>
        <w:rPr>
          <w:rFonts w:ascii="Arial" w:hAnsi="Arial" w:cs="Arial"/>
        </w:rPr>
      </w:pPr>
    </w:p>
    <w:p w:rsidR="00194618" w:rsidRPr="00001F39" w:rsidRDefault="00194618" w:rsidP="00194618">
      <w:pPr>
        <w:spacing w:line="276" w:lineRule="auto"/>
        <w:rPr>
          <w:rFonts w:ascii="Arial" w:hAnsi="Arial" w:cs="Arial"/>
          <w:sz w:val="20"/>
        </w:rPr>
      </w:pPr>
    </w:p>
    <w:p w:rsidR="00AC30EC" w:rsidRPr="00D35238" w:rsidRDefault="00AC30EC" w:rsidP="00D0183B">
      <w:pPr>
        <w:pStyle w:val="Ttulo3"/>
        <w:keepNext w:val="0"/>
        <w:keepLines w:val="0"/>
        <w:numPr>
          <w:ilvl w:val="1"/>
          <w:numId w:val="51"/>
        </w:numPr>
        <w:spacing w:before="0" w:line="276" w:lineRule="auto"/>
        <w:ind w:left="567" w:hanging="283"/>
        <w:jc w:val="both"/>
        <w:rPr>
          <w:rFonts w:ascii="Arial" w:hAnsi="Arial" w:cs="Arial"/>
          <w:b/>
          <w:color w:val="auto"/>
          <w:sz w:val="22"/>
          <w:szCs w:val="22"/>
          <w:lang w:val="en-US"/>
        </w:rPr>
      </w:pPr>
      <w:r w:rsidRPr="00001F39">
        <w:rPr>
          <w:rFonts w:ascii="Arial" w:hAnsi="Arial" w:cs="Arial"/>
          <w:b/>
          <w:color w:val="auto"/>
          <w:sz w:val="22"/>
          <w:szCs w:val="22"/>
        </w:rPr>
        <w:t xml:space="preserve">  </w:t>
      </w:r>
      <w:bookmarkStart w:id="73" w:name="_Toc27665232"/>
      <w:bookmarkStart w:id="74" w:name="_Toc30774627"/>
      <w:r w:rsidRPr="00D35238">
        <w:rPr>
          <w:rFonts w:ascii="Arial" w:hAnsi="Arial" w:cs="Arial"/>
          <w:b/>
          <w:color w:val="auto"/>
          <w:sz w:val="22"/>
          <w:szCs w:val="22"/>
          <w:lang w:val="en-US"/>
        </w:rPr>
        <w:t>PROYECTOS EN EJECUCIÓN</w:t>
      </w:r>
      <w:bookmarkEnd w:id="73"/>
      <w:bookmarkEnd w:id="74"/>
    </w:p>
    <w:p w:rsidR="00D35238" w:rsidRDefault="00D35238" w:rsidP="00AC30EC">
      <w:pPr>
        <w:pStyle w:val="Descripcin"/>
        <w:spacing w:after="0"/>
        <w:rPr>
          <w:rFonts w:ascii="Arial" w:eastAsiaTheme="minorHAnsi" w:hAnsi="Arial" w:cs="Arial"/>
          <w:iCs w:val="0"/>
          <w:color w:val="auto"/>
          <w:sz w:val="22"/>
          <w:szCs w:val="22"/>
          <w:lang w:val="en-US"/>
        </w:rPr>
      </w:pPr>
      <w:bookmarkStart w:id="75" w:name="_Toc27665329"/>
    </w:p>
    <w:p w:rsidR="0099053F" w:rsidRDefault="00AC30EC" w:rsidP="0099053F">
      <w:pPr>
        <w:pStyle w:val="Descripcin"/>
        <w:spacing w:after="0"/>
        <w:rPr>
          <w:rFonts w:ascii="Arial" w:hAnsi="Arial" w:cs="Arial"/>
          <w:b/>
        </w:rPr>
      </w:pPr>
      <w:r w:rsidRPr="00D35238">
        <w:rPr>
          <w:rFonts w:ascii="Arial" w:hAnsi="Arial" w:cs="Arial"/>
          <w:color w:val="auto"/>
        </w:rPr>
        <w:t>Proyectos que continúan en ejecución de obra</w:t>
      </w:r>
      <w:bookmarkEnd w:id="75"/>
      <w:r w:rsidRPr="00AC30EC">
        <w:rPr>
          <w:rFonts w:ascii="Arial" w:hAnsi="Arial" w:cs="Arial"/>
          <w:b/>
        </w:rPr>
        <w:t xml:space="preserve"> </w:t>
      </w:r>
    </w:p>
    <w:tbl>
      <w:tblPr>
        <w:tblW w:w="9474" w:type="dxa"/>
        <w:tblCellMar>
          <w:left w:w="70" w:type="dxa"/>
          <w:right w:w="70" w:type="dxa"/>
        </w:tblCellMar>
        <w:tblLook w:val="04A0" w:firstRow="1" w:lastRow="0" w:firstColumn="1" w:lastColumn="0" w:noHBand="0" w:noVBand="1"/>
      </w:tblPr>
      <w:tblGrid>
        <w:gridCol w:w="356"/>
        <w:gridCol w:w="3325"/>
        <w:gridCol w:w="1134"/>
        <w:gridCol w:w="716"/>
        <w:gridCol w:w="843"/>
        <w:gridCol w:w="1134"/>
        <w:gridCol w:w="852"/>
        <w:gridCol w:w="1114"/>
      </w:tblGrid>
      <w:tr w:rsidR="0099053F" w:rsidRPr="0099053F" w:rsidTr="0099053F">
        <w:trPr>
          <w:trHeight w:val="249"/>
          <w:tblHeader/>
        </w:trPr>
        <w:tc>
          <w:tcPr>
            <w:tcW w:w="356" w:type="dxa"/>
            <w:vMerge w:val="restart"/>
            <w:tcBorders>
              <w:top w:val="single" w:sz="4" w:space="0" w:color="auto"/>
              <w:left w:val="single" w:sz="4" w:space="0" w:color="auto"/>
              <w:bottom w:val="single" w:sz="4" w:space="0" w:color="auto"/>
              <w:right w:val="single" w:sz="4" w:space="0" w:color="auto"/>
            </w:tcBorders>
            <w:shd w:val="clear" w:color="000000" w:fill="D0CECE"/>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No</w:t>
            </w:r>
          </w:p>
        </w:tc>
        <w:tc>
          <w:tcPr>
            <w:tcW w:w="3325" w:type="dxa"/>
            <w:vMerge w:val="restart"/>
            <w:tcBorders>
              <w:top w:val="single" w:sz="4" w:space="0" w:color="auto"/>
              <w:left w:val="single" w:sz="4" w:space="0" w:color="auto"/>
              <w:bottom w:val="single" w:sz="4" w:space="0" w:color="auto"/>
              <w:right w:val="single" w:sz="4" w:space="0" w:color="auto"/>
            </w:tcBorders>
            <w:shd w:val="clear" w:color="000000" w:fill="D0CECE"/>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Nombre del Proyecto</w:t>
            </w: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D0CECE"/>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Contrato</w:t>
            </w:r>
          </w:p>
        </w:tc>
        <w:tc>
          <w:tcPr>
            <w:tcW w:w="716" w:type="dxa"/>
            <w:vMerge w:val="restart"/>
            <w:tcBorders>
              <w:top w:val="single" w:sz="4" w:space="0" w:color="auto"/>
              <w:left w:val="nil"/>
              <w:right w:val="single" w:sz="4" w:space="0" w:color="auto"/>
            </w:tcBorders>
            <w:shd w:val="clear" w:color="000000" w:fill="D0CECE"/>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 Avance</w:t>
            </w:r>
          </w:p>
        </w:tc>
        <w:tc>
          <w:tcPr>
            <w:tcW w:w="2829" w:type="dxa"/>
            <w:gridSpan w:val="3"/>
            <w:tcBorders>
              <w:top w:val="single" w:sz="4" w:space="0" w:color="auto"/>
              <w:left w:val="nil"/>
              <w:bottom w:val="single" w:sz="4" w:space="0" w:color="auto"/>
              <w:right w:val="single" w:sz="4" w:space="0" w:color="auto"/>
            </w:tcBorders>
            <w:shd w:val="clear" w:color="000000" w:fill="D0CECE"/>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Metas Fisicas</w:t>
            </w:r>
          </w:p>
        </w:tc>
        <w:tc>
          <w:tcPr>
            <w:tcW w:w="1114" w:type="dxa"/>
            <w:vMerge w:val="restart"/>
            <w:tcBorders>
              <w:top w:val="single" w:sz="4" w:space="0" w:color="auto"/>
              <w:left w:val="single" w:sz="4" w:space="0" w:color="auto"/>
              <w:right w:val="single" w:sz="4" w:space="0" w:color="auto"/>
            </w:tcBorders>
            <w:shd w:val="clear" w:color="000000" w:fill="D0CECE"/>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 xml:space="preserve"> Costo Total </w:t>
            </w:r>
          </w:p>
        </w:tc>
      </w:tr>
      <w:tr w:rsidR="0099053F" w:rsidRPr="0099053F" w:rsidTr="0099053F">
        <w:trPr>
          <w:trHeight w:val="419"/>
        </w:trPr>
        <w:tc>
          <w:tcPr>
            <w:tcW w:w="356" w:type="dxa"/>
            <w:vMerge/>
            <w:tcBorders>
              <w:top w:val="single" w:sz="4" w:space="0" w:color="auto"/>
              <w:left w:val="single" w:sz="4" w:space="0" w:color="auto"/>
              <w:bottom w:val="single" w:sz="4" w:space="0" w:color="auto"/>
              <w:right w:val="single" w:sz="4" w:space="0" w:color="auto"/>
            </w:tcBorders>
            <w:vAlign w:val="center"/>
            <w:hideMark/>
          </w:tcPr>
          <w:p w:rsidR="0099053F" w:rsidRPr="0099053F" w:rsidRDefault="0099053F" w:rsidP="0099053F">
            <w:pPr>
              <w:spacing w:after="0" w:line="240" w:lineRule="auto"/>
              <w:rPr>
                <w:rFonts w:ascii="Calibri" w:eastAsia="Times New Roman" w:hAnsi="Calibri" w:cs="Calibri"/>
                <w:b/>
                <w:bCs/>
                <w:color w:val="000000"/>
                <w:sz w:val="14"/>
                <w:szCs w:val="14"/>
                <w:lang w:eastAsia="es-CO"/>
              </w:rPr>
            </w:pPr>
          </w:p>
        </w:tc>
        <w:tc>
          <w:tcPr>
            <w:tcW w:w="3325" w:type="dxa"/>
            <w:vMerge/>
            <w:tcBorders>
              <w:top w:val="single" w:sz="4" w:space="0" w:color="auto"/>
              <w:left w:val="single" w:sz="4" w:space="0" w:color="auto"/>
              <w:bottom w:val="single" w:sz="4" w:space="0" w:color="auto"/>
              <w:right w:val="single" w:sz="4" w:space="0" w:color="auto"/>
            </w:tcBorders>
            <w:vAlign w:val="center"/>
            <w:hideMark/>
          </w:tcPr>
          <w:p w:rsidR="0099053F" w:rsidRPr="0099053F" w:rsidRDefault="0099053F" w:rsidP="0099053F">
            <w:pPr>
              <w:spacing w:after="0" w:line="240" w:lineRule="auto"/>
              <w:rPr>
                <w:rFonts w:ascii="Calibri" w:eastAsia="Times New Roman" w:hAnsi="Calibri" w:cs="Calibri"/>
                <w:b/>
                <w:bCs/>
                <w:color w:val="000000"/>
                <w:sz w:val="14"/>
                <w:szCs w:val="14"/>
                <w:lang w:eastAsia="es-CO"/>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99053F" w:rsidRPr="0099053F" w:rsidRDefault="0099053F" w:rsidP="0099053F">
            <w:pPr>
              <w:spacing w:after="0" w:line="240" w:lineRule="auto"/>
              <w:rPr>
                <w:rFonts w:ascii="Calibri" w:eastAsia="Times New Roman" w:hAnsi="Calibri" w:cs="Calibri"/>
                <w:b/>
                <w:bCs/>
                <w:color w:val="000000"/>
                <w:sz w:val="14"/>
                <w:szCs w:val="14"/>
                <w:lang w:eastAsia="es-CO"/>
              </w:rPr>
            </w:pPr>
          </w:p>
        </w:tc>
        <w:tc>
          <w:tcPr>
            <w:tcW w:w="716" w:type="dxa"/>
            <w:vMerge/>
            <w:tcBorders>
              <w:left w:val="nil"/>
              <w:bottom w:val="single" w:sz="4" w:space="0" w:color="auto"/>
              <w:right w:val="single" w:sz="4" w:space="0" w:color="auto"/>
            </w:tcBorders>
            <w:shd w:val="clear" w:color="000000" w:fill="D0CECE"/>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p>
        </w:tc>
        <w:tc>
          <w:tcPr>
            <w:tcW w:w="843" w:type="dxa"/>
            <w:tcBorders>
              <w:top w:val="single" w:sz="4" w:space="0" w:color="auto"/>
              <w:left w:val="nil"/>
              <w:bottom w:val="single" w:sz="4" w:space="0" w:color="auto"/>
              <w:right w:val="single" w:sz="4" w:space="0" w:color="auto"/>
            </w:tcBorders>
            <w:shd w:val="clear" w:color="000000" w:fill="D0CECE"/>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Longitud (Km)</w:t>
            </w:r>
          </w:p>
        </w:tc>
        <w:tc>
          <w:tcPr>
            <w:tcW w:w="1134" w:type="dxa"/>
            <w:tcBorders>
              <w:top w:val="single" w:sz="4" w:space="0" w:color="auto"/>
              <w:left w:val="nil"/>
              <w:bottom w:val="single" w:sz="4" w:space="0" w:color="auto"/>
              <w:right w:val="single" w:sz="4" w:space="0" w:color="auto"/>
            </w:tcBorders>
            <w:shd w:val="clear" w:color="000000" w:fill="D0CECE"/>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Espacio Publico (M2)</w:t>
            </w:r>
          </w:p>
        </w:tc>
        <w:tc>
          <w:tcPr>
            <w:tcW w:w="852" w:type="dxa"/>
            <w:tcBorders>
              <w:top w:val="single" w:sz="4" w:space="0" w:color="auto"/>
              <w:left w:val="nil"/>
              <w:bottom w:val="single" w:sz="4" w:space="0" w:color="auto"/>
              <w:right w:val="single" w:sz="4" w:space="0" w:color="auto"/>
            </w:tcBorders>
            <w:shd w:val="clear" w:color="000000" w:fill="D0CECE"/>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Cicloruta (Km)</w:t>
            </w:r>
          </w:p>
        </w:tc>
        <w:tc>
          <w:tcPr>
            <w:tcW w:w="1114" w:type="dxa"/>
            <w:vMerge/>
            <w:tcBorders>
              <w:left w:val="single" w:sz="4" w:space="0" w:color="auto"/>
              <w:bottom w:val="single" w:sz="4" w:space="0" w:color="auto"/>
              <w:right w:val="single" w:sz="4" w:space="0" w:color="auto"/>
            </w:tcBorders>
            <w:vAlign w:val="center"/>
            <w:hideMark/>
          </w:tcPr>
          <w:p w:rsidR="0099053F" w:rsidRPr="0099053F" w:rsidRDefault="0099053F" w:rsidP="0099053F">
            <w:pPr>
              <w:spacing w:after="0" w:line="240" w:lineRule="auto"/>
              <w:rPr>
                <w:rFonts w:ascii="Calibri" w:eastAsia="Times New Roman" w:hAnsi="Calibri" w:cs="Calibri"/>
                <w:b/>
                <w:bCs/>
                <w:color w:val="000000"/>
                <w:sz w:val="14"/>
                <w:szCs w:val="14"/>
                <w:lang w:eastAsia="es-CO"/>
              </w:rPr>
            </w:pPr>
          </w:p>
        </w:tc>
      </w:tr>
      <w:tr w:rsidR="0099053F" w:rsidRPr="0099053F" w:rsidTr="0099053F">
        <w:trPr>
          <w:trHeight w:val="249"/>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w:t>
            </w: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Troncal Caracas extensión desde Molinos al portal Usme incluye estación intermedia</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IDU-1601-2019</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w:t>
            </w:r>
          </w:p>
        </w:tc>
        <w:tc>
          <w:tcPr>
            <w:tcW w:w="843"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3.5</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45,000</w:t>
            </w:r>
          </w:p>
        </w:tc>
        <w:tc>
          <w:tcPr>
            <w:tcW w:w="852"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3.5</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399,000</w:t>
            </w:r>
          </w:p>
        </w:tc>
      </w:tr>
      <w:tr w:rsidR="0099053F" w:rsidRPr="0099053F" w:rsidTr="0099053F">
        <w:trPr>
          <w:trHeight w:val="747"/>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2</w:t>
            </w:r>
          </w:p>
        </w:tc>
        <w:tc>
          <w:tcPr>
            <w:tcW w:w="3325" w:type="dxa"/>
            <w:tcBorders>
              <w:top w:val="nil"/>
              <w:left w:val="nil"/>
              <w:bottom w:val="single" w:sz="4" w:space="0" w:color="auto"/>
              <w:right w:val="single" w:sz="4" w:space="0" w:color="auto"/>
            </w:tcBorders>
            <w:shd w:val="clear" w:color="auto" w:fill="auto"/>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Ampliación de (5) Estaciones Troncales Transmilenio (Estudios, Diseños y Construcción)</w:t>
            </w:r>
            <w:r w:rsidRPr="0099053F">
              <w:rPr>
                <w:rFonts w:ascii="Calibri" w:eastAsia="Times New Roman" w:hAnsi="Calibri" w:cs="Calibri"/>
                <w:color w:val="000000"/>
                <w:sz w:val="14"/>
                <w:szCs w:val="14"/>
                <w:lang w:eastAsia="es-CO"/>
              </w:rPr>
              <w:br/>
              <w:t>Troncal Suba: Niza 127 - Calle 95 - Rio Negro</w:t>
            </w:r>
            <w:r w:rsidRPr="0099053F">
              <w:rPr>
                <w:rFonts w:ascii="Calibri" w:eastAsia="Times New Roman" w:hAnsi="Calibri" w:cs="Calibri"/>
                <w:color w:val="000000"/>
                <w:sz w:val="14"/>
                <w:szCs w:val="14"/>
                <w:lang w:eastAsia="es-CO"/>
              </w:rPr>
              <w:br/>
              <w:t>Troncal Calle 80: Carrera 47 - Avenida 68</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IDU-1318-2018</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70%</w:t>
            </w:r>
          </w:p>
        </w:tc>
        <w:tc>
          <w:tcPr>
            <w:tcW w:w="2829" w:type="dxa"/>
            <w:gridSpan w:val="3"/>
            <w:tcBorders>
              <w:top w:val="single" w:sz="4" w:space="0" w:color="auto"/>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Ampliación Infraestructura Existente</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 xml:space="preserve">               9,143 </w:t>
            </w:r>
          </w:p>
        </w:tc>
      </w:tr>
      <w:tr w:rsidR="0099053F" w:rsidRPr="0099053F" w:rsidTr="0099053F">
        <w:trPr>
          <w:trHeight w:val="249"/>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3</w:t>
            </w: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FASE I. Ampliación Portal Tunal</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IDU-1532-2018</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54%</w:t>
            </w:r>
          </w:p>
        </w:tc>
        <w:tc>
          <w:tcPr>
            <w:tcW w:w="2829" w:type="dxa"/>
            <w:gridSpan w:val="3"/>
            <w:tcBorders>
              <w:top w:val="single" w:sz="4" w:space="0" w:color="auto"/>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Ampliación Infraestructura Existente De 1.474 M2</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 xml:space="preserve">            28,368 </w:t>
            </w:r>
          </w:p>
        </w:tc>
      </w:tr>
      <w:tr w:rsidR="0099053F" w:rsidRPr="0099053F" w:rsidTr="0099053F">
        <w:trPr>
          <w:trHeight w:val="249"/>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4</w:t>
            </w: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FASE II. Ampliación Portal del Sur</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IDU-1260-2019</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15%</w:t>
            </w:r>
          </w:p>
        </w:tc>
        <w:tc>
          <w:tcPr>
            <w:tcW w:w="2829" w:type="dxa"/>
            <w:gridSpan w:val="3"/>
            <w:tcBorders>
              <w:top w:val="single" w:sz="4" w:space="0" w:color="auto"/>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Ampliación Infraestructura Existente 4.000 M2</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 xml:space="preserve">            27,513 </w:t>
            </w:r>
          </w:p>
        </w:tc>
      </w:tr>
      <w:tr w:rsidR="0099053F" w:rsidRPr="0099053F" w:rsidTr="0099053F">
        <w:trPr>
          <w:trHeight w:val="642"/>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5</w:t>
            </w: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FASE II. Ampliación Patio Américas: Ampliación zona de estacionamientos</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IDU-1536-2018</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43%</w:t>
            </w:r>
          </w:p>
        </w:tc>
        <w:tc>
          <w:tcPr>
            <w:tcW w:w="2829" w:type="dxa"/>
            <w:gridSpan w:val="3"/>
            <w:tcBorders>
              <w:top w:val="single" w:sz="4" w:space="0" w:color="auto"/>
              <w:left w:val="nil"/>
              <w:bottom w:val="single" w:sz="4" w:space="0" w:color="auto"/>
              <w:right w:val="single" w:sz="4" w:space="0" w:color="auto"/>
            </w:tcBorders>
            <w:shd w:val="clear" w:color="auto" w:fill="auto"/>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Ampliación Infraestructura Existente 45.500 M2</w:t>
            </w:r>
            <w:r w:rsidRPr="0099053F">
              <w:rPr>
                <w:rFonts w:ascii="Calibri" w:eastAsia="Times New Roman" w:hAnsi="Calibri" w:cs="Calibri"/>
                <w:color w:val="000000"/>
                <w:sz w:val="14"/>
                <w:szCs w:val="14"/>
                <w:lang w:eastAsia="es-CO"/>
              </w:rPr>
              <w:br/>
              <w:t>Capacidad Para Estacionamiento De 110 Biarticulados</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 xml:space="preserve">            40,247 </w:t>
            </w:r>
          </w:p>
        </w:tc>
      </w:tr>
      <w:tr w:rsidR="0099053F" w:rsidRPr="0099053F" w:rsidTr="0099053F">
        <w:trPr>
          <w:trHeight w:val="249"/>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6</w:t>
            </w: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Avenida el Rincón (KR 91 y AC 131A) desde Carrera 91 hasta Avenida la Conejera (TV 97)</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IDU-1725-2014</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78%</w:t>
            </w:r>
          </w:p>
        </w:tc>
        <w:tc>
          <w:tcPr>
            <w:tcW w:w="843"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3.5</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54,656</w:t>
            </w:r>
          </w:p>
        </w:tc>
        <w:tc>
          <w:tcPr>
            <w:tcW w:w="852"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3.5</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165,031</w:t>
            </w:r>
          </w:p>
        </w:tc>
      </w:tr>
      <w:tr w:rsidR="0099053F" w:rsidRPr="0099053F" w:rsidTr="0099053F">
        <w:trPr>
          <w:trHeight w:val="249"/>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7</w:t>
            </w: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Avenida Bosa desde Avenida Ciudad de Cali hasta Avenida Tintal</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IDU-1533-2018</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17%</w:t>
            </w:r>
          </w:p>
        </w:tc>
        <w:tc>
          <w:tcPr>
            <w:tcW w:w="843"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1.4</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82,984</w:t>
            </w:r>
          </w:p>
        </w:tc>
        <w:tc>
          <w:tcPr>
            <w:tcW w:w="852"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1.4</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270,789</w:t>
            </w:r>
          </w:p>
        </w:tc>
      </w:tr>
      <w:tr w:rsidR="0099053F" w:rsidRPr="0099053F" w:rsidTr="0099053F">
        <w:trPr>
          <w:trHeight w:val="249"/>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8</w:t>
            </w: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Avenida Tintal (AK 89) desde Avenida Villavicencio hasta Avenida Manuel Cepeda Varga</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IDU-1543-2018</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11%</w:t>
            </w:r>
          </w:p>
        </w:tc>
        <w:tc>
          <w:tcPr>
            <w:tcW w:w="843"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1.8</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72,363</w:t>
            </w:r>
          </w:p>
        </w:tc>
        <w:tc>
          <w:tcPr>
            <w:tcW w:w="852"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1.8</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187,880</w:t>
            </w:r>
          </w:p>
        </w:tc>
      </w:tr>
      <w:tr w:rsidR="0099053F" w:rsidRPr="0099053F" w:rsidTr="0099053F">
        <w:trPr>
          <w:trHeight w:val="249"/>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9</w:t>
            </w: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Avenida Tintal (AK 89) desde Avenida Manuel Cepeda Vargas hasta Avenida Alsacia (AC 12)</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IDU-1540-2018</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4%</w:t>
            </w:r>
          </w:p>
        </w:tc>
        <w:tc>
          <w:tcPr>
            <w:tcW w:w="843"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1.8</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71,957</w:t>
            </w:r>
          </w:p>
        </w:tc>
        <w:tc>
          <w:tcPr>
            <w:tcW w:w="852"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1.8</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63,549</w:t>
            </w:r>
          </w:p>
        </w:tc>
      </w:tr>
      <w:tr w:rsidR="0099053F" w:rsidRPr="0099053F" w:rsidTr="0099053F">
        <w:trPr>
          <w:trHeight w:val="249"/>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10</w:t>
            </w: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Avenida Tintal (AK 89) desde Av. Villavicencio hasta Avenida Bosa</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IDU-1543-2018</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11%</w:t>
            </w:r>
          </w:p>
        </w:tc>
        <w:tc>
          <w:tcPr>
            <w:tcW w:w="843"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2.5</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52,068</w:t>
            </w:r>
          </w:p>
        </w:tc>
        <w:tc>
          <w:tcPr>
            <w:tcW w:w="852"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2.5</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129,989</w:t>
            </w:r>
          </w:p>
        </w:tc>
      </w:tr>
      <w:tr w:rsidR="0099053F" w:rsidRPr="0099053F" w:rsidTr="0099053F">
        <w:trPr>
          <w:trHeight w:val="249"/>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11</w:t>
            </w: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Avenida Alsacia desde Avenida Tintal (AK 89) hasta Avenida Ciudad de Cali (AK 86)</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IDU-1540-2018</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4%</w:t>
            </w:r>
          </w:p>
        </w:tc>
        <w:tc>
          <w:tcPr>
            <w:tcW w:w="843"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0.6</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72,229</w:t>
            </w:r>
          </w:p>
        </w:tc>
        <w:tc>
          <w:tcPr>
            <w:tcW w:w="852"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0.6</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114,309</w:t>
            </w:r>
          </w:p>
        </w:tc>
      </w:tr>
      <w:tr w:rsidR="0099053F" w:rsidRPr="0099053F" w:rsidTr="0099053F">
        <w:trPr>
          <w:trHeight w:val="249"/>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12</w:t>
            </w: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Avenida Alsacia desde Avenida Boyacá (AK 72) hasta Avenida Ciudad de Cali</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IDU-1539-2018</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12%</w:t>
            </w:r>
          </w:p>
        </w:tc>
        <w:tc>
          <w:tcPr>
            <w:tcW w:w="843"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1.6</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91,813</w:t>
            </w:r>
          </w:p>
        </w:tc>
        <w:tc>
          <w:tcPr>
            <w:tcW w:w="852"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1.6</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118,253</w:t>
            </w:r>
          </w:p>
        </w:tc>
      </w:tr>
      <w:tr w:rsidR="0099053F" w:rsidRPr="0099053F" w:rsidTr="0099053F">
        <w:trPr>
          <w:trHeight w:val="249"/>
        </w:trPr>
        <w:tc>
          <w:tcPr>
            <w:tcW w:w="35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13</w:t>
            </w: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Avenida Alsacia (AC 12) desde Avenida Boyacá (AK 72) hasta Avenida de la Constitución</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IDU-1539-2018</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12%</w:t>
            </w:r>
          </w:p>
        </w:tc>
        <w:tc>
          <w:tcPr>
            <w:tcW w:w="843"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1.6</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52,565</w:t>
            </w:r>
          </w:p>
        </w:tc>
        <w:tc>
          <w:tcPr>
            <w:tcW w:w="852"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1.6</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68,117</w:t>
            </w:r>
          </w:p>
        </w:tc>
      </w:tr>
      <w:tr w:rsidR="0099053F" w:rsidRPr="0099053F" w:rsidTr="0099053F">
        <w:trPr>
          <w:trHeight w:val="249"/>
        </w:trPr>
        <w:tc>
          <w:tcPr>
            <w:tcW w:w="356" w:type="dxa"/>
            <w:vMerge/>
            <w:tcBorders>
              <w:top w:val="nil"/>
              <w:left w:val="single" w:sz="4" w:space="0" w:color="auto"/>
              <w:bottom w:val="single" w:sz="4" w:space="0" w:color="auto"/>
              <w:right w:val="single" w:sz="4" w:space="0" w:color="auto"/>
            </w:tcBorders>
            <w:vAlign w:val="center"/>
            <w:hideMark/>
          </w:tcPr>
          <w:p w:rsidR="0099053F" w:rsidRPr="0099053F" w:rsidRDefault="0099053F" w:rsidP="0099053F">
            <w:pPr>
              <w:spacing w:after="0" w:line="240" w:lineRule="auto"/>
              <w:rPr>
                <w:rFonts w:ascii="Calibri" w:eastAsia="Times New Roman" w:hAnsi="Calibri" w:cs="Calibri"/>
                <w:b/>
                <w:bCs/>
                <w:color w:val="000000"/>
                <w:sz w:val="14"/>
                <w:szCs w:val="14"/>
                <w:lang w:eastAsia="es-CO"/>
              </w:rPr>
            </w:pP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Intersección Av. Alsacia por Av. Boyacá</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IDU-1539-2018</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12%</w:t>
            </w:r>
          </w:p>
        </w:tc>
        <w:tc>
          <w:tcPr>
            <w:tcW w:w="2829" w:type="dxa"/>
            <w:gridSpan w:val="3"/>
            <w:tcBorders>
              <w:top w:val="single" w:sz="4" w:space="0" w:color="auto"/>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 Puente Vehicular</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 xml:space="preserve">            55,198 </w:t>
            </w:r>
          </w:p>
        </w:tc>
      </w:tr>
      <w:tr w:rsidR="0099053F" w:rsidRPr="0099053F" w:rsidTr="0099053F">
        <w:trPr>
          <w:trHeight w:val="249"/>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14</w:t>
            </w: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Avenida Constitución desde Avenida Alsacia (AC 12) hasta Avenida Centenario (AC 13)</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IDU-1531-2018</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22%</w:t>
            </w:r>
          </w:p>
        </w:tc>
        <w:tc>
          <w:tcPr>
            <w:tcW w:w="843"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0.5</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12,694</w:t>
            </w:r>
          </w:p>
        </w:tc>
        <w:tc>
          <w:tcPr>
            <w:tcW w:w="852"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0.5</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16,343</w:t>
            </w:r>
          </w:p>
        </w:tc>
      </w:tr>
      <w:tr w:rsidR="0099053F" w:rsidRPr="0099053F" w:rsidTr="0099053F">
        <w:trPr>
          <w:trHeight w:val="249"/>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15</w:t>
            </w: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Intersección Av. Ferrocarril por Avenida Ciudad de Cali</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IDU-1541-2018</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w:t>
            </w:r>
          </w:p>
        </w:tc>
        <w:tc>
          <w:tcPr>
            <w:tcW w:w="2829" w:type="dxa"/>
            <w:gridSpan w:val="3"/>
            <w:tcBorders>
              <w:top w:val="single" w:sz="4" w:space="0" w:color="auto"/>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 xml:space="preserve">1 Puente Vehicular  </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 xml:space="preserve">            65,873 </w:t>
            </w:r>
          </w:p>
        </w:tc>
      </w:tr>
      <w:tr w:rsidR="0099053F" w:rsidRPr="0099053F" w:rsidTr="0099053F">
        <w:trPr>
          <w:trHeight w:val="249"/>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16</w:t>
            </w: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Avenida el Rincón desde Avenida Boyacá hasta la Carrera 91</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IDU-1550-2018</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w:t>
            </w:r>
          </w:p>
        </w:tc>
        <w:tc>
          <w:tcPr>
            <w:tcW w:w="843"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1.9</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21,291</w:t>
            </w:r>
          </w:p>
        </w:tc>
        <w:tc>
          <w:tcPr>
            <w:tcW w:w="852"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1.7</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105,346</w:t>
            </w:r>
          </w:p>
        </w:tc>
      </w:tr>
      <w:tr w:rsidR="0099053F" w:rsidRPr="0099053F" w:rsidTr="0099053F">
        <w:trPr>
          <w:trHeight w:val="249"/>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17</w:t>
            </w: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Intersección Avenida el Rincón por Avenida Boyacá</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IDU-1550-2018</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w:t>
            </w:r>
          </w:p>
        </w:tc>
        <w:tc>
          <w:tcPr>
            <w:tcW w:w="2829" w:type="dxa"/>
            <w:gridSpan w:val="3"/>
            <w:tcBorders>
              <w:top w:val="single" w:sz="4" w:space="0" w:color="auto"/>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 xml:space="preserve">1 Puente Vehicular  </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 xml:space="preserve">          114,189 </w:t>
            </w:r>
          </w:p>
        </w:tc>
      </w:tr>
      <w:tr w:rsidR="0099053F" w:rsidRPr="0099053F" w:rsidTr="0099053F">
        <w:trPr>
          <w:trHeight w:val="249"/>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lastRenderedPageBreak/>
              <w:t>18</w:t>
            </w: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Avenida San Antonio (AC 183) desde la Avenida Boyacá (AK 72) hasta la Autopista Norte</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IDU-1543-2017</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90%</w:t>
            </w:r>
          </w:p>
        </w:tc>
        <w:tc>
          <w:tcPr>
            <w:tcW w:w="843"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1.3</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9,009</w:t>
            </w:r>
          </w:p>
        </w:tc>
        <w:tc>
          <w:tcPr>
            <w:tcW w:w="852"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1.3</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72,675</w:t>
            </w:r>
          </w:p>
        </w:tc>
      </w:tr>
      <w:tr w:rsidR="0099053F" w:rsidRPr="0099053F" w:rsidTr="0099053F">
        <w:trPr>
          <w:trHeight w:val="249"/>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19</w:t>
            </w: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Avenida la Sirena (AC 153) desde Avenida Laureano Gómez (AK 9) hasta Avenida Santa Bárbara (AK 19)</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IDU-1550-2017</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94%</w:t>
            </w:r>
          </w:p>
        </w:tc>
        <w:tc>
          <w:tcPr>
            <w:tcW w:w="843"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1.5</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9,517</w:t>
            </w:r>
          </w:p>
        </w:tc>
        <w:tc>
          <w:tcPr>
            <w:tcW w:w="852"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1.5</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62,637</w:t>
            </w:r>
          </w:p>
        </w:tc>
      </w:tr>
      <w:tr w:rsidR="0099053F" w:rsidRPr="0099053F" w:rsidTr="0099053F">
        <w:trPr>
          <w:trHeight w:val="249"/>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20</w:t>
            </w: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Avenida José Celestino Mutis (AC 63) desde Av. de la Constitución (AK 70) hasta Av. Boyacá (AK 72</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IDU-1851-2015</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45%</w:t>
            </w:r>
          </w:p>
        </w:tc>
        <w:tc>
          <w:tcPr>
            <w:tcW w:w="843"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2.3</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36,107</w:t>
            </w:r>
          </w:p>
        </w:tc>
        <w:tc>
          <w:tcPr>
            <w:tcW w:w="852"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0.6</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110,606</w:t>
            </w:r>
          </w:p>
        </w:tc>
      </w:tr>
      <w:tr w:rsidR="0099053F" w:rsidRPr="0099053F" w:rsidTr="0099053F">
        <w:trPr>
          <w:trHeight w:val="524"/>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21</w:t>
            </w: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Intersección Avenida José Celestino Mutis (AC 63) por Avenida Boyacá (AK 72)</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IDU-1851-2015</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92%</w:t>
            </w:r>
          </w:p>
        </w:tc>
        <w:tc>
          <w:tcPr>
            <w:tcW w:w="2829" w:type="dxa"/>
            <w:gridSpan w:val="3"/>
            <w:tcBorders>
              <w:top w:val="single" w:sz="4" w:space="0" w:color="auto"/>
              <w:left w:val="nil"/>
              <w:bottom w:val="single" w:sz="4" w:space="0" w:color="auto"/>
              <w:right w:val="single" w:sz="4" w:space="0" w:color="auto"/>
            </w:tcBorders>
            <w:shd w:val="clear" w:color="auto" w:fill="auto"/>
            <w:vAlign w:val="center"/>
            <w:hideMark/>
          </w:tcPr>
          <w:p w:rsid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 xml:space="preserve">2 Puentes Vehiculares Con Longitud 0,3 Km </w:t>
            </w:r>
          </w:p>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 Puente Peatonal</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 xml:space="preserve">            60,440 </w:t>
            </w:r>
          </w:p>
        </w:tc>
      </w:tr>
      <w:tr w:rsidR="0099053F" w:rsidRPr="0099053F" w:rsidTr="0099053F">
        <w:trPr>
          <w:trHeight w:val="747"/>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22</w:t>
            </w:r>
          </w:p>
        </w:tc>
        <w:tc>
          <w:tcPr>
            <w:tcW w:w="3325" w:type="dxa"/>
            <w:tcBorders>
              <w:top w:val="nil"/>
              <w:left w:val="nil"/>
              <w:bottom w:val="single" w:sz="4" w:space="0" w:color="auto"/>
              <w:right w:val="single" w:sz="4" w:space="0" w:color="auto"/>
            </w:tcBorders>
            <w:shd w:val="clear" w:color="auto" w:fill="auto"/>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 xml:space="preserve">REFORZAMIENTO ESTRUCTURAL DE PUENTES VEHICULARES </w:t>
            </w:r>
            <w:r w:rsidRPr="0099053F">
              <w:rPr>
                <w:rFonts w:ascii="Calibri" w:eastAsia="Times New Roman" w:hAnsi="Calibri" w:cs="Calibri"/>
                <w:color w:val="000000"/>
                <w:sz w:val="14"/>
                <w:szCs w:val="14"/>
                <w:lang w:eastAsia="es-CO"/>
              </w:rPr>
              <w:br/>
              <w:t>1. Av. de las Américas por Av. del Congreso Eucarístico (costado sur)</w:t>
            </w:r>
            <w:r w:rsidRPr="0099053F">
              <w:rPr>
                <w:rFonts w:ascii="Calibri" w:eastAsia="Times New Roman" w:hAnsi="Calibri" w:cs="Calibri"/>
                <w:color w:val="000000"/>
                <w:sz w:val="14"/>
                <w:szCs w:val="14"/>
                <w:lang w:eastAsia="es-CO"/>
              </w:rPr>
              <w:br/>
              <w:t>2. Av. de las Américas por Av. del Congreso Eucarístico (costado norte)</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IDU-1500-2017</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56%</w:t>
            </w:r>
          </w:p>
        </w:tc>
        <w:tc>
          <w:tcPr>
            <w:tcW w:w="2829" w:type="dxa"/>
            <w:gridSpan w:val="3"/>
            <w:tcBorders>
              <w:top w:val="single" w:sz="4" w:space="0" w:color="auto"/>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2 Puentes Vehiculares</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 xml:space="preserve">            12,981 </w:t>
            </w:r>
          </w:p>
        </w:tc>
      </w:tr>
      <w:tr w:rsidR="0099053F" w:rsidRPr="0099053F" w:rsidTr="0099053F">
        <w:trPr>
          <w:trHeight w:val="249"/>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23</w:t>
            </w: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Peatonalización Carrera 7ma Fase II</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IDU-420-2015</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79%</w:t>
            </w:r>
          </w:p>
        </w:tc>
        <w:tc>
          <w:tcPr>
            <w:tcW w:w="843"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33,520</w:t>
            </w:r>
          </w:p>
        </w:tc>
        <w:tc>
          <w:tcPr>
            <w:tcW w:w="852"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1.1</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47,121</w:t>
            </w:r>
          </w:p>
        </w:tc>
      </w:tr>
      <w:tr w:rsidR="0099053F" w:rsidRPr="0099053F" w:rsidTr="0099053F">
        <w:trPr>
          <w:trHeight w:val="1990"/>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24</w:t>
            </w:r>
          </w:p>
        </w:tc>
        <w:tc>
          <w:tcPr>
            <w:tcW w:w="3325" w:type="dxa"/>
            <w:tcBorders>
              <w:top w:val="nil"/>
              <w:left w:val="nil"/>
              <w:bottom w:val="single" w:sz="4" w:space="0" w:color="auto"/>
              <w:right w:val="single" w:sz="4" w:space="0" w:color="auto"/>
            </w:tcBorders>
            <w:shd w:val="clear" w:color="auto" w:fill="auto"/>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 xml:space="preserve"> ACCIONES POPULARES 2016. GRUPO 1 (CONSTRUCCIÓN) </w:t>
            </w:r>
            <w:r w:rsidRPr="0099053F">
              <w:rPr>
                <w:rFonts w:ascii="Calibri" w:eastAsia="Times New Roman" w:hAnsi="Calibri" w:cs="Calibri"/>
                <w:color w:val="000000"/>
                <w:sz w:val="14"/>
                <w:szCs w:val="14"/>
                <w:lang w:eastAsia="es-CO"/>
              </w:rPr>
              <w:br/>
              <w:t>- Construcción y rehabilitación de andenes de la Kra 91 entre calles 90 y 98.</w:t>
            </w:r>
            <w:r w:rsidRPr="0099053F">
              <w:rPr>
                <w:rFonts w:ascii="Calibri" w:eastAsia="Times New Roman" w:hAnsi="Calibri" w:cs="Calibri"/>
                <w:color w:val="000000"/>
                <w:sz w:val="14"/>
                <w:szCs w:val="14"/>
                <w:lang w:eastAsia="es-CO"/>
              </w:rPr>
              <w:br/>
              <w:t>- Construcción y rehabilitación andenes de la Crr. 10 Este, entre Diagonal 51 Sur y Calle 54 A Sur</w:t>
            </w:r>
            <w:r w:rsidRPr="0099053F">
              <w:rPr>
                <w:rFonts w:ascii="Calibri" w:eastAsia="Times New Roman" w:hAnsi="Calibri" w:cs="Calibri"/>
                <w:color w:val="000000"/>
                <w:sz w:val="14"/>
                <w:szCs w:val="14"/>
                <w:lang w:eastAsia="es-CO"/>
              </w:rPr>
              <w:br/>
              <w:t>- Construcción de los andenes de la esquina sur-occidental de la Av. Calle 13 por Av.Constitución</w:t>
            </w:r>
            <w:r w:rsidRPr="0099053F">
              <w:rPr>
                <w:rFonts w:ascii="Calibri" w:eastAsia="Times New Roman" w:hAnsi="Calibri" w:cs="Calibri"/>
                <w:color w:val="000000"/>
                <w:sz w:val="14"/>
                <w:szCs w:val="14"/>
                <w:lang w:eastAsia="es-CO"/>
              </w:rPr>
              <w:br/>
              <w:t xml:space="preserve">- Construcción de los andenes el costado sur-occidental de la Carrera 7ª por Calle170 </w:t>
            </w:r>
            <w:r w:rsidRPr="0099053F">
              <w:rPr>
                <w:rFonts w:ascii="Calibri" w:eastAsia="Times New Roman" w:hAnsi="Calibri" w:cs="Calibri"/>
                <w:color w:val="000000"/>
                <w:sz w:val="14"/>
                <w:szCs w:val="14"/>
                <w:lang w:eastAsia="es-CO"/>
              </w:rPr>
              <w:br/>
              <w:t>- Intervención del andén sobre costado occidental de la Av. Circunvalar, entre Calle 63 y Calle 68</w:t>
            </w:r>
            <w:r w:rsidRPr="0099053F">
              <w:rPr>
                <w:rFonts w:ascii="Calibri" w:eastAsia="Times New Roman" w:hAnsi="Calibri" w:cs="Calibri"/>
                <w:color w:val="000000"/>
                <w:sz w:val="14"/>
                <w:szCs w:val="14"/>
                <w:lang w:eastAsia="es-CO"/>
              </w:rPr>
              <w:br/>
              <w:t>- Construcción del andén occidental de la Transversal 77 entre Av. Calle 80 y Diagonal 81 G Bis</w:t>
            </w:r>
            <w:r w:rsidRPr="0099053F">
              <w:rPr>
                <w:rFonts w:ascii="Calibri" w:eastAsia="Times New Roman" w:hAnsi="Calibri" w:cs="Calibri"/>
                <w:color w:val="000000"/>
                <w:sz w:val="14"/>
                <w:szCs w:val="14"/>
                <w:lang w:eastAsia="es-CO"/>
              </w:rPr>
              <w:br/>
              <w:t>- Mejoramiento geométrico y semafórico en intersección de la Av. Agoberto Mejía por Dg 38 S.</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IDU-933-2016</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37%</w:t>
            </w:r>
          </w:p>
        </w:tc>
        <w:tc>
          <w:tcPr>
            <w:tcW w:w="2829" w:type="dxa"/>
            <w:gridSpan w:val="3"/>
            <w:tcBorders>
              <w:top w:val="single" w:sz="4" w:space="0" w:color="auto"/>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7 Acciones Populares</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 xml:space="preserve">            24,058 </w:t>
            </w:r>
          </w:p>
        </w:tc>
      </w:tr>
      <w:tr w:rsidR="0099053F" w:rsidRPr="0099053F" w:rsidTr="0099053F">
        <w:trPr>
          <w:trHeight w:val="249"/>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25</w:t>
            </w: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 xml:space="preserve">Red Peatonal Zona Rosa </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IDU-1521-2017</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30%</w:t>
            </w:r>
          </w:p>
        </w:tc>
        <w:tc>
          <w:tcPr>
            <w:tcW w:w="843"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71,612</w:t>
            </w:r>
          </w:p>
        </w:tc>
        <w:tc>
          <w:tcPr>
            <w:tcW w:w="852"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0.8</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41,806</w:t>
            </w:r>
          </w:p>
        </w:tc>
      </w:tr>
      <w:tr w:rsidR="0099053F" w:rsidRPr="0099053F" w:rsidTr="0099053F">
        <w:trPr>
          <w:trHeight w:val="249"/>
        </w:trPr>
        <w:tc>
          <w:tcPr>
            <w:tcW w:w="356" w:type="dxa"/>
            <w:tcBorders>
              <w:top w:val="nil"/>
              <w:left w:val="single" w:sz="4" w:space="0" w:color="auto"/>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26</w:t>
            </w:r>
          </w:p>
        </w:tc>
        <w:tc>
          <w:tcPr>
            <w:tcW w:w="3325"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Punto Inestable Amapolas</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IDU-1492-2017</w:t>
            </w:r>
          </w:p>
        </w:tc>
        <w:tc>
          <w:tcPr>
            <w:tcW w:w="716"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35%</w:t>
            </w:r>
          </w:p>
        </w:tc>
        <w:tc>
          <w:tcPr>
            <w:tcW w:w="843"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1.0</w:t>
            </w:r>
          </w:p>
        </w:tc>
        <w:tc>
          <w:tcPr>
            <w:tcW w:w="113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676</w:t>
            </w:r>
          </w:p>
        </w:tc>
        <w:tc>
          <w:tcPr>
            <w:tcW w:w="852"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center"/>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0.0</w:t>
            </w:r>
          </w:p>
        </w:tc>
        <w:tc>
          <w:tcPr>
            <w:tcW w:w="1114" w:type="dxa"/>
            <w:tcBorders>
              <w:top w:val="nil"/>
              <w:left w:val="nil"/>
              <w:bottom w:val="single" w:sz="4" w:space="0" w:color="auto"/>
              <w:right w:val="single" w:sz="4" w:space="0" w:color="auto"/>
            </w:tcBorders>
            <w:shd w:val="clear" w:color="auto" w:fill="auto"/>
            <w:noWrap/>
            <w:vAlign w:val="center"/>
            <w:hideMark/>
          </w:tcPr>
          <w:p w:rsidR="0099053F" w:rsidRPr="0099053F" w:rsidRDefault="0099053F" w:rsidP="0099053F">
            <w:pPr>
              <w:spacing w:after="0" w:line="240" w:lineRule="auto"/>
              <w:jc w:val="right"/>
              <w:rPr>
                <w:rFonts w:ascii="Calibri" w:eastAsia="Times New Roman" w:hAnsi="Calibri" w:cs="Calibri"/>
                <w:color w:val="000000"/>
                <w:sz w:val="14"/>
                <w:szCs w:val="14"/>
                <w:lang w:eastAsia="es-CO"/>
              </w:rPr>
            </w:pPr>
            <w:r w:rsidRPr="0099053F">
              <w:rPr>
                <w:rFonts w:ascii="Calibri" w:eastAsia="Times New Roman" w:hAnsi="Calibri" w:cs="Calibri"/>
                <w:color w:val="000000"/>
                <w:sz w:val="14"/>
                <w:szCs w:val="14"/>
                <w:lang w:eastAsia="es-CO"/>
              </w:rPr>
              <w:t>10,175</w:t>
            </w:r>
          </w:p>
        </w:tc>
      </w:tr>
      <w:tr w:rsidR="0099053F" w:rsidRPr="0099053F" w:rsidTr="0099053F">
        <w:trPr>
          <w:trHeight w:val="249"/>
        </w:trPr>
        <w:tc>
          <w:tcPr>
            <w:tcW w:w="3681" w:type="dxa"/>
            <w:gridSpan w:val="2"/>
            <w:tcBorders>
              <w:top w:val="single" w:sz="4" w:space="0" w:color="auto"/>
              <w:left w:val="single" w:sz="4" w:space="0" w:color="auto"/>
              <w:bottom w:val="single" w:sz="4" w:space="0" w:color="auto"/>
              <w:right w:val="single" w:sz="4" w:space="0" w:color="000000"/>
            </w:tcBorders>
            <w:shd w:val="clear" w:color="000000" w:fill="D0CECE"/>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TOTALES</w:t>
            </w:r>
          </w:p>
        </w:tc>
        <w:tc>
          <w:tcPr>
            <w:tcW w:w="1134" w:type="dxa"/>
            <w:tcBorders>
              <w:top w:val="nil"/>
              <w:left w:val="nil"/>
              <w:bottom w:val="single" w:sz="4" w:space="0" w:color="auto"/>
              <w:right w:val="single" w:sz="4" w:space="0" w:color="auto"/>
            </w:tcBorders>
            <w:shd w:val="clear" w:color="000000" w:fill="D0CECE"/>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 </w:t>
            </w:r>
          </w:p>
        </w:tc>
        <w:tc>
          <w:tcPr>
            <w:tcW w:w="716" w:type="dxa"/>
            <w:tcBorders>
              <w:top w:val="nil"/>
              <w:left w:val="nil"/>
              <w:bottom w:val="single" w:sz="4" w:space="0" w:color="auto"/>
              <w:right w:val="single" w:sz="4" w:space="0" w:color="auto"/>
            </w:tcBorders>
            <w:shd w:val="clear" w:color="000000" w:fill="D0CECE"/>
            <w:noWrap/>
            <w:vAlign w:val="center"/>
            <w:hideMark/>
          </w:tcPr>
          <w:p w:rsidR="0099053F" w:rsidRPr="0099053F" w:rsidRDefault="0099053F" w:rsidP="0099053F">
            <w:pPr>
              <w:spacing w:after="0" w:line="240" w:lineRule="auto"/>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 </w:t>
            </w:r>
          </w:p>
        </w:tc>
        <w:tc>
          <w:tcPr>
            <w:tcW w:w="843" w:type="dxa"/>
            <w:tcBorders>
              <w:top w:val="nil"/>
              <w:left w:val="nil"/>
              <w:bottom w:val="single" w:sz="4" w:space="0" w:color="auto"/>
              <w:right w:val="single" w:sz="4" w:space="0" w:color="auto"/>
            </w:tcBorders>
            <w:shd w:val="clear" w:color="000000" w:fill="D0CECE"/>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23.3</w:t>
            </w:r>
          </w:p>
        </w:tc>
        <w:tc>
          <w:tcPr>
            <w:tcW w:w="1134" w:type="dxa"/>
            <w:tcBorders>
              <w:top w:val="nil"/>
              <w:left w:val="nil"/>
              <w:bottom w:val="single" w:sz="4" w:space="0" w:color="auto"/>
              <w:right w:val="single" w:sz="4" w:space="0" w:color="auto"/>
            </w:tcBorders>
            <w:shd w:val="clear" w:color="000000" w:fill="D0CECE"/>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745,061</w:t>
            </w:r>
          </w:p>
        </w:tc>
        <w:tc>
          <w:tcPr>
            <w:tcW w:w="852" w:type="dxa"/>
            <w:tcBorders>
              <w:top w:val="nil"/>
              <w:left w:val="nil"/>
              <w:bottom w:val="single" w:sz="4" w:space="0" w:color="auto"/>
              <w:right w:val="single" w:sz="4" w:space="0" w:color="auto"/>
            </w:tcBorders>
            <w:shd w:val="clear" w:color="000000" w:fill="D0CECE"/>
            <w:noWrap/>
            <w:vAlign w:val="center"/>
            <w:hideMark/>
          </w:tcPr>
          <w:p w:rsidR="0099053F" w:rsidRPr="0099053F" w:rsidRDefault="0099053F" w:rsidP="0099053F">
            <w:pPr>
              <w:spacing w:after="0" w:line="240" w:lineRule="auto"/>
              <w:jc w:val="center"/>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22.4</w:t>
            </w:r>
          </w:p>
        </w:tc>
        <w:tc>
          <w:tcPr>
            <w:tcW w:w="1114" w:type="dxa"/>
            <w:tcBorders>
              <w:top w:val="nil"/>
              <w:left w:val="nil"/>
              <w:bottom w:val="single" w:sz="4" w:space="0" w:color="auto"/>
              <w:right w:val="single" w:sz="4" w:space="0" w:color="auto"/>
            </w:tcBorders>
            <w:shd w:val="clear" w:color="000000" w:fill="D0CECE"/>
            <w:noWrap/>
            <w:vAlign w:val="center"/>
            <w:hideMark/>
          </w:tcPr>
          <w:p w:rsidR="0099053F" w:rsidRPr="0099053F" w:rsidRDefault="0099053F" w:rsidP="0099053F">
            <w:pPr>
              <w:spacing w:after="0" w:line="240" w:lineRule="auto"/>
              <w:jc w:val="right"/>
              <w:rPr>
                <w:rFonts w:ascii="Calibri" w:eastAsia="Times New Roman" w:hAnsi="Calibri" w:cs="Calibri"/>
                <w:b/>
                <w:bCs/>
                <w:color w:val="000000"/>
                <w:sz w:val="14"/>
                <w:szCs w:val="14"/>
                <w:lang w:eastAsia="es-CO"/>
              </w:rPr>
            </w:pPr>
            <w:r w:rsidRPr="0099053F">
              <w:rPr>
                <w:rFonts w:ascii="Calibri" w:eastAsia="Times New Roman" w:hAnsi="Calibri" w:cs="Calibri"/>
                <w:b/>
                <w:bCs/>
                <w:color w:val="000000"/>
                <w:sz w:val="14"/>
                <w:szCs w:val="14"/>
                <w:lang w:eastAsia="es-CO"/>
              </w:rPr>
              <w:t>2,022,637</w:t>
            </w:r>
          </w:p>
        </w:tc>
      </w:tr>
    </w:tbl>
    <w:p w:rsidR="00AC30EC" w:rsidRPr="0099053F" w:rsidRDefault="0099053F" w:rsidP="00AC30EC">
      <w:pPr>
        <w:pStyle w:val="Descripcin"/>
        <w:rPr>
          <w:rFonts w:ascii="Arial" w:hAnsi="Arial" w:cs="Arial"/>
          <w:b/>
          <w:color w:val="000000" w:themeColor="text1"/>
        </w:rPr>
      </w:pPr>
      <w:r w:rsidRPr="0099053F">
        <w:rPr>
          <w:rFonts w:ascii="Arial" w:hAnsi="Arial"/>
          <w:color w:val="000000" w:themeColor="text1"/>
          <w:sz w:val="14"/>
        </w:rPr>
        <w:t xml:space="preserve">Fuente de Información: Oficina Asesora de Planeación - Sistema de Gestión de Proyectos ZIPA - </w:t>
      </w:r>
      <w:r w:rsidRPr="0099053F">
        <w:rPr>
          <w:rFonts w:ascii="Arial" w:hAnsi="Arial"/>
          <w:color w:val="000000" w:themeColor="text1"/>
          <w:sz w:val="14"/>
        </w:rPr>
        <w:tab/>
      </w:r>
      <w:r w:rsidRPr="0099053F">
        <w:rPr>
          <w:rFonts w:ascii="Arial" w:hAnsi="Arial"/>
          <w:color w:val="000000" w:themeColor="text1"/>
          <w:sz w:val="14"/>
        </w:rPr>
        <w:tab/>
        <w:t xml:space="preserve"> Cifras en Millones de pesos</w:t>
      </w:r>
      <w:r w:rsidRPr="0099053F">
        <w:rPr>
          <w:rFonts w:ascii="Arial" w:hAnsi="Arial" w:cs="Arial"/>
          <w:b/>
          <w:color w:val="000000" w:themeColor="text1"/>
        </w:rPr>
        <w:t xml:space="preserve"> </w:t>
      </w:r>
      <w:r w:rsidR="00AC30EC" w:rsidRPr="0099053F">
        <w:rPr>
          <w:rFonts w:ascii="Arial" w:hAnsi="Arial" w:cs="Arial"/>
          <w:b/>
          <w:color w:val="000000" w:themeColor="text1"/>
        </w:rPr>
        <w:fldChar w:fldCharType="begin"/>
      </w:r>
      <w:r w:rsidR="00AC30EC" w:rsidRPr="0099053F">
        <w:rPr>
          <w:rFonts w:ascii="Arial" w:hAnsi="Arial" w:cs="Arial"/>
          <w:b/>
          <w:color w:val="000000" w:themeColor="text1"/>
        </w:rPr>
        <w:instrText xml:space="preserve"> LINK Excel.Sheet.12 "D:\\Users\\cszafraf1\\Documents\\BACKUP PC\\2. JEFE ISAURO\\BALANCE PROYECTOS IDU.xlsx" "OBRAS TERMINADAS!F2C2:F30C4" \a \f 4 \h  \* MERGEFORMAT </w:instrText>
      </w:r>
      <w:r w:rsidR="00AC30EC" w:rsidRPr="0099053F">
        <w:rPr>
          <w:rFonts w:ascii="Arial" w:hAnsi="Arial" w:cs="Arial"/>
          <w:b/>
          <w:color w:val="000000" w:themeColor="text1"/>
        </w:rPr>
        <w:fldChar w:fldCharType="separate"/>
      </w:r>
    </w:p>
    <w:p w:rsidR="00AC30EC" w:rsidRPr="0099053F" w:rsidRDefault="00AC30EC" w:rsidP="00AC30EC">
      <w:pPr>
        <w:spacing w:line="276" w:lineRule="auto"/>
        <w:ind w:hanging="283"/>
        <w:rPr>
          <w:rFonts w:ascii="Arial" w:hAnsi="Arial" w:cs="Arial"/>
          <w:color w:val="000000" w:themeColor="text1"/>
        </w:rPr>
      </w:pPr>
      <w:r w:rsidRPr="0099053F">
        <w:rPr>
          <w:rFonts w:ascii="Arial" w:hAnsi="Arial" w:cs="Arial"/>
          <w:b/>
          <w:color w:val="000000" w:themeColor="text1"/>
        </w:rPr>
        <w:fldChar w:fldCharType="end"/>
      </w:r>
    </w:p>
    <w:p w:rsidR="00AC30EC" w:rsidRPr="00C7589D" w:rsidRDefault="00AC30EC" w:rsidP="00C7589D">
      <w:pPr>
        <w:pStyle w:val="Prrafodelista"/>
        <w:numPr>
          <w:ilvl w:val="1"/>
          <w:numId w:val="51"/>
        </w:numPr>
        <w:spacing w:after="0" w:line="276" w:lineRule="auto"/>
        <w:ind w:left="851" w:hanging="567"/>
        <w:jc w:val="both"/>
        <w:rPr>
          <w:rFonts w:ascii="Arial" w:hAnsi="Arial" w:cs="Arial"/>
          <w:b/>
        </w:rPr>
      </w:pPr>
      <w:r w:rsidRPr="00AC30EC">
        <w:rPr>
          <w:rFonts w:ascii="Arial" w:hAnsi="Arial" w:cs="Arial"/>
          <w:b/>
        </w:rPr>
        <w:t>PROYECTOS CONTRATADOS POR INICIAR EJECUCIÓN DE OBRA</w:t>
      </w:r>
    </w:p>
    <w:p w:rsidR="00AC30EC" w:rsidRDefault="00AC30EC" w:rsidP="00AC30EC">
      <w:pPr>
        <w:pStyle w:val="Descripcin"/>
        <w:spacing w:after="0" w:line="276" w:lineRule="auto"/>
        <w:rPr>
          <w:rFonts w:ascii="Arial" w:hAnsi="Arial" w:cs="Arial"/>
          <w:color w:val="auto"/>
        </w:rPr>
      </w:pPr>
      <w:bookmarkStart w:id="76" w:name="_Toc27665330"/>
      <w:r w:rsidRPr="0099053F">
        <w:rPr>
          <w:rFonts w:ascii="Arial" w:hAnsi="Arial" w:cs="Arial"/>
          <w:color w:val="auto"/>
        </w:rPr>
        <w:t>Proyectos contratados por iniciar ejecución de obra</w:t>
      </w:r>
      <w:bookmarkEnd w:id="76"/>
    </w:p>
    <w:p w:rsidR="0099053F" w:rsidRDefault="0099053F" w:rsidP="0099053F"/>
    <w:tbl>
      <w:tblPr>
        <w:tblW w:w="9586" w:type="dxa"/>
        <w:tblCellMar>
          <w:left w:w="70" w:type="dxa"/>
          <w:right w:w="70" w:type="dxa"/>
        </w:tblCellMar>
        <w:tblLook w:val="04A0" w:firstRow="1" w:lastRow="0" w:firstColumn="1" w:lastColumn="0" w:noHBand="0" w:noVBand="1"/>
      </w:tblPr>
      <w:tblGrid>
        <w:gridCol w:w="421"/>
        <w:gridCol w:w="2976"/>
        <w:gridCol w:w="851"/>
        <w:gridCol w:w="1985"/>
        <w:gridCol w:w="709"/>
        <w:gridCol w:w="992"/>
        <w:gridCol w:w="660"/>
        <w:gridCol w:w="992"/>
      </w:tblGrid>
      <w:tr w:rsidR="00C7589D" w:rsidRPr="00C7589D" w:rsidTr="00C7589D">
        <w:trPr>
          <w:trHeight w:val="170"/>
          <w:tblHeader/>
        </w:trPr>
        <w:tc>
          <w:tcPr>
            <w:tcW w:w="421" w:type="dxa"/>
            <w:vMerge w:val="restart"/>
            <w:tcBorders>
              <w:top w:val="single" w:sz="4" w:space="0" w:color="auto"/>
              <w:left w:val="single" w:sz="4" w:space="0" w:color="auto"/>
              <w:bottom w:val="single" w:sz="4" w:space="0" w:color="auto"/>
              <w:right w:val="single" w:sz="4" w:space="0" w:color="auto"/>
            </w:tcBorders>
            <w:shd w:val="clear" w:color="000000" w:fill="D0CECE"/>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No</w:t>
            </w:r>
          </w:p>
        </w:tc>
        <w:tc>
          <w:tcPr>
            <w:tcW w:w="2976" w:type="dxa"/>
            <w:vMerge w:val="restart"/>
            <w:tcBorders>
              <w:top w:val="single" w:sz="4" w:space="0" w:color="auto"/>
              <w:left w:val="single" w:sz="4" w:space="0" w:color="auto"/>
              <w:bottom w:val="single" w:sz="4" w:space="0" w:color="auto"/>
              <w:right w:val="single" w:sz="4" w:space="0" w:color="auto"/>
            </w:tcBorders>
            <w:shd w:val="clear" w:color="000000" w:fill="D0CECE"/>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Nombre del Proyecto</w:t>
            </w:r>
          </w:p>
        </w:tc>
        <w:tc>
          <w:tcPr>
            <w:tcW w:w="851" w:type="dxa"/>
            <w:vMerge w:val="restart"/>
            <w:tcBorders>
              <w:top w:val="single" w:sz="4" w:space="0" w:color="auto"/>
              <w:left w:val="single" w:sz="4" w:space="0" w:color="auto"/>
              <w:bottom w:val="single" w:sz="4" w:space="0" w:color="auto"/>
              <w:right w:val="single" w:sz="4" w:space="0" w:color="auto"/>
            </w:tcBorders>
            <w:shd w:val="clear" w:color="000000" w:fill="D0CECE"/>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Contrato</w:t>
            </w:r>
          </w:p>
        </w:tc>
        <w:tc>
          <w:tcPr>
            <w:tcW w:w="1985" w:type="dxa"/>
            <w:vMerge w:val="restart"/>
            <w:tcBorders>
              <w:top w:val="single" w:sz="4" w:space="0" w:color="auto"/>
              <w:left w:val="nil"/>
              <w:right w:val="single" w:sz="4" w:space="0" w:color="auto"/>
            </w:tcBorders>
            <w:shd w:val="clear" w:color="000000" w:fill="D0CECE"/>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Estado del Proyecto</w:t>
            </w:r>
          </w:p>
        </w:tc>
        <w:tc>
          <w:tcPr>
            <w:tcW w:w="2361" w:type="dxa"/>
            <w:gridSpan w:val="3"/>
            <w:tcBorders>
              <w:top w:val="single" w:sz="4" w:space="0" w:color="auto"/>
              <w:left w:val="nil"/>
              <w:bottom w:val="single" w:sz="4" w:space="0" w:color="auto"/>
              <w:right w:val="single" w:sz="4" w:space="0" w:color="auto"/>
            </w:tcBorders>
            <w:shd w:val="clear" w:color="000000" w:fill="D0CECE"/>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Metas Físicas</w:t>
            </w:r>
          </w:p>
        </w:tc>
        <w:tc>
          <w:tcPr>
            <w:tcW w:w="992" w:type="dxa"/>
            <w:vMerge w:val="restart"/>
            <w:tcBorders>
              <w:top w:val="single" w:sz="4" w:space="0" w:color="auto"/>
              <w:left w:val="single" w:sz="4" w:space="0" w:color="auto"/>
              <w:right w:val="single" w:sz="4" w:space="0" w:color="auto"/>
            </w:tcBorders>
            <w:shd w:val="clear" w:color="000000" w:fill="D0CECE"/>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 xml:space="preserve"> Costo Total </w:t>
            </w:r>
          </w:p>
        </w:tc>
      </w:tr>
      <w:tr w:rsidR="00C7589D" w:rsidRPr="00C7589D" w:rsidTr="00C7589D">
        <w:trPr>
          <w:trHeight w:val="170"/>
        </w:trPr>
        <w:tc>
          <w:tcPr>
            <w:tcW w:w="421" w:type="dxa"/>
            <w:vMerge/>
            <w:tcBorders>
              <w:top w:val="single" w:sz="4" w:space="0" w:color="auto"/>
              <w:left w:val="single" w:sz="4" w:space="0" w:color="auto"/>
              <w:bottom w:val="single" w:sz="4" w:space="0" w:color="auto"/>
              <w:right w:val="single" w:sz="4" w:space="0" w:color="auto"/>
            </w:tcBorders>
            <w:vAlign w:val="center"/>
            <w:hideMark/>
          </w:tcPr>
          <w:p w:rsidR="00C7589D" w:rsidRPr="00C7589D" w:rsidRDefault="00C7589D" w:rsidP="00C7589D">
            <w:pPr>
              <w:spacing w:after="0" w:line="240" w:lineRule="auto"/>
              <w:rPr>
                <w:rFonts w:ascii="Calibri" w:eastAsia="Times New Roman" w:hAnsi="Calibri" w:cs="Calibri"/>
                <w:b/>
                <w:bCs/>
                <w:color w:val="000000"/>
                <w:sz w:val="14"/>
                <w:szCs w:val="14"/>
                <w:lang w:eastAsia="es-CO"/>
              </w:rPr>
            </w:pPr>
          </w:p>
        </w:tc>
        <w:tc>
          <w:tcPr>
            <w:tcW w:w="2976" w:type="dxa"/>
            <w:vMerge/>
            <w:tcBorders>
              <w:top w:val="single" w:sz="4" w:space="0" w:color="auto"/>
              <w:left w:val="single" w:sz="4" w:space="0" w:color="auto"/>
              <w:bottom w:val="single" w:sz="4" w:space="0" w:color="auto"/>
              <w:right w:val="single" w:sz="4" w:space="0" w:color="auto"/>
            </w:tcBorders>
            <w:vAlign w:val="center"/>
            <w:hideMark/>
          </w:tcPr>
          <w:p w:rsidR="00C7589D" w:rsidRPr="00C7589D" w:rsidRDefault="00C7589D" w:rsidP="00C7589D">
            <w:pPr>
              <w:spacing w:after="0" w:line="240" w:lineRule="auto"/>
              <w:rPr>
                <w:rFonts w:ascii="Calibri" w:eastAsia="Times New Roman" w:hAnsi="Calibri" w:cs="Calibri"/>
                <w:b/>
                <w:bCs/>
                <w:color w:val="000000"/>
                <w:sz w:val="14"/>
                <w:szCs w:val="14"/>
                <w:lang w:eastAsia="es-CO"/>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C7589D" w:rsidRPr="00C7589D" w:rsidRDefault="00C7589D" w:rsidP="00C7589D">
            <w:pPr>
              <w:spacing w:after="0" w:line="240" w:lineRule="auto"/>
              <w:rPr>
                <w:rFonts w:ascii="Calibri" w:eastAsia="Times New Roman" w:hAnsi="Calibri" w:cs="Calibri"/>
                <w:b/>
                <w:bCs/>
                <w:color w:val="000000"/>
                <w:sz w:val="14"/>
                <w:szCs w:val="14"/>
                <w:lang w:eastAsia="es-CO"/>
              </w:rPr>
            </w:pPr>
          </w:p>
        </w:tc>
        <w:tc>
          <w:tcPr>
            <w:tcW w:w="1985" w:type="dxa"/>
            <w:vMerge/>
            <w:tcBorders>
              <w:left w:val="nil"/>
              <w:bottom w:val="single" w:sz="4" w:space="0" w:color="auto"/>
              <w:right w:val="single" w:sz="4" w:space="0" w:color="auto"/>
            </w:tcBorders>
            <w:shd w:val="clear" w:color="000000" w:fill="D0CECE"/>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p>
        </w:tc>
        <w:tc>
          <w:tcPr>
            <w:tcW w:w="709" w:type="dxa"/>
            <w:tcBorders>
              <w:top w:val="single" w:sz="4" w:space="0" w:color="auto"/>
              <w:left w:val="nil"/>
              <w:bottom w:val="single" w:sz="4" w:space="0" w:color="auto"/>
              <w:right w:val="single" w:sz="4" w:space="0" w:color="auto"/>
            </w:tcBorders>
            <w:shd w:val="clear" w:color="000000" w:fill="D0CECE"/>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Longitud (Km)</w:t>
            </w:r>
          </w:p>
        </w:tc>
        <w:tc>
          <w:tcPr>
            <w:tcW w:w="992" w:type="dxa"/>
            <w:tcBorders>
              <w:top w:val="single" w:sz="4" w:space="0" w:color="auto"/>
              <w:left w:val="nil"/>
              <w:bottom w:val="single" w:sz="4" w:space="0" w:color="auto"/>
              <w:right w:val="single" w:sz="4" w:space="0" w:color="auto"/>
            </w:tcBorders>
            <w:shd w:val="clear" w:color="000000" w:fill="D0CECE"/>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Espacio Público (M2)</w:t>
            </w:r>
          </w:p>
        </w:tc>
        <w:tc>
          <w:tcPr>
            <w:tcW w:w="660" w:type="dxa"/>
            <w:tcBorders>
              <w:top w:val="single" w:sz="4" w:space="0" w:color="auto"/>
              <w:left w:val="nil"/>
              <w:bottom w:val="single" w:sz="4" w:space="0" w:color="auto"/>
              <w:right w:val="single" w:sz="4" w:space="0" w:color="auto"/>
            </w:tcBorders>
            <w:shd w:val="clear" w:color="000000" w:fill="D0CECE"/>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Cicloruta (Km)</w:t>
            </w:r>
          </w:p>
        </w:tc>
        <w:tc>
          <w:tcPr>
            <w:tcW w:w="992" w:type="dxa"/>
            <w:vMerge/>
            <w:tcBorders>
              <w:left w:val="single" w:sz="4" w:space="0" w:color="auto"/>
              <w:bottom w:val="single" w:sz="4" w:space="0" w:color="auto"/>
              <w:right w:val="single" w:sz="4" w:space="0" w:color="auto"/>
            </w:tcBorders>
            <w:vAlign w:val="center"/>
            <w:hideMark/>
          </w:tcPr>
          <w:p w:rsidR="00C7589D" w:rsidRPr="00C7589D" w:rsidRDefault="00C7589D" w:rsidP="00C7589D">
            <w:pPr>
              <w:spacing w:after="0" w:line="240" w:lineRule="auto"/>
              <w:rPr>
                <w:rFonts w:ascii="Calibri" w:eastAsia="Times New Roman" w:hAnsi="Calibri" w:cs="Calibri"/>
                <w:b/>
                <w:bCs/>
                <w:color w:val="000000"/>
                <w:sz w:val="14"/>
                <w:szCs w:val="14"/>
                <w:lang w:eastAsia="es-CO"/>
              </w:rPr>
            </w:pPr>
          </w:p>
        </w:tc>
      </w:tr>
      <w:tr w:rsidR="00C7589D" w:rsidRPr="00C7589D" w:rsidTr="00C7589D">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1</w:t>
            </w:r>
          </w:p>
        </w:tc>
        <w:tc>
          <w:tcPr>
            <w:tcW w:w="2976"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Ampliación de Estaciones (9) Troncales Existentes (Estudios y Diseños y Construcción)</w:t>
            </w:r>
            <w:r w:rsidRPr="00C7589D">
              <w:rPr>
                <w:rFonts w:ascii="Calibri" w:eastAsia="Times New Roman" w:hAnsi="Calibri" w:cs="Calibri"/>
                <w:color w:val="000000"/>
                <w:sz w:val="14"/>
                <w:szCs w:val="14"/>
                <w:lang w:eastAsia="es-CO"/>
              </w:rPr>
              <w:br/>
              <w:t>Troncal Nqs: Santa Isabel - 30 Sur - 38A Sur - Alquería - Madalena</w:t>
            </w:r>
            <w:r w:rsidRPr="00C7589D">
              <w:rPr>
                <w:rFonts w:ascii="Calibri" w:eastAsia="Times New Roman" w:hAnsi="Calibri" w:cs="Calibri"/>
                <w:color w:val="000000"/>
                <w:sz w:val="14"/>
                <w:szCs w:val="14"/>
                <w:lang w:eastAsia="es-CO"/>
              </w:rPr>
              <w:br/>
              <w:t>Troncal Américas: Sabana CDS Cr. 32 - Zona Industrial - Carrera 43</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IDU-1309-2018</w:t>
            </w:r>
          </w:p>
        </w:tc>
        <w:tc>
          <w:tcPr>
            <w:tcW w:w="1985"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Proyecto mixto diseños y obra actualmente se encuentra en diseños.</w:t>
            </w:r>
          </w:p>
        </w:tc>
        <w:tc>
          <w:tcPr>
            <w:tcW w:w="2361" w:type="dxa"/>
            <w:gridSpan w:val="3"/>
            <w:tcBorders>
              <w:top w:val="single" w:sz="4" w:space="0" w:color="auto"/>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AMPLIACIÓN INFRAESTRUCTURA EXISTENTE</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right"/>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11,374</w:t>
            </w:r>
          </w:p>
        </w:tc>
      </w:tr>
      <w:tr w:rsidR="00C7589D" w:rsidRPr="00C7589D" w:rsidTr="00C7589D">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2</w:t>
            </w:r>
          </w:p>
        </w:tc>
        <w:tc>
          <w:tcPr>
            <w:tcW w:w="2976"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Ampliación de Estaciones (9) Troncales Existentes (Estudios y Diseños y Construcción)</w:t>
            </w:r>
            <w:r w:rsidRPr="00C7589D">
              <w:rPr>
                <w:rFonts w:ascii="Calibri" w:eastAsia="Times New Roman" w:hAnsi="Calibri" w:cs="Calibri"/>
                <w:color w:val="000000"/>
                <w:sz w:val="14"/>
                <w:szCs w:val="14"/>
                <w:lang w:eastAsia="es-CO"/>
              </w:rPr>
              <w:br/>
              <w:t xml:space="preserve">Troncal Nqs:  Venecia (Nuevo Vagón) </w:t>
            </w:r>
            <w:r w:rsidRPr="00C7589D">
              <w:rPr>
                <w:rFonts w:ascii="Calibri" w:eastAsia="Times New Roman" w:hAnsi="Calibri" w:cs="Calibri"/>
                <w:color w:val="000000"/>
                <w:sz w:val="14"/>
                <w:szCs w:val="14"/>
                <w:lang w:eastAsia="es-CO"/>
              </w:rPr>
              <w:br/>
              <w:t>Troncal Caracas - Sur:  Restrepo (Ampliación de Vagón) - Calle 40 Sur (Ampliación de Vagón)</w:t>
            </w:r>
            <w:r w:rsidRPr="00C7589D">
              <w:rPr>
                <w:rFonts w:ascii="Calibri" w:eastAsia="Times New Roman" w:hAnsi="Calibri" w:cs="Calibri"/>
                <w:color w:val="000000"/>
                <w:sz w:val="14"/>
                <w:szCs w:val="14"/>
                <w:lang w:eastAsia="es-CO"/>
              </w:rPr>
              <w:br/>
              <w:t>Troncal Suba: 21 Ángeles  - Suba x Av. Boyacá -  Shaio  (Ampliación de Vagónes)</w:t>
            </w:r>
            <w:r w:rsidRPr="00C7589D">
              <w:rPr>
                <w:rFonts w:ascii="Calibri" w:eastAsia="Times New Roman" w:hAnsi="Calibri" w:cs="Calibri"/>
                <w:color w:val="000000"/>
                <w:sz w:val="14"/>
                <w:szCs w:val="14"/>
                <w:lang w:eastAsia="es-CO"/>
              </w:rPr>
              <w:br/>
              <w:t>Troncal Calle 80: Carrera 90 - (Nuevo Vagón) - Boyacá (Nuevo Vagón) - Av. Cali</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IDU-1535-2018</w:t>
            </w:r>
          </w:p>
        </w:tc>
        <w:tc>
          <w:tcPr>
            <w:tcW w:w="1985"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Proyecto mixto diseños y obra actualmente se encuentra en diseños.</w:t>
            </w:r>
          </w:p>
        </w:tc>
        <w:tc>
          <w:tcPr>
            <w:tcW w:w="2361" w:type="dxa"/>
            <w:gridSpan w:val="3"/>
            <w:tcBorders>
              <w:top w:val="single" w:sz="4" w:space="0" w:color="auto"/>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AMPLIACIÓN INFRAESTRUCTURA EXISTENTE</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right"/>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21,071</w:t>
            </w:r>
          </w:p>
        </w:tc>
      </w:tr>
      <w:tr w:rsidR="00C7589D" w:rsidRPr="00C7589D" w:rsidTr="00C7589D">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3</w:t>
            </w:r>
          </w:p>
        </w:tc>
        <w:tc>
          <w:tcPr>
            <w:tcW w:w="2976"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Avenida Laureano Gómez (AK 9) desde Av. San José (AC 170) hasta la Calle 193</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IDU-1551-2017</w:t>
            </w:r>
          </w:p>
        </w:tc>
        <w:tc>
          <w:tcPr>
            <w:tcW w:w="1985"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Proyecto mixto diseños y obra actualmente se encuentra en diseños.</w:t>
            </w:r>
          </w:p>
        </w:tc>
        <w:tc>
          <w:tcPr>
            <w:tcW w:w="7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2.3</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23,020</w:t>
            </w:r>
          </w:p>
        </w:tc>
        <w:tc>
          <w:tcPr>
            <w:tcW w:w="66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2.3</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right"/>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 xml:space="preserve">               117,620 </w:t>
            </w:r>
          </w:p>
        </w:tc>
      </w:tr>
      <w:tr w:rsidR="00C7589D" w:rsidRPr="00C7589D" w:rsidTr="00C7589D">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lastRenderedPageBreak/>
              <w:t>4</w:t>
            </w:r>
          </w:p>
        </w:tc>
        <w:tc>
          <w:tcPr>
            <w:tcW w:w="2976"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Avenida José Celestino Mutis (AC 63) desde Carrera 114 hasta Carrera 122</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IDU-1397-2017</w:t>
            </w:r>
          </w:p>
        </w:tc>
        <w:tc>
          <w:tcPr>
            <w:tcW w:w="1985"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Proyecto mixto diseños y obra actualmente se encuentra en diseños.</w:t>
            </w:r>
          </w:p>
        </w:tc>
        <w:tc>
          <w:tcPr>
            <w:tcW w:w="7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1.3</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13,300</w:t>
            </w:r>
          </w:p>
        </w:tc>
        <w:tc>
          <w:tcPr>
            <w:tcW w:w="66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1.3</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right"/>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 xml:space="preserve">                 82,866 </w:t>
            </w:r>
          </w:p>
        </w:tc>
      </w:tr>
      <w:tr w:rsidR="00C7589D" w:rsidRPr="00C7589D" w:rsidTr="00C7589D">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5</w:t>
            </w:r>
          </w:p>
        </w:tc>
        <w:tc>
          <w:tcPr>
            <w:tcW w:w="2976"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PAR VIAL – Carrera 7 desde Avenida de los Comuneros hasta Avenida de la Hortúa (AC 1)</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IDU-1353-2017</w:t>
            </w:r>
          </w:p>
        </w:tc>
        <w:tc>
          <w:tcPr>
            <w:tcW w:w="1985"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Proyecto mixto diseños y obra actualmente se encuentra en diseños.</w:t>
            </w:r>
          </w:p>
        </w:tc>
        <w:tc>
          <w:tcPr>
            <w:tcW w:w="7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0.6</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6,184</w:t>
            </w:r>
          </w:p>
        </w:tc>
        <w:tc>
          <w:tcPr>
            <w:tcW w:w="66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0.0</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right"/>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 xml:space="preserve">                   6,027 </w:t>
            </w:r>
          </w:p>
        </w:tc>
      </w:tr>
      <w:tr w:rsidR="00C7589D" w:rsidRPr="00C7589D" w:rsidTr="00C7589D">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6</w:t>
            </w:r>
          </w:p>
        </w:tc>
        <w:tc>
          <w:tcPr>
            <w:tcW w:w="2976"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Avenida Boyacá (AK 72) desde Avenida San José (AC 170) hasta Avenida San Antonio (AC 183).</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IDU-1555-2017</w:t>
            </w:r>
          </w:p>
        </w:tc>
        <w:tc>
          <w:tcPr>
            <w:tcW w:w="1985"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Proyecto mixto diseños y obra actualmente se encuentra en diseños.</w:t>
            </w:r>
          </w:p>
        </w:tc>
        <w:tc>
          <w:tcPr>
            <w:tcW w:w="7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2.6</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15,600</w:t>
            </w:r>
          </w:p>
        </w:tc>
        <w:tc>
          <w:tcPr>
            <w:tcW w:w="66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2.6</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right"/>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 xml:space="preserve">                 56,420 </w:t>
            </w:r>
          </w:p>
        </w:tc>
      </w:tr>
      <w:tr w:rsidR="00C7589D" w:rsidRPr="00C7589D" w:rsidTr="00C7589D">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7</w:t>
            </w:r>
          </w:p>
        </w:tc>
        <w:tc>
          <w:tcPr>
            <w:tcW w:w="2976"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Corredor Ambiental Canal Córdoba desde la Cl. 128 hasta la Cl. 170</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IDU-1650-2019</w:t>
            </w:r>
          </w:p>
        </w:tc>
        <w:tc>
          <w:tcPr>
            <w:tcW w:w="1985"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Proyecto mixto diseños y obra actualmente se encuentra en legalizacion del contrato.</w:t>
            </w:r>
          </w:p>
        </w:tc>
        <w:tc>
          <w:tcPr>
            <w:tcW w:w="7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0.0</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155,000</w:t>
            </w:r>
          </w:p>
        </w:tc>
        <w:tc>
          <w:tcPr>
            <w:tcW w:w="66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7.3</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right"/>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 xml:space="preserve">               123,728 </w:t>
            </w:r>
          </w:p>
        </w:tc>
      </w:tr>
      <w:tr w:rsidR="00C7589D" w:rsidRPr="00C7589D" w:rsidTr="00C7589D">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8</w:t>
            </w:r>
          </w:p>
        </w:tc>
        <w:tc>
          <w:tcPr>
            <w:tcW w:w="2976"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Aceras y Ciclorruta Autopista Norte desde la Cl. 128A hasta Héroes Calle 77 (Costado Oriental)</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IDU-1640-2019</w:t>
            </w:r>
          </w:p>
        </w:tc>
        <w:tc>
          <w:tcPr>
            <w:tcW w:w="1985"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Proyecto mixto diseños y obra actualmente se encuentra en legalizacion del contrato.</w:t>
            </w:r>
          </w:p>
        </w:tc>
        <w:tc>
          <w:tcPr>
            <w:tcW w:w="7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0.0</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37,500</w:t>
            </w:r>
          </w:p>
        </w:tc>
        <w:tc>
          <w:tcPr>
            <w:tcW w:w="66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6.7</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right"/>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 xml:space="preserve">                 56,986 </w:t>
            </w:r>
          </w:p>
        </w:tc>
      </w:tr>
      <w:tr w:rsidR="00C7589D" w:rsidRPr="00C7589D" w:rsidTr="00C7589D">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9</w:t>
            </w:r>
          </w:p>
        </w:tc>
        <w:tc>
          <w:tcPr>
            <w:tcW w:w="2976"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REFORZAMIENTO ESTRUCTURAL DE PUENTES VEHICULARES GRUPO 1</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IDU-1379-2017</w:t>
            </w:r>
          </w:p>
        </w:tc>
        <w:tc>
          <w:tcPr>
            <w:tcW w:w="1985"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Proyecto mixto diseños y obra actualmente se encuentra en diseños.</w:t>
            </w:r>
          </w:p>
        </w:tc>
        <w:tc>
          <w:tcPr>
            <w:tcW w:w="2361" w:type="dxa"/>
            <w:gridSpan w:val="3"/>
            <w:tcBorders>
              <w:top w:val="single" w:sz="4" w:space="0" w:color="auto"/>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5 PUENTES VEHICULARES</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right"/>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14,354</w:t>
            </w:r>
          </w:p>
        </w:tc>
      </w:tr>
      <w:tr w:rsidR="00C7589D" w:rsidRPr="00C7589D" w:rsidTr="00C7589D">
        <w:trPr>
          <w:trHeight w:val="170"/>
        </w:trPr>
        <w:tc>
          <w:tcPr>
            <w:tcW w:w="42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10</w:t>
            </w:r>
          </w:p>
        </w:tc>
        <w:tc>
          <w:tcPr>
            <w:tcW w:w="29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Red Peatonal Sabana</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IDU-1561-2017</w:t>
            </w:r>
          </w:p>
        </w:tc>
        <w:tc>
          <w:tcPr>
            <w:tcW w:w="1985"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Proyecto mixto diseños y obra actualmente se encuentra en diseños.</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0.0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145,050</w:t>
            </w:r>
          </w:p>
        </w:tc>
        <w:tc>
          <w:tcPr>
            <w:tcW w:w="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0.9</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right"/>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 xml:space="preserve">                 34,668 </w:t>
            </w:r>
          </w:p>
        </w:tc>
      </w:tr>
      <w:tr w:rsidR="00C7589D" w:rsidRPr="00C7589D" w:rsidTr="00C7589D">
        <w:trPr>
          <w:trHeight w:val="170"/>
        </w:trPr>
        <w:tc>
          <w:tcPr>
            <w:tcW w:w="421" w:type="dxa"/>
            <w:vMerge/>
            <w:tcBorders>
              <w:top w:val="nil"/>
              <w:left w:val="single" w:sz="4" w:space="0" w:color="auto"/>
              <w:bottom w:val="single" w:sz="4" w:space="0" w:color="auto"/>
              <w:right w:val="single" w:sz="4" w:space="0" w:color="auto"/>
            </w:tcBorders>
            <w:vAlign w:val="center"/>
            <w:hideMark/>
          </w:tcPr>
          <w:p w:rsidR="00C7589D" w:rsidRPr="00C7589D" w:rsidRDefault="00C7589D" w:rsidP="00C7589D">
            <w:pPr>
              <w:spacing w:after="0" w:line="240" w:lineRule="auto"/>
              <w:rPr>
                <w:rFonts w:ascii="Calibri" w:eastAsia="Times New Roman" w:hAnsi="Calibri" w:cs="Calibri"/>
                <w:b/>
                <w:bCs/>
                <w:color w:val="000000"/>
                <w:sz w:val="14"/>
                <w:szCs w:val="14"/>
                <w:lang w:eastAsia="es-CO"/>
              </w:rPr>
            </w:pPr>
          </w:p>
        </w:tc>
        <w:tc>
          <w:tcPr>
            <w:tcW w:w="2976" w:type="dxa"/>
            <w:vMerge/>
            <w:tcBorders>
              <w:top w:val="nil"/>
              <w:left w:val="single" w:sz="4" w:space="0" w:color="auto"/>
              <w:bottom w:val="single" w:sz="4" w:space="0" w:color="auto"/>
              <w:right w:val="single" w:sz="4" w:space="0" w:color="auto"/>
            </w:tcBorders>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IDU-1562-2017</w:t>
            </w:r>
          </w:p>
        </w:tc>
        <w:tc>
          <w:tcPr>
            <w:tcW w:w="1985"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Proyecto mixto diseños y obra actualmente se encuentra en diseños.</w:t>
            </w:r>
          </w:p>
        </w:tc>
        <w:tc>
          <w:tcPr>
            <w:tcW w:w="709" w:type="dxa"/>
            <w:vMerge/>
            <w:tcBorders>
              <w:top w:val="nil"/>
              <w:left w:val="single" w:sz="4" w:space="0" w:color="auto"/>
              <w:bottom w:val="single" w:sz="4" w:space="0" w:color="auto"/>
              <w:right w:val="single" w:sz="4" w:space="0" w:color="auto"/>
            </w:tcBorders>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p>
        </w:tc>
        <w:tc>
          <w:tcPr>
            <w:tcW w:w="992" w:type="dxa"/>
            <w:vMerge/>
            <w:tcBorders>
              <w:top w:val="nil"/>
              <w:left w:val="single" w:sz="4" w:space="0" w:color="auto"/>
              <w:bottom w:val="single" w:sz="4" w:space="0" w:color="auto"/>
              <w:right w:val="single" w:sz="4" w:space="0" w:color="auto"/>
            </w:tcBorders>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p>
        </w:tc>
        <w:tc>
          <w:tcPr>
            <w:tcW w:w="660" w:type="dxa"/>
            <w:vMerge/>
            <w:tcBorders>
              <w:top w:val="nil"/>
              <w:left w:val="single" w:sz="4" w:space="0" w:color="auto"/>
              <w:bottom w:val="single" w:sz="4" w:space="0" w:color="auto"/>
              <w:right w:val="single" w:sz="4" w:space="0" w:color="auto"/>
            </w:tcBorders>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right"/>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 xml:space="preserve">                 32,760 </w:t>
            </w:r>
          </w:p>
        </w:tc>
      </w:tr>
      <w:tr w:rsidR="00C7589D" w:rsidRPr="00C7589D" w:rsidTr="00C7589D">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11</w:t>
            </w:r>
          </w:p>
        </w:tc>
        <w:tc>
          <w:tcPr>
            <w:tcW w:w="2976"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Puente Peatonal Av. Rodrigo Lara Bonilla (AC 127) por Carrera 51</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IDU-1341-2017</w:t>
            </w:r>
          </w:p>
        </w:tc>
        <w:tc>
          <w:tcPr>
            <w:tcW w:w="1985"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Proyecto mixto diseños y obra actualmente suspendido por orden judicial.</w:t>
            </w:r>
          </w:p>
        </w:tc>
        <w:tc>
          <w:tcPr>
            <w:tcW w:w="2361" w:type="dxa"/>
            <w:gridSpan w:val="3"/>
            <w:tcBorders>
              <w:top w:val="single" w:sz="4" w:space="0" w:color="auto"/>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1 PUENTE PEATONAL</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right"/>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4,989</w:t>
            </w:r>
          </w:p>
        </w:tc>
      </w:tr>
      <w:tr w:rsidR="00C7589D" w:rsidRPr="00C7589D" w:rsidTr="00C7589D">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12</w:t>
            </w:r>
          </w:p>
        </w:tc>
        <w:tc>
          <w:tcPr>
            <w:tcW w:w="2976"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Puente Peatonal Av. Circunvalar con Calle 26A (A.P 2008-00103)</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IDU-1537-2018</w:t>
            </w:r>
          </w:p>
        </w:tc>
        <w:tc>
          <w:tcPr>
            <w:tcW w:w="1985"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Proyecto mixto diseños y obra actualmente se encuentra en diseños.</w:t>
            </w:r>
          </w:p>
        </w:tc>
        <w:tc>
          <w:tcPr>
            <w:tcW w:w="2361" w:type="dxa"/>
            <w:gridSpan w:val="3"/>
            <w:tcBorders>
              <w:top w:val="single" w:sz="4" w:space="0" w:color="auto"/>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1 PUENTE PEATONAL</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right"/>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3,776</w:t>
            </w:r>
          </w:p>
        </w:tc>
      </w:tr>
      <w:tr w:rsidR="00C7589D" w:rsidRPr="00C7589D" w:rsidTr="00C7589D">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13</w:t>
            </w:r>
          </w:p>
        </w:tc>
        <w:tc>
          <w:tcPr>
            <w:tcW w:w="2976"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Puente Peatonal Av. Circunvalar con Calle 46 (A.P 2009-00115)</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IDU-1534-2018</w:t>
            </w:r>
          </w:p>
        </w:tc>
        <w:tc>
          <w:tcPr>
            <w:tcW w:w="1985"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Proyecto mixto diseños y obra actualmente se encuentra en diseños.</w:t>
            </w:r>
          </w:p>
        </w:tc>
        <w:tc>
          <w:tcPr>
            <w:tcW w:w="2361" w:type="dxa"/>
            <w:gridSpan w:val="3"/>
            <w:tcBorders>
              <w:top w:val="single" w:sz="4" w:space="0" w:color="auto"/>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1 PUENTE PEATONAL</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right"/>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3,776</w:t>
            </w:r>
          </w:p>
        </w:tc>
      </w:tr>
      <w:tr w:rsidR="00C7589D" w:rsidRPr="00C7589D" w:rsidTr="00C7589D">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14</w:t>
            </w:r>
          </w:p>
        </w:tc>
        <w:tc>
          <w:tcPr>
            <w:tcW w:w="2976"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 xml:space="preserve">Acciones Populares Malla Vial y Espacio Público (Estudio, Diseño y Construcción). </w:t>
            </w:r>
            <w:r w:rsidRPr="00C7589D">
              <w:rPr>
                <w:rFonts w:ascii="Calibri" w:eastAsia="Times New Roman" w:hAnsi="Calibri" w:cs="Calibri"/>
                <w:color w:val="000000"/>
                <w:sz w:val="14"/>
                <w:szCs w:val="14"/>
                <w:lang w:eastAsia="es-CO"/>
              </w:rPr>
              <w:br/>
              <w:t>1. Acción Popular 2010-00148: Andenes Cr. 93 Entre Cl. 129 B Bis y Cl. 131 (Suba - Rincón)</w:t>
            </w:r>
            <w:r w:rsidRPr="00C7589D">
              <w:rPr>
                <w:rFonts w:ascii="Calibri" w:eastAsia="Times New Roman" w:hAnsi="Calibri" w:cs="Calibri"/>
                <w:color w:val="000000"/>
                <w:sz w:val="14"/>
                <w:szCs w:val="14"/>
                <w:lang w:eastAsia="es-CO"/>
              </w:rPr>
              <w:br/>
              <w:t>2.Acción Popular 2007-00243: Paso a Nivel En La Av. Luis Carlos Galán Por Carrera 66</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IDU-1553-2017</w:t>
            </w:r>
          </w:p>
        </w:tc>
        <w:tc>
          <w:tcPr>
            <w:tcW w:w="1985"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Proyecto mixto diseños y obra actualmente se encuentra en diseños.</w:t>
            </w:r>
          </w:p>
        </w:tc>
        <w:tc>
          <w:tcPr>
            <w:tcW w:w="7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0.0</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5,644</w:t>
            </w:r>
          </w:p>
        </w:tc>
        <w:tc>
          <w:tcPr>
            <w:tcW w:w="66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0.0</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right"/>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 xml:space="preserve">                   3,675 </w:t>
            </w:r>
          </w:p>
        </w:tc>
      </w:tr>
      <w:tr w:rsidR="00C7589D" w:rsidRPr="00C7589D" w:rsidTr="00C7589D">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15</w:t>
            </w:r>
          </w:p>
        </w:tc>
        <w:tc>
          <w:tcPr>
            <w:tcW w:w="2976"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CALLES COMERCIALES BARRIOS UNIDOS Cr 50 entre Calle 72 y Calle 79B</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IDU-1564-2018</w:t>
            </w:r>
          </w:p>
        </w:tc>
        <w:tc>
          <w:tcPr>
            <w:tcW w:w="1985"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Proyecto mixto diseños y obra actualmente se encuentra en diseños.</w:t>
            </w:r>
          </w:p>
        </w:tc>
        <w:tc>
          <w:tcPr>
            <w:tcW w:w="7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0.0</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8,632</w:t>
            </w:r>
          </w:p>
        </w:tc>
        <w:tc>
          <w:tcPr>
            <w:tcW w:w="66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0.0</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right"/>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 xml:space="preserve">                   9,359 </w:t>
            </w:r>
          </w:p>
        </w:tc>
      </w:tr>
      <w:tr w:rsidR="00C7589D" w:rsidRPr="00C7589D" w:rsidTr="00C7589D">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16</w:t>
            </w:r>
          </w:p>
        </w:tc>
        <w:tc>
          <w:tcPr>
            <w:tcW w:w="2976"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CALLES COMERCIALES ENGATIVA Cr 112A entre Calle 80 y Calle 72F</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IDU-1563-2018</w:t>
            </w:r>
          </w:p>
        </w:tc>
        <w:tc>
          <w:tcPr>
            <w:tcW w:w="1985"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Proyecto mixto diseños y obra actualmente se encuentra en diseños.</w:t>
            </w:r>
          </w:p>
        </w:tc>
        <w:tc>
          <w:tcPr>
            <w:tcW w:w="7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0.0</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14,651</w:t>
            </w:r>
          </w:p>
        </w:tc>
        <w:tc>
          <w:tcPr>
            <w:tcW w:w="66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0.0</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right"/>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 xml:space="preserve">                 10,560 </w:t>
            </w:r>
          </w:p>
        </w:tc>
      </w:tr>
      <w:tr w:rsidR="00C7589D" w:rsidRPr="00C7589D" w:rsidTr="00C7589D">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17</w:t>
            </w:r>
          </w:p>
        </w:tc>
        <w:tc>
          <w:tcPr>
            <w:tcW w:w="2976"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CALLES COMERCIALES CIUDAD BOLIVAR Cr 19D entre Diagonal 62 Sur y Dg 67B Sur</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IDU-1596-2019</w:t>
            </w:r>
          </w:p>
        </w:tc>
        <w:tc>
          <w:tcPr>
            <w:tcW w:w="1985"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Proyecto mixto diseños y obra actualmente se encuentra en legalización del contrato.</w:t>
            </w:r>
          </w:p>
        </w:tc>
        <w:tc>
          <w:tcPr>
            <w:tcW w:w="7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0.0</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p>
        </w:tc>
        <w:tc>
          <w:tcPr>
            <w:tcW w:w="66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0.0</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right"/>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 xml:space="preserve">                 11,035 </w:t>
            </w:r>
          </w:p>
        </w:tc>
      </w:tr>
      <w:tr w:rsidR="00C7589D" w:rsidRPr="00C7589D" w:rsidTr="00C7589D">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18</w:t>
            </w:r>
          </w:p>
        </w:tc>
        <w:tc>
          <w:tcPr>
            <w:tcW w:w="2976"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CALLE COMERCIAL KENNEDY CLL. 45 SUR ENTRE CRA. 72Q Y 72J - Kennedy</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IDU-1625-2019</w:t>
            </w:r>
          </w:p>
        </w:tc>
        <w:tc>
          <w:tcPr>
            <w:tcW w:w="1985"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Proyecto mixto diseños y obra actualmente se encuentra en legalización del contrato.</w:t>
            </w:r>
          </w:p>
        </w:tc>
        <w:tc>
          <w:tcPr>
            <w:tcW w:w="7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0.0</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p>
        </w:tc>
        <w:tc>
          <w:tcPr>
            <w:tcW w:w="66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0.0</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right"/>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 xml:space="preserve">                 17,493 </w:t>
            </w:r>
          </w:p>
        </w:tc>
      </w:tr>
      <w:tr w:rsidR="00C7589D" w:rsidRPr="00C7589D" w:rsidTr="00C7589D">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19</w:t>
            </w:r>
          </w:p>
        </w:tc>
        <w:tc>
          <w:tcPr>
            <w:tcW w:w="2976"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CALLE COMERCIAL BOSA CL. 51 SUR ENTRE CRA. 88C Y 89B - Bosa</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IDU-1641-2019</w:t>
            </w:r>
          </w:p>
        </w:tc>
        <w:tc>
          <w:tcPr>
            <w:tcW w:w="1985"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Proyecto mixto diseños y obra actualmente se encuentra en legalización del contrato.</w:t>
            </w:r>
          </w:p>
        </w:tc>
        <w:tc>
          <w:tcPr>
            <w:tcW w:w="7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0.0</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p>
        </w:tc>
        <w:tc>
          <w:tcPr>
            <w:tcW w:w="66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0.0</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right"/>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 xml:space="preserve">                   4,800 </w:t>
            </w:r>
          </w:p>
        </w:tc>
      </w:tr>
      <w:tr w:rsidR="00C7589D" w:rsidRPr="00C7589D" w:rsidTr="00C7589D">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20</w:t>
            </w:r>
          </w:p>
        </w:tc>
        <w:tc>
          <w:tcPr>
            <w:tcW w:w="2976"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CALLE COMERCIAL PUENTE ARANDA CRA. 52C ENTRE CL. 40 SUR Y AUTOSUR -Puente Aranda</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IDU-1624-2019</w:t>
            </w:r>
          </w:p>
        </w:tc>
        <w:tc>
          <w:tcPr>
            <w:tcW w:w="1985"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Proyecto mixto diseños y obra actualmente se encuentra en legalización del contrato.</w:t>
            </w:r>
          </w:p>
        </w:tc>
        <w:tc>
          <w:tcPr>
            <w:tcW w:w="7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0.0</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p>
        </w:tc>
        <w:tc>
          <w:tcPr>
            <w:tcW w:w="66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0.0</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right"/>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 xml:space="preserve">                 10,098 </w:t>
            </w:r>
          </w:p>
        </w:tc>
      </w:tr>
      <w:tr w:rsidR="00C7589D" w:rsidRPr="00C7589D" w:rsidTr="00C7589D">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21</w:t>
            </w:r>
          </w:p>
        </w:tc>
        <w:tc>
          <w:tcPr>
            <w:tcW w:w="2976"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Puente Vehicular Juan Amarillo Cl. 129C desde Carrera 99 a Carrera 100</w:t>
            </w:r>
          </w:p>
        </w:tc>
        <w:tc>
          <w:tcPr>
            <w:tcW w:w="851"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IDU-1636-2019</w:t>
            </w:r>
          </w:p>
        </w:tc>
        <w:tc>
          <w:tcPr>
            <w:tcW w:w="1985"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Proyecto mixto diseños y obra actualmente se encuentra en legalización del contrato.</w:t>
            </w:r>
          </w:p>
        </w:tc>
        <w:tc>
          <w:tcPr>
            <w:tcW w:w="2361" w:type="dxa"/>
            <w:gridSpan w:val="3"/>
            <w:tcBorders>
              <w:top w:val="single" w:sz="4" w:space="0" w:color="auto"/>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 xml:space="preserve">1 PUENTE VEHICULAR  </w:t>
            </w:r>
          </w:p>
        </w:tc>
        <w:tc>
          <w:tcPr>
            <w:tcW w:w="992"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right"/>
              <w:rPr>
                <w:rFonts w:ascii="Calibri" w:eastAsia="Times New Roman" w:hAnsi="Calibri" w:cs="Calibri"/>
                <w:color w:val="000000"/>
                <w:sz w:val="14"/>
                <w:szCs w:val="14"/>
                <w:lang w:eastAsia="es-CO"/>
              </w:rPr>
            </w:pPr>
            <w:r w:rsidRPr="00C7589D">
              <w:rPr>
                <w:rFonts w:ascii="Calibri" w:eastAsia="Times New Roman" w:hAnsi="Calibri" w:cs="Calibri"/>
                <w:color w:val="000000"/>
                <w:sz w:val="14"/>
                <w:szCs w:val="14"/>
                <w:lang w:eastAsia="es-CO"/>
              </w:rPr>
              <w:t>8,796</w:t>
            </w:r>
          </w:p>
        </w:tc>
      </w:tr>
      <w:tr w:rsidR="00C7589D" w:rsidRPr="00C7589D" w:rsidTr="00C7589D">
        <w:trPr>
          <w:trHeight w:val="170"/>
        </w:trPr>
        <w:tc>
          <w:tcPr>
            <w:tcW w:w="3397" w:type="dxa"/>
            <w:gridSpan w:val="2"/>
            <w:tcBorders>
              <w:top w:val="single" w:sz="4" w:space="0" w:color="auto"/>
              <w:left w:val="single" w:sz="4" w:space="0" w:color="auto"/>
              <w:bottom w:val="single" w:sz="4" w:space="0" w:color="auto"/>
              <w:right w:val="single" w:sz="4" w:space="0" w:color="auto"/>
            </w:tcBorders>
            <w:shd w:val="clear" w:color="000000" w:fill="D0CECE"/>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TOTALES</w:t>
            </w:r>
          </w:p>
        </w:tc>
        <w:tc>
          <w:tcPr>
            <w:tcW w:w="851" w:type="dxa"/>
            <w:tcBorders>
              <w:top w:val="nil"/>
              <w:left w:val="nil"/>
              <w:bottom w:val="single" w:sz="4" w:space="0" w:color="auto"/>
              <w:right w:val="single" w:sz="4" w:space="0" w:color="auto"/>
            </w:tcBorders>
            <w:shd w:val="clear" w:color="000000" w:fill="D0CECE"/>
            <w:noWrap/>
            <w:vAlign w:val="center"/>
            <w:hideMark/>
          </w:tcPr>
          <w:p w:rsidR="00C7589D" w:rsidRPr="00C7589D" w:rsidRDefault="00C7589D" w:rsidP="00C7589D">
            <w:pPr>
              <w:spacing w:after="0" w:line="240" w:lineRule="auto"/>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 </w:t>
            </w:r>
          </w:p>
        </w:tc>
        <w:tc>
          <w:tcPr>
            <w:tcW w:w="1985" w:type="dxa"/>
            <w:tcBorders>
              <w:top w:val="nil"/>
              <w:left w:val="nil"/>
              <w:bottom w:val="single" w:sz="4" w:space="0" w:color="auto"/>
              <w:right w:val="single" w:sz="4" w:space="0" w:color="auto"/>
            </w:tcBorders>
            <w:shd w:val="clear" w:color="000000" w:fill="D0CECE"/>
            <w:vAlign w:val="center"/>
            <w:hideMark/>
          </w:tcPr>
          <w:p w:rsidR="00C7589D" w:rsidRPr="00C7589D" w:rsidRDefault="00C7589D" w:rsidP="00C7589D">
            <w:pPr>
              <w:spacing w:after="0" w:line="240" w:lineRule="auto"/>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 </w:t>
            </w:r>
          </w:p>
        </w:tc>
        <w:tc>
          <w:tcPr>
            <w:tcW w:w="709" w:type="dxa"/>
            <w:tcBorders>
              <w:top w:val="nil"/>
              <w:left w:val="nil"/>
              <w:bottom w:val="single" w:sz="4" w:space="0" w:color="auto"/>
              <w:right w:val="single" w:sz="4" w:space="0" w:color="auto"/>
            </w:tcBorders>
            <w:shd w:val="clear" w:color="000000" w:fill="D0CECE"/>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6.8</w:t>
            </w:r>
          </w:p>
        </w:tc>
        <w:tc>
          <w:tcPr>
            <w:tcW w:w="992" w:type="dxa"/>
            <w:tcBorders>
              <w:top w:val="nil"/>
              <w:left w:val="nil"/>
              <w:bottom w:val="single" w:sz="4" w:space="0" w:color="auto"/>
              <w:right w:val="single" w:sz="4" w:space="0" w:color="auto"/>
            </w:tcBorders>
            <w:shd w:val="clear" w:color="000000" w:fill="D0CECE"/>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424,581</w:t>
            </w:r>
          </w:p>
        </w:tc>
        <w:tc>
          <w:tcPr>
            <w:tcW w:w="660" w:type="dxa"/>
            <w:tcBorders>
              <w:top w:val="nil"/>
              <w:left w:val="nil"/>
              <w:bottom w:val="single" w:sz="4" w:space="0" w:color="auto"/>
              <w:right w:val="single" w:sz="4" w:space="0" w:color="auto"/>
            </w:tcBorders>
            <w:shd w:val="clear" w:color="000000" w:fill="D0CECE"/>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21.1</w:t>
            </w:r>
          </w:p>
        </w:tc>
        <w:tc>
          <w:tcPr>
            <w:tcW w:w="992" w:type="dxa"/>
            <w:tcBorders>
              <w:top w:val="nil"/>
              <w:left w:val="nil"/>
              <w:bottom w:val="single" w:sz="4" w:space="0" w:color="auto"/>
              <w:right w:val="single" w:sz="4" w:space="0" w:color="auto"/>
            </w:tcBorders>
            <w:shd w:val="clear" w:color="000000" w:fill="D0CECE"/>
            <w:noWrap/>
            <w:vAlign w:val="center"/>
            <w:hideMark/>
          </w:tcPr>
          <w:p w:rsidR="00C7589D" w:rsidRPr="00C7589D" w:rsidRDefault="00C7589D" w:rsidP="00C7589D">
            <w:pPr>
              <w:spacing w:after="0" w:line="240" w:lineRule="auto"/>
              <w:jc w:val="right"/>
              <w:rPr>
                <w:rFonts w:ascii="Calibri" w:eastAsia="Times New Roman" w:hAnsi="Calibri" w:cs="Calibri"/>
                <w:b/>
                <w:bCs/>
                <w:color w:val="000000"/>
                <w:sz w:val="14"/>
                <w:szCs w:val="14"/>
                <w:lang w:eastAsia="es-CO"/>
              </w:rPr>
            </w:pPr>
            <w:r w:rsidRPr="00C7589D">
              <w:rPr>
                <w:rFonts w:ascii="Calibri" w:eastAsia="Times New Roman" w:hAnsi="Calibri" w:cs="Calibri"/>
                <w:b/>
                <w:bCs/>
                <w:color w:val="000000"/>
                <w:sz w:val="14"/>
                <w:szCs w:val="14"/>
                <w:lang w:eastAsia="es-CO"/>
              </w:rPr>
              <w:t>646,232</w:t>
            </w:r>
          </w:p>
        </w:tc>
      </w:tr>
    </w:tbl>
    <w:p w:rsidR="00C7589D" w:rsidRDefault="00C7589D" w:rsidP="00C7589D">
      <w:r w:rsidRPr="0099053F">
        <w:rPr>
          <w:rFonts w:ascii="Arial" w:hAnsi="Arial"/>
          <w:color w:val="000000" w:themeColor="text1"/>
          <w:sz w:val="14"/>
        </w:rPr>
        <w:t>Fuente de Información: Oficina Asesora de Planeación - Sistema d</w:t>
      </w:r>
      <w:r>
        <w:rPr>
          <w:rFonts w:ascii="Arial" w:hAnsi="Arial"/>
          <w:color w:val="000000" w:themeColor="text1"/>
          <w:sz w:val="14"/>
        </w:rPr>
        <w:t xml:space="preserve">e Gestión de Proyectos ZIPA - </w:t>
      </w:r>
      <w:r>
        <w:rPr>
          <w:rFonts w:ascii="Arial" w:hAnsi="Arial"/>
          <w:color w:val="000000" w:themeColor="text1"/>
          <w:sz w:val="14"/>
        </w:rPr>
        <w:tab/>
      </w:r>
      <w:r w:rsidRPr="0099053F">
        <w:rPr>
          <w:rFonts w:ascii="Arial" w:hAnsi="Arial"/>
          <w:color w:val="000000" w:themeColor="text1"/>
          <w:sz w:val="14"/>
        </w:rPr>
        <w:t xml:space="preserve"> Cifras en Millones de pesos</w:t>
      </w:r>
    </w:p>
    <w:p w:rsidR="0099053F" w:rsidRDefault="0099053F" w:rsidP="0099053F"/>
    <w:p w:rsidR="0099053F" w:rsidRPr="0099053F" w:rsidRDefault="0099053F" w:rsidP="0099053F"/>
    <w:p w:rsidR="00AC30EC" w:rsidRPr="00AC30EC" w:rsidRDefault="00AC30EC" w:rsidP="00AC30EC">
      <w:pPr>
        <w:rPr>
          <w:rFonts w:ascii="Arial" w:hAnsi="Arial" w:cs="Arial"/>
        </w:rPr>
      </w:pPr>
    </w:p>
    <w:p w:rsidR="00AC30EC" w:rsidRPr="00D35238" w:rsidRDefault="00AC30EC" w:rsidP="00D0183B">
      <w:pPr>
        <w:pStyle w:val="Ttulo3"/>
        <w:keepNext w:val="0"/>
        <w:keepLines w:val="0"/>
        <w:numPr>
          <w:ilvl w:val="1"/>
          <w:numId w:val="51"/>
        </w:numPr>
        <w:spacing w:before="0" w:line="276" w:lineRule="auto"/>
        <w:ind w:left="851" w:hanging="567"/>
        <w:jc w:val="both"/>
        <w:rPr>
          <w:rFonts w:ascii="Arial" w:hAnsi="Arial" w:cs="Arial"/>
          <w:b/>
          <w:color w:val="auto"/>
          <w:sz w:val="22"/>
          <w:szCs w:val="22"/>
        </w:rPr>
      </w:pPr>
      <w:bookmarkStart w:id="77" w:name="_Toc27665233"/>
      <w:bookmarkStart w:id="78" w:name="_Toc30774628"/>
      <w:r w:rsidRPr="00D35238">
        <w:rPr>
          <w:rFonts w:ascii="Arial" w:hAnsi="Arial" w:cs="Arial"/>
          <w:b/>
          <w:color w:val="auto"/>
          <w:sz w:val="22"/>
          <w:szCs w:val="22"/>
        </w:rPr>
        <w:t>PROYECTOS CON PROCESOS DE SELECCIÓN EN CURSO</w:t>
      </w:r>
      <w:bookmarkEnd w:id="77"/>
      <w:bookmarkEnd w:id="78"/>
    </w:p>
    <w:p w:rsidR="00D35238" w:rsidRDefault="00D35238" w:rsidP="00AC30EC">
      <w:pPr>
        <w:pStyle w:val="Descripcin"/>
        <w:spacing w:after="0"/>
        <w:rPr>
          <w:rFonts w:ascii="Arial" w:eastAsiaTheme="minorHAnsi" w:hAnsi="Arial" w:cs="Arial"/>
          <w:iCs w:val="0"/>
          <w:color w:val="auto"/>
          <w:sz w:val="22"/>
          <w:szCs w:val="22"/>
        </w:rPr>
      </w:pPr>
      <w:bookmarkStart w:id="79" w:name="_Toc27665331"/>
    </w:p>
    <w:p w:rsidR="00AC30EC" w:rsidRPr="00D35238" w:rsidRDefault="00AC30EC" w:rsidP="00AC30EC">
      <w:pPr>
        <w:pStyle w:val="Descripcin"/>
        <w:spacing w:after="0"/>
        <w:rPr>
          <w:rFonts w:ascii="Arial" w:hAnsi="Arial" w:cs="Arial"/>
          <w:color w:val="auto"/>
        </w:rPr>
      </w:pPr>
      <w:r w:rsidRPr="00D35238">
        <w:rPr>
          <w:rFonts w:ascii="Arial" w:hAnsi="Arial" w:cs="Arial"/>
          <w:color w:val="auto"/>
        </w:rPr>
        <w:t>Proyectos con procesos de selección en curso</w:t>
      </w:r>
      <w:bookmarkEnd w:id="79"/>
    </w:p>
    <w:p w:rsidR="00AC30EC" w:rsidRPr="00AC30EC" w:rsidRDefault="00C7589D" w:rsidP="00184C9F">
      <w:pPr>
        <w:spacing w:line="276" w:lineRule="auto"/>
        <w:rPr>
          <w:rFonts w:ascii="Arial" w:hAnsi="Arial" w:cs="Arial"/>
        </w:rPr>
      </w:pPr>
      <w:r w:rsidRPr="001A2D5F">
        <w:rPr>
          <w:noProof/>
          <w:lang w:eastAsia="es-CO"/>
        </w:rPr>
        <w:drawing>
          <wp:inline distT="0" distB="0" distL="0" distR="0" wp14:anchorId="5A898EE3" wp14:editId="6A3B7128">
            <wp:extent cx="5612130" cy="1117246"/>
            <wp:effectExtent l="0" t="0" r="7620" b="698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2130" cy="1117246"/>
                    </a:xfrm>
                    <a:prstGeom prst="rect">
                      <a:avLst/>
                    </a:prstGeom>
                    <a:noFill/>
                    <a:ln>
                      <a:noFill/>
                    </a:ln>
                  </pic:spPr>
                </pic:pic>
              </a:graphicData>
            </a:graphic>
          </wp:inline>
        </w:drawing>
      </w:r>
    </w:p>
    <w:p w:rsidR="00AC30EC" w:rsidRPr="00D35238" w:rsidRDefault="00AC30EC" w:rsidP="00D0183B">
      <w:pPr>
        <w:pStyle w:val="Ttulo3"/>
        <w:keepNext w:val="0"/>
        <w:keepLines w:val="0"/>
        <w:numPr>
          <w:ilvl w:val="1"/>
          <w:numId w:val="51"/>
        </w:numPr>
        <w:spacing w:before="0" w:line="276" w:lineRule="auto"/>
        <w:ind w:left="567" w:hanging="283"/>
        <w:jc w:val="both"/>
        <w:rPr>
          <w:rFonts w:ascii="Arial" w:hAnsi="Arial" w:cs="Arial"/>
          <w:b/>
          <w:color w:val="auto"/>
          <w:sz w:val="22"/>
          <w:szCs w:val="22"/>
        </w:rPr>
      </w:pPr>
      <w:r w:rsidRPr="00D35238">
        <w:rPr>
          <w:rFonts w:ascii="Arial" w:hAnsi="Arial" w:cs="Arial"/>
          <w:b/>
          <w:color w:val="auto"/>
          <w:sz w:val="22"/>
          <w:szCs w:val="22"/>
        </w:rPr>
        <w:t xml:space="preserve">  </w:t>
      </w:r>
      <w:bookmarkStart w:id="80" w:name="_Toc27665234"/>
      <w:bookmarkStart w:id="81" w:name="_Toc30774629"/>
      <w:r w:rsidRPr="00D35238">
        <w:rPr>
          <w:rFonts w:ascii="Arial" w:hAnsi="Arial" w:cs="Arial"/>
          <w:b/>
          <w:color w:val="auto"/>
          <w:sz w:val="22"/>
          <w:szCs w:val="22"/>
        </w:rPr>
        <w:t>PROYECTOS CON ESTUDIOS Y DISEÑOS FASE II Y FASE III</w:t>
      </w:r>
      <w:bookmarkEnd w:id="80"/>
      <w:bookmarkEnd w:id="81"/>
    </w:p>
    <w:p w:rsidR="00AC30EC" w:rsidRPr="00AC30EC" w:rsidRDefault="00AC30EC" w:rsidP="00AC30EC">
      <w:pPr>
        <w:pStyle w:val="Descripcin"/>
        <w:spacing w:after="0" w:line="276" w:lineRule="auto"/>
        <w:rPr>
          <w:rFonts w:ascii="Arial" w:hAnsi="Arial" w:cs="Arial"/>
          <w:sz w:val="24"/>
          <w:szCs w:val="24"/>
        </w:rPr>
      </w:pPr>
    </w:p>
    <w:p w:rsidR="00AC30EC" w:rsidRPr="00D35238" w:rsidRDefault="00AC30EC" w:rsidP="00D0183B">
      <w:pPr>
        <w:pStyle w:val="Ttulo4"/>
        <w:keepNext w:val="0"/>
        <w:keepLines w:val="0"/>
        <w:numPr>
          <w:ilvl w:val="2"/>
          <w:numId w:val="51"/>
        </w:numPr>
        <w:spacing w:before="0" w:line="276" w:lineRule="auto"/>
        <w:ind w:left="709"/>
        <w:jc w:val="both"/>
        <w:rPr>
          <w:rFonts w:ascii="Arial" w:hAnsi="Arial" w:cs="Arial"/>
          <w:b/>
          <w:i w:val="0"/>
          <w:color w:val="auto"/>
          <w:lang w:eastAsia="es-CO"/>
        </w:rPr>
      </w:pPr>
      <w:r w:rsidRPr="00D35238">
        <w:rPr>
          <w:rFonts w:ascii="Arial" w:hAnsi="Arial" w:cs="Arial"/>
          <w:b/>
          <w:i w:val="0"/>
          <w:color w:val="auto"/>
          <w:lang w:eastAsia="es-CO"/>
        </w:rPr>
        <w:t>Proyectos con etapa de Diseño terminada</w:t>
      </w:r>
    </w:p>
    <w:p w:rsidR="00AC30EC" w:rsidRPr="00AC30EC" w:rsidRDefault="00AC30EC" w:rsidP="00AC30EC">
      <w:pPr>
        <w:tabs>
          <w:tab w:val="left" w:pos="3492"/>
          <w:tab w:val="left" w:pos="5760"/>
        </w:tabs>
        <w:spacing w:line="276" w:lineRule="auto"/>
        <w:rPr>
          <w:rFonts w:ascii="Arial" w:hAnsi="Arial" w:cs="Arial"/>
          <w:lang w:eastAsia="es-CO"/>
        </w:rPr>
      </w:pPr>
      <w:r w:rsidRPr="00AC30EC">
        <w:rPr>
          <w:rFonts w:ascii="Arial" w:hAnsi="Arial" w:cs="Arial"/>
          <w:lang w:eastAsia="es-CO"/>
        </w:rPr>
        <w:tab/>
      </w:r>
      <w:r w:rsidRPr="00AC30EC">
        <w:rPr>
          <w:rFonts w:ascii="Arial" w:hAnsi="Arial" w:cs="Arial"/>
          <w:lang w:eastAsia="es-CO"/>
        </w:rPr>
        <w:tab/>
      </w:r>
    </w:p>
    <w:p w:rsidR="00AC30EC" w:rsidRDefault="00AC30EC" w:rsidP="00AC30EC">
      <w:pPr>
        <w:pStyle w:val="Descripcin"/>
        <w:spacing w:after="0" w:line="276" w:lineRule="auto"/>
        <w:rPr>
          <w:rFonts w:ascii="Arial" w:hAnsi="Arial" w:cs="Arial"/>
          <w:color w:val="auto"/>
        </w:rPr>
      </w:pPr>
      <w:bookmarkStart w:id="82" w:name="_Toc27665332"/>
      <w:r w:rsidRPr="00D35238">
        <w:rPr>
          <w:rFonts w:ascii="Arial" w:hAnsi="Arial" w:cs="Arial"/>
          <w:color w:val="auto"/>
        </w:rPr>
        <w:t>Proyectos con etapa de diseños terminada</w:t>
      </w:r>
      <w:bookmarkEnd w:id="82"/>
    </w:p>
    <w:tbl>
      <w:tblPr>
        <w:tblW w:w="9390" w:type="dxa"/>
        <w:tblCellMar>
          <w:left w:w="70" w:type="dxa"/>
          <w:right w:w="70" w:type="dxa"/>
        </w:tblCellMar>
        <w:tblLook w:val="04A0" w:firstRow="1" w:lastRow="0" w:firstColumn="1" w:lastColumn="0" w:noHBand="0" w:noVBand="1"/>
      </w:tblPr>
      <w:tblGrid>
        <w:gridCol w:w="332"/>
        <w:gridCol w:w="6609"/>
        <w:gridCol w:w="851"/>
        <w:gridCol w:w="850"/>
        <w:gridCol w:w="748"/>
      </w:tblGrid>
      <w:tr w:rsidR="00C7589D" w:rsidRPr="00C7589D" w:rsidTr="00C7589D">
        <w:trPr>
          <w:trHeight w:val="170"/>
          <w:tblHeader/>
        </w:trPr>
        <w:tc>
          <w:tcPr>
            <w:tcW w:w="332" w:type="dxa"/>
            <w:vMerge w:val="restart"/>
            <w:tcBorders>
              <w:top w:val="single" w:sz="4" w:space="0" w:color="auto"/>
              <w:left w:val="single" w:sz="4" w:space="0" w:color="auto"/>
              <w:bottom w:val="single" w:sz="4" w:space="0" w:color="auto"/>
              <w:right w:val="single" w:sz="4" w:space="0" w:color="auto"/>
            </w:tcBorders>
            <w:shd w:val="clear" w:color="000000" w:fill="D0CECE"/>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No</w:t>
            </w:r>
          </w:p>
        </w:tc>
        <w:tc>
          <w:tcPr>
            <w:tcW w:w="6609" w:type="dxa"/>
            <w:vMerge w:val="restart"/>
            <w:tcBorders>
              <w:top w:val="single" w:sz="4" w:space="0" w:color="auto"/>
              <w:left w:val="single" w:sz="4" w:space="0" w:color="auto"/>
              <w:bottom w:val="single" w:sz="4" w:space="0" w:color="auto"/>
              <w:right w:val="single" w:sz="4" w:space="0" w:color="auto"/>
            </w:tcBorders>
            <w:shd w:val="clear" w:color="000000" w:fill="D0CECE"/>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Nombre del Proyecto</w:t>
            </w:r>
          </w:p>
        </w:tc>
        <w:tc>
          <w:tcPr>
            <w:tcW w:w="2449" w:type="dxa"/>
            <w:gridSpan w:val="3"/>
            <w:tcBorders>
              <w:top w:val="single" w:sz="4" w:space="0" w:color="auto"/>
              <w:left w:val="nil"/>
              <w:bottom w:val="single" w:sz="4" w:space="0" w:color="auto"/>
              <w:right w:val="single" w:sz="4" w:space="0" w:color="auto"/>
            </w:tcBorders>
            <w:shd w:val="clear" w:color="000000" w:fill="D0CECE"/>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Metas Físicas</w:t>
            </w:r>
          </w:p>
        </w:tc>
      </w:tr>
      <w:tr w:rsidR="00C7589D" w:rsidRPr="00C7589D" w:rsidTr="00C7589D">
        <w:trPr>
          <w:trHeight w:val="170"/>
          <w:tblHeader/>
        </w:trPr>
        <w:tc>
          <w:tcPr>
            <w:tcW w:w="332" w:type="dxa"/>
            <w:vMerge/>
            <w:tcBorders>
              <w:top w:val="single" w:sz="4" w:space="0" w:color="auto"/>
              <w:left w:val="single" w:sz="4" w:space="0" w:color="auto"/>
              <w:bottom w:val="single" w:sz="4" w:space="0" w:color="auto"/>
              <w:right w:val="single" w:sz="4" w:space="0" w:color="auto"/>
            </w:tcBorders>
            <w:vAlign w:val="center"/>
            <w:hideMark/>
          </w:tcPr>
          <w:p w:rsidR="00C7589D" w:rsidRPr="00C7589D" w:rsidRDefault="00C7589D" w:rsidP="00C7589D">
            <w:pPr>
              <w:spacing w:after="0" w:line="240" w:lineRule="auto"/>
              <w:rPr>
                <w:rFonts w:ascii="Calibri" w:eastAsia="Times New Roman" w:hAnsi="Calibri" w:cs="Calibri"/>
                <w:b/>
                <w:bCs/>
                <w:color w:val="000000"/>
                <w:sz w:val="16"/>
                <w:szCs w:val="18"/>
                <w:lang w:eastAsia="es-CO"/>
              </w:rPr>
            </w:pPr>
          </w:p>
        </w:tc>
        <w:tc>
          <w:tcPr>
            <w:tcW w:w="6609" w:type="dxa"/>
            <w:vMerge/>
            <w:tcBorders>
              <w:top w:val="single" w:sz="4" w:space="0" w:color="auto"/>
              <w:left w:val="single" w:sz="4" w:space="0" w:color="auto"/>
              <w:bottom w:val="single" w:sz="4" w:space="0" w:color="auto"/>
              <w:right w:val="single" w:sz="4" w:space="0" w:color="auto"/>
            </w:tcBorders>
            <w:vAlign w:val="center"/>
            <w:hideMark/>
          </w:tcPr>
          <w:p w:rsidR="00C7589D" w:rsidRPr="00C7589D" w:rsidRDefault="00C7589D" w:rsidP="00C7589D">
            <w:pPr>
              <w:spacing w:after="0" w:line="240" w:lineRule="auto"/>
              <w:rPr>
                <w:rFonts w:ascii="Calibri" w:eastAsia="Times New Roman" w:hAnsi="Calibri" w:cs="Calibri"/>
                <w:b/>
                <w:bCs/>
                <w:color w:val="000000"/>
                <w:sz w:val="16"/>
                <w:szCs w:val="18"/>
                <w:lang w:eastAsia="es-CO"/>
              </w:rPr>
            </w:pPr>
          </w:p>
        </w:tc>
        <w:tc>
          <w:tcPr>
            <w:tcW w:w="851" w:type="dxa"/>
            <w:tcBorders>
              <w:top w:val="single" w:sz="4" w:space="0" w:color="auto"/>
              <w:left w:val="nil"/>
              <w:bottom w:val="single" w:sz="4" w:space="0" w:color="auto"/>
              <w:right w:val="single" w:sz="4" w:space="0" w:color="auto"/>
            </w:tcBorders>
            <w:shd w:val="clear" w:color="000000" w:fill="D0CECE"/>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Longitud (Km)</w:t>
            </w:r>
          </w:p>
        </w:tc>
        <w:tc>
          <w:tcPr>
            <w:tcW w:w="850" w:type="dxa"/>
            <w:tcBorders>
              <w:top w:val="single" w:sz="4" w:space="0" w:color="auto"/>
              <w:left w:val="nil"/>
              <w:bottom w:val="single" w:sz="4" w:space="0" w:color="auto"/>
              <w:right w:val="single" w:sz="4" w:space="0" w:color="auto"/>
            </w:tcBorders>
            <w:shd w:val="clear" w:color="000000" w:fill="D0CECE"/>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Espacio Público (M2)</w:t>
            </w:r>
          </w:p>
        </w:tc>
        <w:tc>
          <w:tcPr>
            <w:tcW w:w="748" w:type="dxa"/>
            <w:tcBorders>
              <w:top w:val="single" w:sz="4" w:space="0" w:color="auto"/>
              <w:left w:val="nil"/>
              <w:bottom w:val="single" w:sz="4" w:space="0" w:color="auto"/>
              <w:right w:val="single" w:sz="4" w:space="0" w:color="auto"/>
            </w:tcBorders>
            <w:shd w:val="clear" w:color="000000" w:fill="D0CECE"/>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Cicloruta (Km)</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1</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Circunvalar de oriente desde Salida al Llano hasta Av. Villavicencio</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9.6</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99,466</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9.6</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2</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Troncal Avenida Ciudad de Cali desde Avenida Circunvalar del Sur hasta Av. Américas - Tramo CONPES</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7.4</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176,000</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5.5</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3</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Troncal Carrera 7 desde la Calle 32 hasta la Calle 200</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20.0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39,800</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12.2</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4</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 xml:space="preserve">Troncal Av. Américas Extensión desde Puente Aranda hasta la NQS </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3.5</w:t>
            </w:r>
          </w:p>
        </w:tc>
        <w:tc>
          <w:tcPr>
            <w:tcW w:w="85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39,800</w:t>
            </w:r>
          </w:p>
        </w:tc>
        <w:tc>
          <w:tcPr>
            <w:tcW w:w="74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7.0</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5</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Conexión Operacional de las Troncales Américas, Calle 26 y NQS</w:t>
            </w:r>
          </w:p>
        </w:tc>
        <w:tc>
          <w:tcPr>
            <w:tcW w:w="851" w:type="dxa"/>
            <w:vMerge/>
            <w:tcBorders>
              <w:top w:val="nil"/>
              <w:left w:val="single" w:sz="4" w:space="0" w:color="auto"/>
              <w:bottom w:val="single" w:sz="4" w:space="0" w:color="000000"/>
              <w:right w:val="single" w:sz="4" w:space="0" w:color="auto"/>
            </w:tcBorders>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p>
        </w:tc>
        <w:tc>
          <w:tcPr>
            <w:tcW w:w="850" w:type="dxa"/>
            <w:vMerge/>
            <w:tcBorders>
              <w:top w:val="nil"/>
              <w:left w:val="single" w:sz="4" w:space="0" w:color="auto"/>
              <w:bottom w:val="single" w:sz="4" w:space="0" w:color="000000"/>
              <w:right w:val="single" w:sz="4" w:space="0" w:color="auto"/>
            </w:tcBorders>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p>
        </w:tc>
        <w:tc>
          <w:tcPr>
            <w:tcW w:w="748" w:type="dxa"/>
            <w:vMerge/>
            <w:tcBorders>
              <w:top w:val="nil"/>
              <w:left w:val="single" w:sz="4" w:space="0" w:color="auto"/>
              <w:bottom w:val="single" w:sz="4" w:space="0" w:color="000000"/>
              <w:right w:val="single" w:sz="4" w:space="0" w:color="auto"/>
            </w:tcBorders>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6</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FASE I. Patio Usme - Patio la Reforma</w:t>
            </w:r>
          </w:p>
        </w:tc>
        <w:tc>
          <w:tcPr>
            <w:tcW w:w="2449" w:type="dxa"/>
            <w:gridSpan w:val="3"/>
            <w:tcBorders>
              <w:top w:val="single" w:sz="4" w:space="0" w:color="auto"/>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1 PATIO</w:t>
            </w:r>
            <w:r w:rsidRPr="00C7589D">
              <w:rPr>
                <w:rFonts w:ascii="Calibri" w:eastAsia="Times New Roman" w:hAnsi="Calibri" w:cs="Calibri"/>
                <w:color w:val="000000"/>
                <w:sz w:val="16"/>
                <w:szCs w:val="18"/>
                <w:lang w:eastAsia="es-CO"/>
              </w:rPr>
              <w:br/>
              <w:t>(Predio La Reforma 22 hectáreas)</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7</w:t>
            </w:r>
          </w:p>
        </w:tc>
        <w:tc>
          <w:tcPr>
            <w:tcW w:w="6609"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b/>
                <w:color w:val="000000"/>
                <w:sz w:val="16"/>
                <w:szCs w:val="18"/>
                <w:lang w:eastAsia="es-CO"/>
              </w:rPr>
              <w:t>Ampliación de Estaciones (22) Troncales Existentes</w:t>
            </w:r>
            <w:r w:rsidRPr="00C7589D">
              <w:rPr>
                <w:rFonts w:ascii="Calibri" w:eastAsia="Times New Roman" w:hAnsi="Calibri" w:cs="Calibri"/>
                <w:color w:val="000000"/>
                <w:sz w:val="16"/>
                <w:szCs w:val="18"/>
                <w:lang w:eastAsia="es-CO"/>
              </w:rPr>
              <w:br/>
            </w:r>
            <w:r w:rsidRPr="00C7589D">
              <w:rPr>
                <w:rFonts w:ascii="Calibri" w:eastAsia="Times New Roman" w:hAnsi="Calibri" w:cs="Calibri"/>
                <w:b/>
                <w:bCs/>
                <w:color w:val="000000"/>
                <w:sz w:val="16"/>
                <w:szCs w:val="18"/>
                <w:lang w:eastAsia="es-CO"/>
              </w:rPr>
              <w:t>Troncal NQS</w:t>
            </w:r>
            <w:r w:rsidRPr="00C7589D">
              <w:rPr>
                <w:rFonts w:ascii="Calibri" w:eastAsia="Times New Roman" w:hAnsi="Calibri" w:cs="Calibri"/>
                <w:color w:val="000000"/>
                <w:sz w:val="16"/>
                <w:szCs w:val="18"/>
                <w:lang w:eastAsia="es-CO"/>
              </w:rPr>
              <w:t xml:space="preserve">: Simón Bolívar (Nuevo Vagón) - U. Nacional (Nuevo Vagón) - Dorado (Nuevo Vagón) </w:t>
            </w:r>
            <w:r w:rsidRPr="00C7589D">
              <w:rPr>
                <w:rFonts w:ascii="Calibri" w:eastAsia="Times New Roman" w:hAnsi="Calibri" w:cs="Calibri"/>
                <w:color w:val="000000"/>
                <w:sz w:val="16"/>
                <w:szCs w:val="18"/>
                <w:lang w:eastAsia="es-CO"/>
              </w:rPr>
              <w:br/>
              <w:t xml:space="preserve">                          CAD (Ampliación Vagón) - Ricaurte (Nuevo Vagón) - Gral. Santander (Nuevo Vagón)</w:t>
            </w:r>
            <w:r w:rsidRPr="00C7589D">
              <w:rPr>
                <w:rFonts w:ascii="Calibri" w:eastAsia="Times New Roman" w:hAnsi="Calibri" w:cs="Calibri"/>
                <w:color w:val="000000"/>
                <w:sz w:val="16"/>
                <w:szCs w:val="18"/>
                <w:lang w:eastAsia="es-CO"/>
              </w:rPr>
              <w:br/>
            </w:r>
            <w:r w:rsidRPr="00C7589D">
              <w:rPr>
                <w:rFonts w:ascii="Calibri" w:eastAsia="Times New Roman" w:hAnsi="Calibri" w:cs="Calibri"/>
                <w:b/>
                <w:bCs/>
                <w:color w:val="000000"/>
                <w:sz w:val="16"/>
                <w:szCs w:val="18"/>
                <w:lang w:eastAsia="es-CO"/>
              </w:rPr>
              <w:t>Troncal Suba</w:t>
            </w:r>
            <w:r w:rsidRPr="00C7589D">
              <w:rPr>
                <w:rFonts w:ascii="Calibri" w:eastAsia="Times New Roman" w:hAnsi="Calibri" w:cs="Calibri"/>
                <w:color w:val="000000"/>
                <w:sz w:val="16"/>
                <w:szCs w:val="18"/>
                <w:lang w:eastAsia="es-CO"/>
              </w:rPr>
              <w:t>: Campiña (Nuevo Vagón) - Transversal 91 (Nuevo Vagón) - Gratamira (Amp Vagón)</w:t>
            </w:r>
            <w:r w:rsidRPr="00C7589D">
              <w:rPr>
                <w:rFonts w:ascii="Calibri" w:eastAsia="Times New Roman" w:hAnsi="Calibri" w:cs="Calibri"/>
                <w:color w:val="000000"/>
                <w:sz w:val="16"/>
                <w:szCs w:val="18"/>
                <w:lang w:eastAsia="es-CO"/>
              </w:rPr>
              <w:br/>
              <w:t xml:space="preserve">                            Humedal Córdoba (Ampliación Vagón) - Puente Largo ( Nuevo Vagón) - San Martin </w:t>
            </w:r>
            <w:r w:rsidRPr="00C7589D">
              <w:rPr>
                <w:rFonts w:ascii="Calibri" w:eastAsia="Times New Roman" w:hAnsi="Calibri" w:cs="Calibri"/>
                <w:color w:val="000000"/>
                <w:sz w:val="16"/>
                <w:szCs w:val="18"/>
                <w:lang w:eastAsia="es-CO"/>
              </w:rPr>
              <w:br/>
              <w:t xml:space="preserve">                            (Ampliación Vagón)</w:t>
            </w:r>
            <w:r w:rsidRPr="00C7589D">
              <w:rPr>
                <w:rFonts w:ascii="Calibri" w:eastAsia="Times New Roman" w:hAnsi="Calibri" w:cs="Calibri"/>
                <w:color w:val="000000"/>
                <w:sz w:val="16"/>
                <w:szCs w:val="18"/>
                <w:lang w:eastAsia="es-CO"/>
              </w:rPr>
              <w:br/>
            </w:r>
            <w:r w:rsidRPr="00C7589D">
              <w:rPr>
                <w:rFonts w:ascii="Calibri" w:eastAsia="Times New Roman" w:hAnsi="Calibri" w:cs="Calibri"/>
                <w:b/>
                <w:bCs/>
                <w:color w:val="000000"/>
                <w:sz w:val="16"/>
                <w:szCs w:val="18"/>
                <w:lang w:eastAsia="es-CO"/>
              </w:rPr>
              <w:t>Troncal Caracas</w:t>
            </w:r>
            <w:r w:rsidRPr="00C7589D">
              <w:rPr>
                <w:rFonts w:ascii="Calibri" w:eastAsia="Times New Roman" w:hAnsi="Calibri" w:cs="Calibri"/>
                <w:color w:val="000000"/>
                <w:sz w:val="16"/>
                <w:szCs w:val="18"/>
                <w:lang w:eastAsia="es-CO"/>
              </w:rPr>
              <w:t>: Nariño (Ampliación Vagón) - Fucha (Ampliación Vagón) - Olaya (Nuevo Vagón)</w:t>
            </w:r>
            <w:r w:rsidRPr="00C7589D">
              <w:rPr>
                <w:rFonts w:ascii="Calibri" w:eastAsia="Times New Roman" w:hAnsi="Calibri" w:cs="Calibri"/>
                <w:color w:val="000000"/>
                <w:sz w:val="16"/>
                <w:szCs w:val="18"/>
                <w:lang w:eastAsia="es-CO"/>
              </w:rPr>
              <w:br/>
              <w:t xml:space="preserve">                               Quiroga (Ampliación Vagón) - Socorro (Amp. Vagón) - Consuelo (Amp. Vagón)</w:t>
            </w:r>
            <w:r w:rsidRPr="00C7589D">
              <w:rPr>
                <w:rFonts w:ascii="Calibri" w:eastAsia="Times New Roman" w:hAnsi="Calibri" w:cs="Calibri"/>
                <w:color w:val="000000"/>
                <w:sz w:val="16"/>
                <w:szCs w:val="18"/>
                <w:lang w:eastAsia="es-CO"/>
              </w:rPr>
              <w:br/>
            </w:r>
            <w:r w:rsidRPr="00C7589D">
              <w:rPr>
                <w:rFonts w:ascii="Calibri" w:eastAsia="Times New Roman" w:hAnsi="Calibri" w:cs="Calibri"/>
                <w:b/>
                <w:bCs/>
                <w:color w:val="000000"/>
                <w:sz w:val="16"/>
                <w:szCs w:val="18"/>
                <w:lang w:eastAsia="es-CO"/>
              </w:rPr>
              <w:t>Troncal Calle 80:</w:t>
            </w:r>
            <w:r w:rsidRPr="00C7589D">
              <w:rPr>
                <w:rFonts w:ascii="Calibri" w:eastAsia="Times New Roman" w:hAnsi="Calibri" w:cs="Calibri"/>
                <w:color w:val="000000"/>
                <w:sz w:val="16"/>
                <w:szCs w:val="18"/>
                <w:lang w:eastAsia="es-CO"/>
              </w:rPr>
              <w:t xml:space="preserve"> Polo (Nuevo Vagón) - Minuto (Nuevo Vagón) - Escuela Militar (Nuevo Vagón)</w:t>
            </w:r>
            <w:r w:rsidRPr="00C7589D">
              <w:rPr>
                <w:rFonts w:ascii="Calibri" w:eastAsia="Times New Roman" w:hAnsi="Calibri" w:cs="Calibri"/>
                <w:color w:val="000000"/>
                <w:sz w:val="16"/>
                <w:szCs w:val="18"/>
                <w:lang w:eastAsia="es-CO"/>
              </w:rPr>
              <w:br/>
            </w:r>
            <w:r w:rsidRPr="00C7589D">
              <w:rPr>
                <w:rFonts w:ascii="Calibri" w:eastAsia="Times New Roman" w:hAnsi="Calibri" w:cs="Calibri"/>
                <w:b/>
                <w:bCs/>
                <w:color w:val="000000"/>
                <w:sz w:val="16"/>
                <w:szCs w:val="18"/>
                <w:lang w:eastAsia="es-CO"/>
              </w:rPr>
              <w:t>Troncal Américas</w:t>
            </w:r>
            <w:r w:rsidRPr="00C7589D">
              <w:rPr>
                <w:rFonts w:ascii="Calibri" w:eastAsia="Times New Roman" w:hAnsi="Calibri" w:cs="Calibri"/>
                <w:color w:val="000000"/>
                <w:sz w:val="16"/>
                <w:szCs w:val="18"/>
                <w:lang w:eastAsia="es-CO"/>
              </w:rPr>
              <w:t>: Puente Aranda</w:t>
            </w:r>
          </w:p>
        </w:tc>
        <w:tc>
          <w:tcPr>
            <w:tcW w:w="2449" w:type="dxa"/>
            <w:gridSpan w:val="3"/>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Ampliación Infraestructura Existente</w:t>
            </w:r>
          </w:p>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p>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8</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 xml:space="preserve">Extensión Troncal Caracas desde portal Usme a Yomasa </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 </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 </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 </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9</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Avenida 1ro de Mayo desde Kr 3este hasta Calle 11 sur</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0.5</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3,150</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1.1</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10</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Intersección NQS X Bosa</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3.7</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11</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 xml:space="preserve">Plaza Fundacional de Engativá </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6,825</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12</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Reforzamiento Estructural Puentes Peatonales Atirantados Ciudad Salitre</w:t>
            </w:r>
            <w:r w:rsidRPr="00C7589D">
              <w:rPr>
                <w:rFonts w:ascii="Calibri" w:eastAsia="Times New Roman" w:hAnsi="Calibri" w:cs="Calibri"/>
                <w:color w:val="000000"/>
                <w:sz w:val="16"/>
                <w:szCs w:val="18"/>
                <w:lang w:eastAsia="es-CO"/>
              </w:rPr>
              <w:br/>
              <w:t>Avenida Luis Carlos Galán Sarmiento por Carrera 69</w:t>
            </w:r>
            <w:r w:rsidRPr="00C7589D">
              <w:rPr>
                <w:rFonts w:ascii="Calibri" w:eastAsia="Times New Roman" w:hAnsi="Calibri" w:cs="Calibri"/>
                <w:color w:val="000000"/>
                <w:sz w:val="16"/>
                <w:szCs w:val="18"/>
                <w:lang w:eastAsia="es-CO"/>
              </w:rPr>
              <w:br/>
              <w:t>Avenida Luis Carlos Galán Sarmiento por Carrera 69</w:t>
            </w:r>
            <w:r w:rsidRPr="00C7589D">
              <w:rPr>
                <w:rFonts w:ascii="Calibri" w:eastAsia="Times New Roman" w:hAnsi="Calibri" w:cs="Calibri"/>
                <w:color w:val="000000"/>
                <w:sz w:val="16"/>
                <w:szCs w:val="18"/>
                <w:lang w:eastAsia="es-CO"/>
              </w:rPr>
              <w:br/>
              <w:t>Av. del Congreso Eucarístico por Av. Luis Carlos Galán Sarmiento</w:t>
            </w:r>
            <w:r w:rsidRPr="00C7589D">
              <w:rPr>
                <w:rFonts w:ascii="Calibri" w:eastAsia="Times New Roman" w:hAnsi="Calibri" w:cs="Calibri"/>
                <w:color w:val="000000"/>
                <w:sz w:val="16"/>
                <w:szCs w:val="18"/>
                <w:lang w:eastAsia="es-CO"/>
              </w:rPr>
              <w:br/>
              <w:t>Av. Luis Carlos Galán Sarmiento por Carrera 68D</w:t>
            </w:r>
          </w:p>
        </w:tc>
        <w:tc>
          <w:tcPr>
            <w:tcW w:w="2449" w:type="dxa"/>
            <w:gridSpan w:val="3"/>
            <w:tcBorders>
              <w:top w:val="single" w:sz="4" w:space="0" w:color="auto"/>
              <w:left w:val="nil"/>
              <w:bottom w:val="single" w:sz="4" w:space="0" w:color="auto"/>
              <w:right w:val="single" w:sz="4" w:space="0" w:color="000000"/>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4 Puentes Peatonales</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13</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Reforzamiento Estructural Puente Peatonal Calle 174 con Autopista Norte. Portal del Norte</w:t>
            </w:r>
          </w:p>
        </w:tc>
        <w:tc>
          <w:tcPr>
            <w:tcW w:w="2449" w:type="dxa"/>
            <w:gridSpan w:val="3"/>
            <w:tcBorders>
              <w:top w:val="single" w:sz="4" w:space="0" w:color="auto"/>
              <w:left w:val="nil"/>
              <w:bottom w:val="single" w:sz="4" w:space="0" w:color="auto"/>
              <w:right w:val="single" w:sz="4" w:space="0" w:color="000000"/>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1 Puente Peatonal</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14</w:t>
            </w:r>
          </w:p>
        </w:tc>
        <w:tc>
          <w:tcPr>
            <w:tcW w:w="6609"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 xml:space="preserve">REFORZAMIENTO ESTRUCTURAL DE PUENTES VEHICULARES GRUPO 2 Grupo A: </w:t>
            </w:r>
            <w:r w:rsidRPr="00C7589D">
              <w:rPr>
                <w:rFonts w:ascii="Calibri" w:eastAsia="Times New Roman" w:hAnsi="Calibri" w:cs="Calibri"/>
                <w:color w:val="000000"/>
                <w:sz w:val="16"/>
                <w:szCs w:val="18"/>
                <w:lang w:eastAsia="es-CO"/>
              </w:rPr>
              <w:br/>
              <w:t>1. Autopista Sur por Avenida Villavicencio (central)</w:t>
            </w:r>
            <w:r w:rsidRPr="00C7589D">
              <w:rPr>
                <w:rFonts w:ascii="Calibri" w:eastAsia="Times New Roman" w:hAnsi="Calibri" w:cs="Calibri"/>
                <w:color w:val="000000"/>
                <w:sz w:val="16"/>
                <w:szCs w:val="18"/>
                <w:lang w:eastAsia="es-CO"/>
              </w:rPr>
              <w:br/>
              <w:t>2. Carrera 8A E por Calle 12S</w:t>
            </w:r>
          </w:p>
        </w:tc>
        <w:tc>
          <w:tcPr>
            <w:tcW w:w="2449" w:type="dxa"/>
            <w:gridSpan w:val="3"/>
            <w:tcBorders>
              <w:top w:val="single" w:sz="4" w:space="0" w:color="auto"/>
              <w:left w:val="nil"/>
              <w:bottom w:val="single" w:sz="4" w:space="0" w:color="auto"/>
              <w:right w:val="single" w:sz="4" w:space="0" w:color="000000"/>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5 Puentes Vehiculares</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15</w:t>
            </w:r>
          </w:p>
        </w:tc>
        <w:tc>
          <w:tcPr>
            <w:tcW w:w="6609"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REFORZAMIENTO ESTRUCTURAL DE PUENTES VEHICULARES GRUPO 2 Grupo B:</w:t>
            </w:r>
            <w:r w:rsidRPr="00C7589D">
              <w:rPr>
                <w:rFonts w:ascii="Calibri" w:eastAsia="Times New Roman" w:hAnsi="Calibri" w:cs="Calibri"/>
                <w:color w:val="000000"/>
                <w:sz w:val="16"/>
                <w:szCs w:val="18"/>
                <w:lang w:eastAsia="es-CO"/>
              </w:rPr>
              <w:br/>
              <w:t>1. Avenida Carrera 28 por Avenida Ciudad de Quito</w:t>
            </w:r>
            <w:r w:rsidRPr="00C7589D">
              <w:rPr>
                <w:rFonts w:ascii="Calibri" w:eastAsia="Times New Roman" w:hAnsi="Calibri" w:cs="Calibri"/>
                <w:color w:val="000000"/>
                <w:sz w:val="16"/>
                <w:szCs w:val="18"/>
                <w:lang w:eastAsia="es-CO"/>
              </w:rPr>
              <w:br/>
              <w:t>2. Avenida Francisco de Miranda por Avenida Ciudad de Quito</w:t>
            </w:r>
            <w:r w:rsidRPr="00C7589D">
              <w:rPr>
                <w:rFonts w:ascii="Calibri" w:eastAsia="Times New Roman" w:hAnsi="Calibri" w:cs="Calibri"/>
                <w:color w:val="000000"/>
                <w:sz w:val="16"/>
                <w:szCs w:val="18"/>
                <w:lang w:eastAsia="es-CO"/>
              </w:rPr>
              <w:br/>
              <w:t>3. Avenida Ciudad de Quito por Avenida Paseo de los Libertadores (Conectante TM)</w:t>
            </w:r>
            <w:r w:rsidRPr="00C7589D">
              <w:rPr>
                <w:rFonts w:ascii="Calibri" w:eastAsia="Times New Roman" w:hAnsi="Calibri" w:cs="Calibri"/>
                <w:color w:val="000000"/>
                <w:sz w:val="16"/>
                <w:szCs w:val="18"/>
                <w:lang w:eastAsia="es-CO"/>
              </w:rPr>
              <w:br/>
            </w:r>
            <w:r w:rsidRPr="00C7589D">
              <w:rPr>
                <w:rFonts w:ascii="Calibri" w:eastAsia="Times New Roman" w:hAnsi="Calibri" w:cs="Calibri"/>
                <w:color w:val="000000"/>
                <w:sz w:val="16"/>
                <w:szCs w:val="18"/>
                <w:lang w:eastAsia="es-CO"/>
              </w:rPr>
              <w:lastRenderedPageBreak/>
              <w:t>4. Avenida Alejandro Obregón por Avenida Paseo de Los Libertadores (curvo)</w:t>
            </w:r>
            <w:r w:rsidRPr="00C7589D">
              <w:rPr>
                <w:rFonts w:ascii="Calibri" w:eastAsia="Times New Roman" w:hAnsi="Calibri" w:cs="Calibri"/>
                <w:color w:val="000000"/>
                <w:sz w:val="16"/>
                <w:szCs w:val="18"/>
                <w:lang w:eastAsia="es-CO"/>
              </w:rPr>
              <w:br/>
              <w:t>5. Avenida Rodrigo Lara Bonilla por Avenida Paseo De Los Libertadores</w:t>
            </w:r>
          </w:p>
        </w:tc>
        <w:tc>
          <w:tcPr>
            <w:tcW w:w="2449" w:type="dxa"/>
            <w:gridSpan w:val="3"/>
            <w:tcBorders>
              <w:top w:val="single" w:sz="4" w:space="0" w:color="auto"/>
              <w:left w:val="nil"/>
              <w:bottom w:val="single" w:sz="4" w:space="0" w:color="auto"/>
              <w:right w:val="single" w:sz="4" w:space="0" w:color="000000"/>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lastRenderedPageBreak/>
              <w:t>5 Puentes Vehiculares</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16</w:t>
            </w:r>
          </w:p>
        </w:tc>
        <w:tc>
          <w:tcPr>
            <w:tcW w:w="6609" w:type="dxa"/>
            <w:tcBorders>
              <w:top w:val="nil"/>
              <w:left w:val="nil"/>
              <w:bottom w:val="single" w:sz="4" w:space="0" w:color="auto"/>
              <w:right w:val="single" w:sz="4" w:space="0" w:color="auto"/>
            </w:tcBorders>
            <w:shd w:val="clear" w:color="auto" w:fill="auto"/>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REFORZAMIENTO ESTRUCTURAL DE PUENTES VEHICULARES GRUPO 2 Grupo C:</w:t>
            </w:r>
            <w:r w:rsidRPr="00C7589D">
              <w:rPr>
                <w:rFonts w:ascii="Calibri" w:eastAsia="Times New Roman" w:hAnsi="Calibri" w:cs="Calibri"/>
                <w:color w:val="000000"/>
                <w:sz w:val="16"/>
                <w:szCs w:val="18"/>
                <w:lang w:eastAsia="es-CO"/>
              </w:rPr>
              <w:br/>
              <w:t>1. Avenida Ciudad de Quito por Avenida de los Comuneros</w:t>
            </w:r>
            <w:r w:rsidRPr="00C7589D">
              <w:rPr>
                <w:rFonts w:ascii="Calibri" w:eastAsia="Times New Roman" w:hAnsi="Calibri" w:cs="Calibri"/>
                <w:color w:val="000000"/>
                <w:sz w:val="16"/>
                <w:szCs w:val="18"/>
                <w:lang w:eastAsia="es-CO"/>
              </w:rPr>
              <w:br/>
              <w:t>2. Avenida Ciudad de Quito por Avenida Centenario</w:t>
            </w:r>
            <w:r w:rsidRPr="00C7589D">
              <w:rPr>
                <w:rFonts w:ascii="Calibri" w:eastAsia="Times New Roman" w:hAnsi="Calibri" w:cs="Calibri"/>
                <w:color w:val="000000"/>
                <w:sz w:val="16"/>
                <w:szCs w:val="18"/>
                <w:lang w:eastAsia="es-CO"/>
              </w:rPr>
              <w:br/>
              <w:t>3. Avenida Ciudad De Lima Por Avenida Ciudad De Quito</w:t>
            </w:r>
            <w:r w:rsidRPr="00C7589D">
              <w:rPr>
                <w:rFonts w:ascii="Calibri" w:eastAsia="Times New Roman" w:hAnsi="Calibri" w:cs="Calibri"/>
                <w:color w:val="000000"/>
                <w:sz w:val="16"/>
                <w:szCs w:val="18"/>
                <w:lang w:eastAsia="es-CO"/>
              </w:rPr>
              <w:br/>
              <w:t>4. Avenida Ciudad de Quito por Avenida Jorge Eliecer Gaitán</w:t>
            </w:r>
            <w:r w:rsidRPr="00C7589D">
              <w:rPr>
                <w:rFonts w:ascii="Calibri" w:eastAsia="Times New Roman" w:hAnsi="Calibri" w:cs="Calibri"/>
                <w:color w:val="000000"/>
                <w:sz w:val="16"/>
                <w:szCs w:val="18"/>
                <w:lang w:eastAsia="es-CO"/>
              </w:rPr>
              <w:br/>
              <w:t>5. Avenida Centenario por Avenida Boyacá</w:t>
            </w:r>
          </w:p>
        </w:tc>
        <w:tc>
          <w:tcPr>
            <w:tcW w:w="2449" w:type="dxa"/>
            <w:gridSpan w:val="3"/>
            <w:tcBorders>
              <w:top w:val="single" w:sz="4" w:space="0" w:color="auto"/>
              <w:left w:val="nil"/>
              <w:bottom w:val="single" w:sz="4" w:space="0" w:color="auto"/>
              <w:right w:val="single" w:sz="4" w:space="0" w:color="000000"/>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5 Puentes Vehiculares</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17</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Aceras y Ciclorruta Calle 92 y Calle 94 desde Carrera 7 hasta la Autopista Norte</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37,300</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3.2</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18</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Aceras y Ciclorrutas Calle 116 desde Av. Boyacá hasta Autopista Norte</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34,000</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6.2</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19</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Acera y Ciclorruta Canal Molinos entre Av. Carrera 9 hasta Autopista Norte</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1,500</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2.9</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20</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Aceras y Ciclorruta Calle 116 desde la Carrera 9 hasta la Autopista Norte</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18,500</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0.3</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21</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 xml:space="preserve">Conexión Peatonal Calle 73 entre Carrera 7 y Avenida Caracas </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11,900</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22</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Conexión Peatonal Calle 85 entre Carrera 7 y Carrera 11</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8,220</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23</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Conexión Peatonal Calle 79B entre Carrera 5 y Carrera 7</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2,270</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24</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Ampliación Puente Vehicular Calle 153 x Autopista Norte</w:t>
            </w:r>
          </w:p>
        </w:tc>
        <w:tc>
          <w:tcPr>
            <w:tcW w:w="2449" w:type="dxa"/>
            <w:gridSpan w:val="3"/>
            <w:tcBorders>
              <w:top w:val="single" w:sz="4" w:space="0" w:color="auto"/>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1 Puente Vehicular</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25</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Plataforma Peatonal Calle 62 entre Carrera 7 hasta Avenida Caracas</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15,500</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26</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Conexión Peatonal Carrera 4 entre Calle 66 Bis y Calle 79</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12,545</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27</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Conexión Peatonal Calle 41 y Calle 42 entre Carrera 7 y Avenida Caracas</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11,850</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28</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Conexión Peatonal Calle 70A y Calle 71 entre Carrera 7 hasta Avenida Caracas</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9,650</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29</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Conexión Peatonal Carrera 5 entre Calle 75 y Zona G (Calle 69)</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9,500</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30</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Aceras y Ciclorruta Carrera 15 desde la Cl. 100 hasta la Cl. 127</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4,200</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2.2</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31</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Conexión Peatonal Calle 49 - Tv 3 - Calle 51 entre Carrera 7 y Avenida Circunvalar</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3,600</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32</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Conexión Peatonal Calle 51 entre Carrera 7 hasta Avenida Caracas</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3,600</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33</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Conexión Peatonal Calle 49 entre Carrera 7 hasta Avenida Caracas</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3,570</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34</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Conexión Peatonal Calle 65 entre Carrera 3B hasta Carrera 7</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3,200</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35</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Conexión Peatonal Calle 59A Bis y Calle 60A entre Carrera 5 y Carrera 7</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2,430</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36</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Aceras y Cicloruta Carrera 9 desde la Calle 45 hasta la Calle 82</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42,500</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3.5</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37</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 xml:space="preserve">Pacificación Centro Histórico de Usaquén </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23,203</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38</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Acción Popular la Victoria (A.P 2013-00399)</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 </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r>
      <w:tr w:rsidR="00C7589D" w:rsidRPr="00C7589D" w:rsidTr="00C7589D">
        <w:trPr>
          <w:trHeight w:val="170"/>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39</w:t>
            </w:r>
          </w:p>
        </w:tc>
        <w:tc>
          <w:tcPr>
            <w:tcW w:w="6609"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Red Peatonal Venecia</w:t>
            </w:r>
          </w:p>
        </w:tc>
        <w:tc>
          <w:tcPr>
            <w:tcW w:w="851"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0.0</w:t>
            </w:r>
          </w:p>
        </w:tc>
        <w:tc>
          <w:tcPr>
            <w:tcW w:w="850"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109,608</w:t>
            </w:r>
          </w:p>
        </w:tc>
        <w:tc>
          <w:tcPr>
            <w:tcW w:w="74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8"/>
                <w:lang w:eastAsia="es-CO"/>
              </w:rPr>
            </w:pPr>
            <w:r w:rsidRPr="00C7589D">
              <w:rPr>
                <w:rFonts w:ascii="Calibri" w:eastAsia="Times New Roman" w:hAnsi="Calibri" w:cs="Calibri"/>
                <w:color w:val="000000"/>
                <w:sz w:val="16"/>
                <w:szCs w:val="18"/>
                <w:lang w:eastAsia="es-CO"/>
              </w:rPr>
              <w:t>11.4</w:t>
            </w:r>
          </w:p>
        </w:tc>
      </w:tr>
      <w:tr w:rsidR="00C7589D" w:rsidRPr="00C7589D" w:rsidTr="00C7589D">
        <w:trPr>
          <w:trHeight w:val="170"/>
        </w:trPr>
        <w:tc>
          <w:tcPr>
            <w:tcW w:w="6941" w:type="dxa"/>
            <w:gridSpan w:val="2"/>
            <w:tcBorders>
              <w:top w:val="single" w:sz="4" w:space="0" w:color="auto"/>
              <w:left w:val="single" w:sz="4" w:space="0" w:color="auto"/>
              <w:bottom w:val="single" w:sz="4" w:space="0" w:color="auto"/>
              <w:right w:val="single" w:sz="4" w:space="0" w:color="000000"/>
            </w:tcBorders>
            <w:shd w:val="clear" w:color="000000" w:fill="D0CECE"/>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TOTALES</w:t>
            </w:r>
          </w:p>
        </w:tc>
        <w:tc>
          <w:tcPr>
            <w:tcW w:w="851" w:type="dxa"/>
            <w:tcBorders>
              <w:top w:val="single" w:sz="4" w:space="0" w:color="auto"/>
              <w:left w:val="nil"/>
              <w:bottom w:val="single" w:sz="4" w:space="0" w:color="auto"/>
              <w:right w:val="single" w:sz="4" w:space="0" w:color="auto"/>
            </w:tcBorders>
            <w:shd w:val="clear" w:color="000000" w:fill="D0CECE"/>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44.7</w:t>
            </w:r>
          </w:p>
        </w:tc>
        <w:tc>
          <w:tcPr>
            <w:tcW w:w="850" w:type="dxa"/>
            <w:tcBorders>
              <w:top w:val="single" w:sz="4" w:space="0" w:color="auto"/>
              <w:left w:val="nil"/>
              <w:bottom w:val="single" w:sz="4" w:space="0" w:color="auto"/>
              <w:right w:val="single" w:sz="4" w:space="0" w:color="auto"/>
            </w:tcBorders>
            <w:shd w:val="clear" w:color="000000" w:fill="D0CECE"/>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733,687</w:t>
            </w:r>
          </w:p>
        </w:tc>
        <w:tc>
          <w:tcPr>
            <w:tcW w:w="748" w:type="dxa"/>
            <w:tcBorders>
              <w:top w:val="single" w:sz="4" w:space="0" w:color="auto"/>
              <w:left w:val="nil"/>
              <w:bottom w:val="single" w:sz="4" w:space="0" w:color="auto"/>
              <w:right w:val="single" w:sz="4" w:space="0" w:color="auto"/>
            </w:tcBorders>
            <w:shd w:val="clear" w:color="000000" w:fill="D0CECE"/>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8"/>
                <w:lang w:eastAsia="es-CO"/>
              </w:rPr>
            </w:pPr>
            <w:r w:rsidRPr="00C7589D">
              <w:rPr>
                <w:rFonts w:ascii="Calibri" w:eastAsia="Times New Roman" w:hAnsi="Calibri" w:cs="Calibri"/>
                <w:b/>
                <w:bCs/>
                <w:color w:val="000000"/>
                <w:sz w:val="16"/>
                <w:szCs w:val="18"/>
                <w:lang w:eastAsia="es-CO"/>
              </w:rPr>
              <w:t>65.1</w:t>
            </w:r>
          </w:p>
        </w:tc>
      </w:tr>
    </w:tbl>
    <w:p w:rsidR="00C7589D" w:rsidRDefault="00C7589D" w:rsidP="00C7589D"/>
    <w:p w:rsidR="00C7589D" w:rsidRDefault="00C7589D" w:rsidP="00C7589D"/>
    <w:p w:rsidR="00AC30EC" w:rsidRPr="00D35238" w:rsidRDefault="00AC30EC" w:rsidP="00D0183B">
      <w:pPr>
        <w:pStyle w:val="Ttulo4"/>
        <w:keepNext w:val="0"/>
        <w:keepLines w:val="0"/>
        <w:numPr>
          <w:ilvl w:val="2"/>
          <w:numId w:val="51"/>
        </w:numPr>
        <w:spacing w:before="0" w:line="276" w:lineRule="auto"/>
        <w:ind w:left="709"/>
        <w:jc w:val="both"/>
        <w:rPr>
          <w:rFonts w:ascii="Arial" w:hAnsi="Arial" w:cs="Arial"/>
          <w:b/>
          <w:i w:val="0"/>
          <w:color w:val="auto"/>
          <w:lang w:eastAsia="es-CO"/>
        </w:rPr>
      </w:pPr>
      <w:r w:rsidRPr="00D35238">
        <w:rPr>
          <w:rFonts w:ascii="Arial" w:hAnsi="Arial" w:cs="Arial"/>
          <w:b/>
          <w:i w:val="0"/>
          <w:color w:val="auto"/>
          <w:lang w:eastAsia="es-CO"/>
        </w:rPr>
        <w:t>Proyectos con etapa de Diseño en ejecución</w:t>
      </w:r>
    </w:p>
    <w:p w:rsidR="00AC30EC" w:rsidRPr="00AC30EC" w:rsidRDefault="00AC30EC" w:rsidP="00AC30EC">
      <w:pPr>
        <w:tabs>
          <w:tab w:val="left" w:pos="5760"/>
        </w:tabs>
        <w:spacing w:line="276" w:lineRule="auto"/>
        <w:rPr>
          <w:rFonts w:ascii="Arial" w:hAnsi="Arial" w:cs="Arial"/>
          <w:lang w:eastAsia="es-CO"/>
        </w:rPr>
      </w:pPr>
      <w:r w:rsidRPr="00AC30EC">
        <w:rPr>
          <w:rFonts w:ascii="Arial" w:hAnsi="Arial" w:cs="Arial"/>
          <w:lang w:eastAsia="es-CO"/>
        </w:rPr>
        <w:tab/>
      </w:r>
    </w:p>
    <w:p w:rsidR="00AC30EC" w:rsidRPr="00D35238" w:rsidRDefault="00AC30EC" w:rsidP="00AC30EC">
      <w:pPr>
        <w:pStyle w:val="Descripcin"/>
        <w:spacing w:after="0"/>
        <w:rPr>
          <w:rFonts w:ascii="Arial" w:hAnsi="Arial" w:cs="Arial"/>
          <w:color w:val="auto"/>
        </w:rPr>
      </w:pPr>
      <w:bookmarkStart w:id="83" w:name="_Toc27665333"/>
      <w:r w:rsidRPr="00D35238">
        <w:rPr>
          <w:rFonts w:ascii="Arial" w:hAnsi="Arial" w:cs="Arial"/>
          <w:color w:val="auto"/>
        </w:rPr>
        <w:t>Proyectos con etapa de diseños en ejecución</w:t>
      </w:r>
      <w:bookmarkEnd w:id="83"/>
    </w:p>
    <w:tbl>
      <w:tblPr>
        <w:tblW w:w="9255" w:type="dxa"/>
        <w:tblCellMar>
          <w:left w:w="70" w:type="dxa"/>
          <w:right w:w="70" w:type="dxa"/>
        </w:tblCellMar>
        <w:tblLook w:val="04A0" w:firstRow="1" w:lastRow="0" w:firstColumn="1" w:lastColumn="0" w:noHBand="0" w:noVBand="1"/>
      </w:tblPr>
      <w:tblGrid>
        <w:gridCol w:w="490"/>
        <w:gridCol w:w="3049"/>
        <w:gridCol w:w="3119"/>
        <w:gridCol w:w="868"/>
        <w:gridCol w:w="9"/>
        <w:gridCol w:w="983"/>
        <w:gridCol w:w="9"/>
        <w:gridCol w:w="728"/>
      </w:tblGrid>
      <w:tr w:rsidR="00C7589D" w:rsidRPr="00C7589D" w:rsidTr="00C7589D">
        <w:trPr>
          <w:trHeight w:val="227"/>
          <w:tblHeader/>
        </w:trPr>
        <w:tc>
          <w:tcPr>
            <w:tcW w:w="490" w:type="dxa"/>
            <w:vMerge w:val="restart"/>
            <w:tcBorders>
              <w:top w:val="single" w:sz="4" w:space="0" w:color="auto"/>
              <w:left w:val="single" w:sz="4" w:space="0" w:color="auto"/>
              <w:bottom w:val="single" w:sz="4" w:space="0" w:color="auto"/>
              <w:right w:val="single" w:sz="4" w:space="0" w:color="auto"/>
            </w:tcBorders>
            <w:shd w:val="clear" w:color="000000" w:fill="D0CECE"/>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t>No</w:t>
            </w:r>
          </w:p>
        </w:tc>
        <w:tc>
          <w:tcPr>
            <w:tcW w:w="6168" w:type="dxa"/>
            <w:gridSpan w:val="2"/>
            <w:vMerge w:val="restart"/>
            <w:tcBorders>
              <w:top w:val="single" w:sz="4" w:space="0" w:color="auto"/>
              <w:left w:val="single" w:sz="4" w:space="0" w:color="auto"/>
              <w:bottom w:val="single" w:sz="4" w:space="0" w:color="000000"/>
              <w:right w:val="single" w:sz="4" w:space="0" w:color="000000"/>
            </w:tcBorders>
            <w:shd w:val="clear" w:color="000000" w:fill="D0CECE"/>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t>Nombre del Proyecto</w:t>
            </w:r>
          </w:p>
        </w:tc>
        <w:tc>
          <w:tcPr>
            <w:tcW w:w="2597" w:type="dxa"/>
            <w:gridSpan w:val="5"/>
            <w:tcBorders>
              <w:top w:val="single" w:sz="4" w:space="0" w:color="auto"/>
              <w:left w:val="nil"/>
              <w:bottom w:val="single" w:sz="4" w:space="0" w:color="auto"/>
              <w:right w:val="single" w:sz="4" w:space="0" w:color="auto"/>
            </w:tcBorders>
            <w:shd w:val="clear" w:color="000000" w:fill="D0CECE"/>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t>Metas Físicas</w:t>
            </w:r>
          </w:p>
        </w:tc>
      </w:tr>
      <w:tr w:rsidR="00C7589D" w:rsidRPr="00C7589D" w:rsidTr="00C7589D">
        <w:trPr>
          <w:trHeight w:val="227"/>
          <w:tblHeader/>
        </w:trPr>
        <w:tc>
          <w:tcPr>
            <w:tcW w:w="490" w:type="dxa"/>
            <w:vMerge/>
            <w:tcBorders>
              <w:top w:val="single" w:sz="4" w:space="0" w:color="auto"/>
              <w:left w:val="single" w:sz="4" w:space="0" w:color="auto"/>
              <w:bottom w:val="single" w:sz="4" w:space="0" w:color="auto"/>
              <w:right w:val="single" w:sz="4" w:space="0" w:color="auto"/>
            </w:tcBorders>
            <w:vAlign w:val="center"/>
            <w:hideMark/>
          </w:tcPr>
          <w:p w:rsidR="00C7589D" w:rsidRPr="00C7589D" w:rsidRDefault="00C7589D" w:rsidP="00C7589D">
            <w:pPr>
              <w:spacing w:after="0" w:line="240" w:lineRule="auto"/>
              <w:rPr>
                <w:rFonts w:ascii="Calibri" w:eastAsia="Times New Roman" w:hAnsi="Calibri" w:cs="Calibri"/>
                <w:b/>
                <w:bCs/>
                <w:color w:val="000000"/>
                <w:sz w:val="16"/>
                <w:szCs w:val="16"/>
                <w:lang w:eastAsia="es-CO"/>
              </w:rPr>
            </w:pPr>
          </w:p>
        </w:tc>
        <w:tc>
          <w:tcPr>
            <w:tcW w:w="6168" w:type="dxa"/>
            <w:gridSpan w:val="2"/>
            <w:vMerge/>
            <w:tcBorders>
              <w:top w:val="single" w:sz="4" w:space="0" w:color="auto"/>
              <w:left w:val="single" w:sz="4" w:space="0" w:color="auto"/>
              <w:bottom w:val="single" w:sz="4" w:space="0" w:color="000000"/>
              <w:right w:val="single" w:sz="4" w:space="0" w:color="000000"/>
            </w:tcBorders>
            <w:vAlign w:val="center"/>
            <w:hideMark/>
          </w:tcPr>
          <w:p w:rsidR="00C7589D" w:rsidRPr="00C7589D" w:rsidRDefault="00C7589D" w:rsidP="00C7589D">
            <w:pPr>
              <w:spacing w:after="0" w:line="240" w:lineRule="auto"/>
              <w:rPr>
                <w:rFonts w:ascii="Calibri" w:eastAsia="Times New Roman" w:hAnsi="Calibri" w:cs="Calibri"/>
                <w:b/>
                <w:bCs/>
                <w:color w:val="000000"/>
                <w:sz w:val="16"/>
                <w:szCs w:val="16"/>
                <w:lang w:eastAsia="es-CO"/>
              </w:rPr>
            </w:pPr>
          </w:p>
        </w:tc>
        <w:tc>
          <w:tcPr>
            <w:tcW w:w="868" w:type="dxa"/>
            <w:tcBorders>
              <w:top w:val="nil"/>
              <w:left w:val="nil"/>
              <w:bottom w:val="single" w:sz="4" w:space="0" w:color="auto"/>
              <w:right w:val="single" w:sz="4" w:space="0" w:color="auto"/>
            </w:tcBorders>
            <w:shd w:val="clear" w:color="000000" w:fill="D0CECE"/>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t>Longitud (Km)</w:t>
            </w:r>
          </w:p>
        </w:tc>
        <w:tc>
          <w:tcPr>
            <w:tcW w:w="992" w:type="dxa"/>
            <w:gridSpan w:val="2"/>
            <w:tcBorders>
              <w:top w:val="nil"/>
              <w:left w:val="nil"/>
              <w:bottom w:val="single" w:sz="4" w:space="0" w:color="auto"/>
              <w:right w:val="single" w:sz="4" w:space="0" w:color="auto"/>
            </w:tcBorders>
            <w:shd w:val="clear" w:color="000000" w:fill="D0CECE"/>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t>Espacio Público (M2)</w:t>
            </w:r>
          </w:p>
        </w:tc>
        <w:tc>
          <w:tcPr>
            <w:tcW w:w="737" w:type="dxa"/>
            <w:gridSpan w:val="2"/>
            <w:tcBorders>
              <w:top w:val="nil"/>
              <w:left w:val="nil"/>
              <w:bottom w:val="single" w:sz="4" w:space="0" w:color="auto"/>
              <w:right w:val="single" w:sz="4" w:space="0" w:color="auto"/>
            </w:tcBorders>
            <w:shd w:val="clear" w:color="000000" w:fill="D0CECE"/>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t>Cicloruta (Km)</w:t>
            </w:r>
          </w:p>
        </w:tc>
      </w:tr>
      <w:tr w:rsidR="00C7589D" w:rsidRPr="00C7589D" w:rsidTr="00C7589D">
        <w:trPr>
          <w:trHeight w:val="227"/>
        </w:trPr>
        <w:tc>
          <w:tcPr>
            <w:tcW w:w="490"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t>1</w:t>
            </w:r>
          </w:p>
        </w:tc>
        <w:tc>
          <w:tcPr>
            <w:tcW w:w="616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Troncal Centenario desde el límite occidente del Distrito hasta la Troncal Américas con Carrera 50.</w:t>
            </w:r>
          </w:p>
        </w:tc>
        <w:tc>
          <w:tcPr>
            <w:tcW w:w="86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11.3</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301,692</w:t>
            </w:r>
          </w:p>
        </w:tc>
        <w:tc>
          <w:tcPr>
            <w:tcW w:w="737" w:type="dxa"/>
            <w:gridSpan w:val="2"/>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19.4</w:t>
            </w:r>
          </w:p>
        </w:tc>
      </w:tr>
      <w:tr w:rsidR="00C7589D" w:rsidRPr="00C7589D" w:rsidTr="00C7589D">
        <w:trPr>
          <w:trHeight w:val="227"/>
        </w:trPr>
        <w:tc>
          <w:tcPr>
            <w:tcW w:w="4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t>2</w:t>
            </w:r>
          </w:p>
        </w:tc>
        <w:tc>
          <w:tcPr>
            <w:tcW w:w="616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 xml:space="preserve">Avenida Longitudinal de Occidente, Ramal Av. Villavicencio hasta la Av. Cali y Ramal Av. Américas hasta la Av. Cali. </w:t>
            </w:r>
          </w:p>
        </w:tc>
        <w:tc>
          <w:tcPr>
            <w:tcW w:w="868" w:type="dxa"/>
            <w:tcBorders>
              <w:top w:val="single" w:sz="4" w:space="0" w:color="auto"/>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44.1</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1,059,081</w:t>
            </w:r>
          </w:p>
        </w:tc>
        <w:tc>
          <w:tcPr>
            <w:tcW w:w="737" w:type="dxa"/>
            <w:gridSpan w:val="2"/>
            <w:tcBorders>
              <w:top w:val="single" w:sz="4" w:space="0" w:color="auto"/>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75.5</w:t>
            </w:r>
          </w:p>
        </w:tc>
      </w:tr>
      <w:tr w:rsidR="00C7589D" w:rsidRPr="00C7589D" w:rsidTr="00C7589D">
        <w:trPr>
          <w:trHeight w:val="227"/>
        </w:trPr>
        <w:tc>
          <w:tcPr>
            <w:tcW w:w="490"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t>3</w:t>
            </w:r>
          </w:p>
        </w:tc>
        <w:tc>
          <w:tcPr>
            <w:tcW w:w="616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Troncal Av. Villavicencio desde el Portal Tunal hasta la Troncal NQS</w:t>
            </w:r>
          </w:p>
        </w:tc>
        <w:tc>
          <w:tcPr>
            <w:tcW w:w="86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4.7</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56,500</w:t>
            </w:r>
          </w:p>
        </w:tc>
        <w:tc>
          <w:tcPr>
            <w:tcW w:w="737" w:type="dxa"/>
            <w:gridSpan w:val="2"/>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4.3</w:t>
            </w:r>
          </w:p>
        </w:tc>
      </w:tr>
      <w:tr w:rsidR="00C7589D" w:rsidRPr="00C7589D" w:rsidTr="00C7589D">
        <w:trPr>
          <w:trHeight w:val="227"/>
        </w:trPr>
        <w:tc>
          <w:tcPr>
            <w:tcW w:w="490"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t>4</w:t>
            </w:r>
          </w:p>
        </w:tc>
        <w:tc>
          <w:tcPr>
            <w:tcW w:w="616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 xml:space="preserve">Troncal Avenida Ciudad de Cali desde Avenida Américas hasta Calle 170 </w:t>
            </w:r>
          </w:p>
        </w:tc>
        <w:tc>
          <w:tcPr>
            <w:tcW w:w="86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16.8</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480,570</w:t>
            </w:r>
          </w:p>
        </w:tc>
        <w:tc>
          <w:tcPr>
            <w:tcW w:w="737" w:type="dxa"/>
            <w:gridSpan w:val="2"/>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17.0</w:t>
            </w:r>
          </w:p>
        </w:tc>
      </w:tr>
      <w:tr w:rsidR="00C7589D" w:rsidRPr="00C7589D" w:rsidTr="00C7589D">
        <w:trPr>
          <w:trHeight w:val="227"/>
        </w:trPr>
        <w:tc>
          <w:tcPr>
            <w:tcW w:w="490"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t>5</w:t>
            </w:r>
          </w:p>
        </w:tc>
        <w:tc>
          <w:tcPr>
            <w:tcW w:w="616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 xml:space="preserve">Troncal Jorge Gaitán Cortés desde la Calle 8 sur hasta la Av. Villavicencio </w:t>
            </w:r>
          </w:p>
        </w:tc>
        <w:tc>
          <w:tcPr>
            <w:tcW w:w="86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6.8</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295,378</w:t>
            </w:r>
          </w:p>
        </w:tc>
        <w:tc>
          <w:tcPr>
            <w:tcW w:w="737" w:type="dxa"/>
            <w:gridSpan w:val="2"/>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12.7</w:t>
            </w:r>
          </w:p>
        </w:tc>
      </w:tr>
      <w:tr w:rsidR="00C7589D" w:rsidRPr="00C7589D" w:rsidTr="00C7589D">
        <w:trPr>
          <w:trHeight w:val="227"/>
        </w:trPr>
        <w:tc>
          <w:tcPr>
            <w:tcW w:w="490"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t>6</w:t>
            </w:r>
          </w:p>
        </w:tc>
        <w:tc>
          <w:tcPr>
            <w:tcW w:w="616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Cicloparqueaderos Transmilenio: Portal Sur, Portal Usme y Portal Suba</w:t>
            </w:r>
          </w:p>
        </w:tc>
        <w:tc>
          <w:tcPr>
            <w:tcW w:w="2597" w:type="dxa"/>
            <w:gridSpan w:val="5"/>
            <w:tcBorders>
              <w:top w:val="single" w:sz="4" w:space="0" w:color="auto"/>
              <w:left w:val="nil"/>
              <w:bottom w:val="single" w:sz="4" w:space="0" w:color="auto"/>
              <w:right w:val="single" w:sz="4" w:space="0" w:color="000000"/>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AMPLIACIÓN INFRAESTRUCTURA</w:t>
            </w:r>
          </w:p>
        </w:tc>
      </w:tr>
      <w:tr w:rsidR="00C7589D" w:rsidRPr="00C7589D" w:rsidTr="00C7589D">
        <w:trPr>
          <w:trHeight w:val="227"/>
        </w:trPr>
        <w:tc>
          <w:tcPr>
            <w:tcW w:w="490"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t>7</w:t>
            </w:r>
          </w:p>
        </w:tc>
        <w:tc>
          <w:tcPr>
            <w:tcW w:w="616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Patio terminal Zonal Alameda el Jardín Ciudad Bolívar</w:t>
            </w:r>
          </w:p>
        </w:tc>
        <w:tc>
          <w:tcPr>
            <w:tcW w:w="2597" w:type="dxa"/>
            <w:gridSpan w:val="5"/>
            <w:tcBorders>
              <w:top w:val="single" w:sz="4" w:space="0" w:color="auto"/>
              <w:left w:val="nil"/>
              <w:bottom w:val="single" w:sz="4" w:space="0" w:color="auto"/>
              <w:right w:val="single" w:sz="4" w:space="0" w:color="000000"/>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 xml:space="preserve">AMPLIACIÓN INFRAESTRUCTURA </w:t>
            </w:r>
          </w:p>
        </w:tc>
      </w:tr>
      <w:tr w:rsidR="00C7589D" w:rsidRPr="00C7589D" w:rsidTr="00C7589D">
        <w:trPr>
          <w:trHeight w:val="227"/>
        </w:trPr>
        <w:tc>
          <w:tcPr>
            <w:tcW w:w="490"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t>8</w:t>
            </w:r>
          </w:p>
        </w:tc>
        <w:tc>
          <w:tcPr>
            <w:tcW w:w="616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Patio Terminal GACO Engativá</w:t>
            </w:r>
          </w:p>
        </w:tc>
        <w:tc>
          <w:tcPr>
            <w:tcW w:w="2597" w:type="dxa"/>
            <w:gridSpan w:val="5"/>
            <w:tcBorders>
              <w:top w:val="single" w:sz="4" w:space="0" w:color="auto"/>
              <w:left w:val="nil"/>
              <w:bottom w:val="single" w:sz="4" w:space="0" w:color="auto"/>
              <w:right w:val="single" w:sz="4" w:space="0" w:color="000000"/>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 xml:space="preserve">AMPLIACIÓN INFRAESTRUCTURA </w:t>
            </w:r>
          </w:p>
        </w:tc>
      </w:tr>
      <w:tr w:rsidR="00C7589D" w:rsidRPr="00C7589D" w:rsidTr="00C7589D">
        <w:trPr>
          <w:trHeight w:val="227"/>
        </w:trPr>
        <w:tc>
          <w:tcPr>
            <w:tcW w:w="490"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t>9</w:t>
            </w:r>
          </w:p>
        </w:tc>
        <w:tc>
          <w:tcPr>
            <w:tcW w:w="616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Acción Popular la Calera (A.P 2016-00403)</w:t>
            </w:r>
          </w:p>
        </w:tc>
        <w:tc>
          <w:tcPr>
            <w:tcW w:w="86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0.0</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0</w:t>
            </w:r>
          </w:p>
        </w:tc>
        <w:tc>
          <w:tcPr>
            <w:tcW w:w="737" w:type="dxa"/>
            <w:gridSpan w:val="2"/>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0.0</w:t>
            </w:r>
          </w:p>
        </w:tc>
      </w:tr>
      <w:tr w:rsidR="00C7589D" w:rsidRPr="00C7589D" w:rsidTr="00C7589D">
        <w:trPr>
          <w:trHeight w:val="227"/>
        </w:trPr>
        <w:tc>
          <w:tcPr>
            <w:tcW w:w="490"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t>10</w:t>
            </w:r>
          </w:p>
        </w:tc>
        <w:tc>
          <w:tcPr>
            <w:tcW w:w="616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Ampliación Vía la Calera</w:t>
            </w:r>
          </w:p>
        </w:tc>
        <w:tc>
          <w:tcPr>
            <w:tcW w:w="86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6.0</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42,000</w:t>
            </w:r>
          </w:p>
        </w:tc>
        <w:tc>
          <w:tcPr>
            <w:tcW w:w="737" w:type="dxa"/>
            <w:gridSpan w:val="2"/>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6.0</w:t>
            </w:r>
          </w:p>
        </w:tc>
      </w:tr>
      <w:tr w:rsidR="00C7589D" w:rsidRPr="00C7589D" w:rsidTr="00C7589D">
        <w:trPr>
          <w:trHeight w:val="227"/>
        </w:trPr>
        <w:tc>
          <w:tcPr>
            <w:tcW w:w="490"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lastRenderedPageBreak/>
              <w:t>11</w:t>
            </w:r>
          </w:p>
        </w:tc>
        <w:tc>
          <w:tcPr>
            <w:tcW w:w="3049" w:type="dxa"/>
            <w:tcBorders>
              <w:top w:val="nil"/>
              <w:left w:val="nil"/>
              <w:bottom w:val="single" w:sz="4" w:space="0" w:color="auto"/>
              <w:right w:val="single" w:sz="4" w:space="0" w:color="auto"/>
            </w:tcBorders>
            <w:shd w:val="clear" w:color="auto" w:fill="auto"/>
            <w:hideMark/>
          </w:tcPr>
          <w:p w:rsidR="00C7589D" w:rsidRPr="00C7589D" w:rsidRDefault="00C7589D" w:rsidP="00C7589D">
            <w:pPr>
              <w:spacing w:after="0" w:line="240" w:lineRule="auto"/>
              <w:rPr>
                <w:rFonts w:ascii="Calibri" w:eastAsia="Times New Roman" w:hAnsi="Calibri" w:cs="Calibri"/>
                <w:color w:val="000000"/>
                <w:sz w:val="16"/>
                <w:szCs w:val="16"/>
                <w:lang w:eastAsia="es-CO"/>
              </w:rPr>
            </w:pPr>
            <w:r w:rsidRPr="00C7589D">
              <w:rPr>
                <w:rFonts w:ascii="Calibri" w:eastAsia="Times New Roman" w:hAnsi="Calibri" w:cs="Calibri"/>
                <w:b/>
                <w:color w:val="000000"/>
                <w:sz w:val="16"/>
                <w:szCs w:val="16"/>
                <w:lang w:eastAsia="es-CO"/>
              </w:rPr>
              <w:t>Estabilización Taludes (29 Sitios Inestables)</w:t>
            </w:r>
            <w:r w:rsidRPr="00C7589D">
              <w:rPr>
                <w:rFonts w:ascii="Calibri" w:eastAsia="Times New Roman" w:hAnsi="Calibri" w:cs="Calibri"/>
                <w:color w:val="000000"/>
                <w:sz w:val="16"/>
                <w:szCs w:val="16"/>
                <w:lang w:eastAsia="es-CO"/>
              </w:rPr>
              <w:br/>
              <w:t>1. Kr 2B entre Cl 163A y Dg 163A</w:t>
            </w:r>
            <w:r w:rsidRPr="00C7589D">
              <w:rPr>
                <w:rFonts w:ascii="Calibri" w:eastAsia="Times New Roman" w:hAnsi="Calibri" w:cs="Calibri"/>
                <w:color w:val="000000"/>
                <w:sz w:val="16"/>
                <w:szCs w:val="16"/>
                <w:lang w:eastAsia="es-CO"/>
              </w:rPr>
              <w:br/>
              <w:t>2. Kr 4 por Cl 185</w:t>
            </w:r>
            <w:r w:rsidRPr="00C7589D">
              <w:rPr>
                <w:rFonts w:ascii="Calibri" w:eastAsia="Times New Roman" w:hAnsi="Calibri" w:cs="Calibri"/>
                <w:color w:val="000000"/>
                <w:sz w:val="16"/>
                <w:szCs w:val="16"/>
                <w:lang w:eastAsia="es-CO"/>
              </w:rPr>
              <w:br/>
              <w:t>3. Kr 5D entre Cl 188 y Cl 189</w:t>
            </w:r>
            <w:r w:rsidRPr="00C7589D">
              <w:rPr>
                <w:rFonts w:ascii="Calibri" w:eastAsia="Times New Roman" w:hAnsi="Calibri" w:cs="Calibri"/>
                <w:color w:val="000000"/>
                <w:sz w:val="16"/>
                <w:szCs w:val="16"/>
                <w:lang w:eastAsia="es-CO"/>
              </w:rPr>
              <w:br/>
              <w:t>4. Tv 1A Este por Dg 44 - Mirador Paraíso</w:t>
            </w:r>
            <w:r w:rsidRPr="00C7589D">
              <w:rPr>
                <w:rFonts w:ascii="Calibri" w:eastAsia="Times New Roman" w:hAnsi="Calibri" w:cs="Calibri"/>
                <w:color w:val="000000"/>
                <w:sz w:val="16"/>
                <w:szCs w:val="16"/>
                <w:lang w:eastAsia="es-CO"/>
              </w:rPr>
              <w:br/>
              <w:t>5. Av. Circunvalar entre Cl 38 y Cl 39 (Barrio Paraíso)</w:t>
            </w:r>
            <w:r w:rsidRPr="00C7589D">
              <w:rPr>
                <w:rFonts w:ascii="Calibri" w:eastAsia="Times New Roman" w:hAnsi="Calibri" w:cs="Calibri"/>
                <w:color w:val="000000"/>
                <w:sz w:val="16"/>
                <w:szCs w:val="16"/>
                <w:lang w:eastAsia="es-CO"/>
              </w:rPr>
              <w:br/>
              <w:t>6. Tv 6 Este por Kr 7 Este Altos Egipto (Turbay Ayala)</w:t>
            </w:r>
            <w:r w:rsidRPr="00C7589D">
              <w:rPr>
                <w:rFonts w:ascii="Calibri" w:eastAsia="Times New Roman" w:hAnsi="Calibri" w:cs="Calibri"/>
                <w:color w:val="000000"/>
                <w:sz w:val="16"/>
                <w:szCs w:val="16"/>
                <w:lang w:eastAsia="es-CO"/>
              </w:rPr>
              <w:br/>
              <w:t>7. Kr 11C entre Cl 1 y Cl 2A</w:t>
            </w:r>
            <w:r w:rsidRPr="00C7589D">
              <w:rPr>
                <w:rFonts w:ascii="Calibri" w:eastAsia="Times New Roman" w:hAnsi="Calibri" w:cs="Calibri"/>
                <w:color w:val="000000"/>
                <w:sz w:val="16"/>
                <w:szCs w:val="16"/>
                <w:lang w:eastAsia="es-CO"/>
              </w:rPr>
              <w:br/>
              <w:t>8. Kr 3B entre Cl 36B Sur y Cl 36C Sur</w:t>
            </w:r>
            <w:r w:rsidRPr="00C7589D">
              <w:rPr>
                <w:rFonts w:ascii="Calibri" w:eastAsia="Times New Roman" w:hAnsi="Calibri" w:cs="Calibri"/>
                <w:color w:val="000000"/>
                <w:sz w:val="16"/>
                <w:szCs w:val="16"/>
                <w:lang w:eastAsia="es-CO"/>
              </w:rPr>
              <w:br/>
              <w:t>9. Dg 37 Sur entre Kr 1A y Kr 2B</w:t>
            </w:r>
            <w:r w:rsidRPr="00C7589D">
              <w:rPr>
                <w:rFonts w:ascii="Calibri" w:eastAsia="Times New Roman" w:hAnsi="Calibri" w:cs="Calibri"/>
                <w:color w:val="000000"/>
                <w:sz w:val="16"/>
                <w:szCs w:val="16"/>
                <w:lang w:eastAsia="es-CO"/>
              </w:rPr>
              <w:br/>
              <w:t xml:space="preserve">10. AC 36 Sur (Antigua vía al Llano) entre Kr 3A Este y Kr 4A Este </w:t>
            </w:r>
            <w:r w:rsidRPr="00C7589D">
              <w:rPr>
                <w:rFonts w:ascii="Calibri" w:eastAsia="Times New Roman" w:hAnsi="Calibri" w:cs="Calibri"/>
                <w:color w:val="000000"/>
                <w:sz w:val="16"/>
                <w:szCs w:val="16"/>
                <w:lang w:eastAsia="es-CO"/>
              </w:rPr>
              <w:br/>
              <w:t>11. Tv 15 Bis Este entre Cl 48 Sur y Cl 49 Sur Urb. Gaviotas</w:t>
            </w:r>
            <w:r w:rsidRPr="00C7589D">
              <w:rPr>
                <w:rFonts w:ascii="Calibri" w:eastAsia="Times New Roman" w:hAnsi="Calibri" w:cs="Calibri"/>
                <w:color w:val="000000"/>
                <w:sz w:val="16"/>
                <w:szCs w:val="16"/>
                <w:lang w:eastAsia="es-CO"/>
              </w:rPr>
              <w:br/>
              <w:t>12. Dg 54C Sur por Kr 1 Barrio La Paz</w:t>
            </w:r>
            <w:r w:rsidRPr="00C7589D">
              <w:rPr>
                <w:rFonts w:ascii="Calibri" w:eastAsia="Times New Roman" w:hAnsi="Calibri" w:cs="Calibri"/>
                <w:color w:val="000000"/>
                <w:sz w:val="16"/>
                <w:szCs w:val="16"/>
                <w:lang w:eastAsia="es-CO"/>
              </w:rPr>
              <w:br/>
              <w:t xml:space="preserve">13. Av. Boyacá entre Cl 72 Sur y Cl 72D Sur </w:t>
            </w:r>
            <w:r w:rsidRPr="00C7589D">
              <w:rPr>
                <w:rFonts w:ascii="Calibri" w:eastAsia="Times New Roman" w:hAnsi="Calibri" w:cs="Calibri"/>
                <w:color w:val="000000"/>
                <w:sz w:val="16"/>
                <w:szCs w:val="16"/>
                <w:lang w:eastAsia="es-CO"/>
              </w:rPr>
              <w:br/>
              <w:t>14. Av. Boyacá por Cl 73D Sur</w:t>
            </w:r>
          </w:p>
        </w:tc>
        <w:tc>
          <w:tcPr>
            <w:tcW w:w="3119" w:type="dxa"/>
            <w:tcBorders>
              <w:top w:val="nil"/>
              <w:left w:val="nil"/>
              <w:bottom w:val="single" w:sz="4" w:space="0" w:color="auto"/>
              <w:right w:val="single" w:sz="4" w:space="0" w:color="auto"/>
            </w:tcBorders>
            <w:shd w:val="clear" w:color="auto" w:fill="auto"/>
            <w:hideMark/>
          </w:tcPr>
          <w:p w:rsidR="00C7589D" w:rsidRPr="00C7589D" w:rsidRDefault="00C7589D" w:rsidP="00C7589D">
            <w:pPr>
              <w:spacing w:after="0" w:line="240" w:lineRule="auto"/>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15. Transversal 1 Este 85-10 Jardín Bosque</w:t>
            </w:r>
            <w:r w:rsidRPr="00C7589D">
              <w:rPr>
                <w:rFonts w:ascii="Calibri" w:eastAsia="Times New Roman" w:hAnsi="Calibri" w:cs="Calibri"/>
                <w:color w:val="000000"/>
                <w:sz w:val="16"/>
                <w:szCs w:val="16"/>
                <w:lang w:eastAsia="es-CO"/>
              </w:rPr>
              <w:br/>
              <w:t>16. Kr 5 Este por Cl 91 Sur</w:t>
            </w:r>
            <w:r w:rsidRPr="00C7589D">
              <w:rPr>
                <w:rFonts w:ascii="Calibri" w:eastAsia="Times New Roman" w:hAnsi="Calibri" w:cs="Calibri"/>
                <w:color w:val="000000"/>
                <w:sz w:val="16"/>
                <w:szCs w:val="16"/>
                <w:lang w:eastAsia="es-CO"/>
              </w:rPr>
              <w:br/>
              <w:t>17. Kr 5 Este por Cl 97 Bis Sur</w:t>
            </w:r>
            <w:r w:rsidRPr="00C7589D">
              <w:rPr>
                <w:rFonts w:ascii="Calibri" w:eastAsia="Times New Roman" w:hAnsi="Calibri" w:cs="Calibri"/>
                <w:color w:val="000000"/>
                <w:sz w:val="16"/>
                <w:szCs w:val="16"/>
                <w:lang w:eastAsia="es-CO"/>
              </w:rPr>
              <w:br/>
              <w:t>18. Quebraba Los Cáquezas (Antigua vía al Llano)</w:t>
            </w:r>
            <w:r w:rsidRPr="00C7589D">
              <w:rPr>
                <w:rFonts w:ascii="Calibri" w:eastAsia="Times New Roman" w:hAnsi="Calibri" w:cs="Calibri"/>
                <w:color w:val="000000"/>
                <w:sz w:val="16"/>
                <w:szCs w:val="16"/>
                <w:lang w:eastAsia="es-CO"/>
              </w:rPr>
              <w:br/>
              <w:t>19. Cl 43A Sur por Kr 11 Barrio San Jorge</w:t>
            </w:r>
            <w:r w:rsidRPr="00C7589D">
              <w:rPr>
                <w:rFonts w:ascii="Calibri" w:eastAsia="Times New Roman" w:hAnsi="Calibri" w:cs="Calibri"/>
                <w:color w:val="000000"/>
                <w:sz w:val="16"/>
                <w:szCs w:val="16"/>
                <w:lang w:eastAsia="es-CO"/>
              </w:rPr>
              <w:br/>
              <w:t>20. Jorge Gaitán Cortés por Dg 68D Sur</w:t>
            </w:r>
            <w:r w:rsidRPr="00C7589D">
              <w:rPr>
                <w:rFonts w:ascii="Calibri" w:eastAsia="Times New Roman" w:hAnsi="Calibri" w:cs="Calibri"/>
                <w:color w:val="000000"/>
                <w:sz w:val="16"/>
                <w:szCs w:val="16"/>
                <w:lang w:eastAsia="es-CO"/>
              </w:rPr>
              <w:br/>
              <w:t>21. Tv 20F por Cl 68J sur Barrio Juan José Rendón</w:t>
            </w:r>
            <w:r w:rsidRPr="00C7589D">
              <w:rPr>
                <w:rFonts w:ascii="Calibri" w:eastAsia="Times New Roman" w:hAnsi="Calibri" w:cs="Calibri"/>
                <w:color w:val="000000"/>
                <w:sz w:val="16"/>
                <w:szCs w:val="16"/>
                <w:lang w:eastAsia="es-CO"/>
              </w:rPr>
              <w:br/>
              <w:t>22. Dg 68 Sur entre Kr 19A y Kr 19B – Barrio San Francisco</w:t>
            </w:r>
            <w:r w:rsidRPr="00C7589D">
              <w:rPr>
                <w:rFonts w:ascii="Calibri" w:eastAsia="Times New Roman" w:hAnsi="Calibri" w:cs="Calibri"/>
                <w:color w:val="000000"/>
                <w:sz w:val="16"/>
                <w:szCs w:val="16"/>
                <w:lang w:eastAsia="es-CO"/>
              </w:rPr>
              <w:br/>
              <w:t>23. Kr 18X entre Cl 69B Bis Sur y Dg 68C Sur</w:t>
            </w:r>
            <w:r w:rsidRPr="00C7589D">
              <w:rPr>
                <w:rFonts w:ascii="Calibri" w:eastAsia="Times New Roman" w:hAnsi="Calibri" w:cs="Calibri"/>
                <w:color w:val="000000"/>
                <w:sz w:val="16"/>
                <w:szCs w:val="16"/>
                <w:lang w:eastAsia="es-CO"/>
              </w:rPr>
              <w:br/>
              <w:t>24. Cl 70A Sur por Kr 22 - Brisas del Volador 2</w:t>
            </w:r>
            <w:r w:rsidRPr="00C7589D">
              <w:rPr>
                <w:rFonts w:ascii="Calibri" w:eastAsia="Times New Roman" w:hAnsi="Calibri" w:cs="Calibri"/>
                <w:color w:val="000000"/>
                <w:sz w:val="16"/>
                <w:szCs w:val="16"/>
                <w:lang w:eastAsia="es-CO"/>
              </w:rPr>
              <w:br/>
            </w:r>
            <w:r>
              <w:rPr>
                <w:rFonts w:ascii="Calibri" w:eastAsia="Times New Roman" w:hAnsi="Calibri" w:cs="Calibri"/>
                <w:color w:val="000000"/>
                <w:sz w:val="16"/>
                <w:szCs w:val="16"/>
                <w:lang w:eastAsia="es-CO"/>
              </w:rPr>
              <w:t xml:space="preserve">25. Cl 70D Bis Sur por Kr 23A </w:t>
            </w:r>
            <w:r w:rsidRPr="00C7589D">
              <w:rPr>
                <w:rFonts w:ascii="Calibri" w:eastAsia="Times New Roman" w:hAnsi="Calibri" w:cs="Calibri"/>
                <w:color w:val="000000"/>
                <w:sz w:val="16"/>
                <w:szCs w:val="16"/>
                <w:lang w:eastAsia="es-CO"/>
              </w:rPr>
              <w:br/>
              <w:t>26. Cl 82C Sur entre Kr 18G y Kr 18M</w:t>
            </w:r>
            <w:r w:rsidRPr="00C7589D">
              <w:rPr>
                <w:rFonts w:ascii="Calibri" w:eastAsia="Times New Roman" w:hAnsi="Calibri" w:cs="Calibri"/>
                <w:color w:val="000000"/>
                <w:sz w:val="16"/>
                <w:szCs w:val="16"/>
                <w:lang w:eastAsia="es-CO"/>
              </w:rPr>
              <w:br/>
              <w:t>27. Vía San Juan</w:t>
            </w:r>
            <w:r w:rsidRPr="00C7589D">
              <w:rPr>
                <w:rFonts w:ascii="Calibri" w:eastAsia="Times New Roman" w:hAnsi="Calibri" w:cs="Calibri"/>
                <w:color w:val="000000"/>
                <w:sz w:val="16"/>
                <w:szCs w:val="16"/>
                <w:lang w:eastAsia="es-CO"/>
              </w:rPr>
              <w:br/>
              <w:t>28. Vía Betania</w:t>
            </w:r>
            <w:r w:rsidRPr="00C7589D">
              <w:rPr>
                <w:rFonts w:ascii="Calibri" w:eastAsia="Times New Roman" w:hAnsi="Calibri" w:cs="Calibri"/>
                <w:color w:val="000000"/>
                <w:sz w:val="16"/>
                <w:szCs w:val="16"/>
                <w:lang w:eastAsia="es-CO"/>
              </w:rPr>
              <w:br/>
              <w:t xml:space="preserve">29. El Hato </w:t>
            </w:r>
          </w:p>
        </w:tc>
        <w:tc>
          <w:tcPr>
            <w:tcW w:w="2597" w:type="dxa"/>
            <w:gridSpan w:val="5"/>
            <w:tcBorders>
              <w:top w:val="single" w:sz="4" w:space="0" w:color="auto"/>
              <w:left w:val="nil"/>
              <w:bottom w:val="single" w:sz="4" w:space="0" w:color="auto"/>
              <w:right w:val="single" w:sz="4" w:space="0" w:color="000000"/>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 xml:space="preserve">29 </w:t>
            </w:r>
            <w:r w:rsidRPr="00C7589D">
              <w:rPr>
                <w:rFonts w:ascii="Calibri" w:eastAsia="Times New Roman" w:hAnsi="Calibri" w:cs="Calibri"/>
                <w:color w:val="000000"/>
                <w:sz w:val="16"/>
                <w:szCs w:val="16"/>
                <w:lang w:eastAsia="es-CO"/>
              </w:rPr>
              <w:t>PUNTOS</w:t>
            </w:r>
          </w:p>
        </w:tc>
      </w:tr>
      <w:tr w:rsidR="00C7589D" w:rsidRPr="00C7589D" w:rsidTr="00C7589D">
        <w:trPr>
          <w:trHeight w:val="227"/>
        </w:trPr>
        <w:tc>
          <w:tcPr>
            <w:tcW w:w="490"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t>12</w:t>
            </w:r>
          </w:p>
        </w:tc>
        <w:tc>
          <w:tcPr>
            <w:tcW w:w="616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Av. Circunvalar de Oriente entre Av. Villavicencio y Av. Comuneros</w:t>
            </w:r>
          </w:p>
        </w:tc>
        <w:tc>
          <w:tcPr>
            <w:tcW w:w="86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5.9</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70,800</w:t>
            </w:r>
          </w:p>
        </w:tc>
        <w:tc>
          <w:tcPr>
            <w:tcW w:w="737" w:type="dxa"/>
            <w:gridSpan w:val="2"/>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5.9</w:t>
            </w:r>
          </w:p>
        </w:tc>
      </w:tr>
      <w:tr w:rsidR="00C7589D" w:rsidRPr="00C7589D" w:rsidTr="00C7589D">
        <w:trPr>
          <w:trHeight w:val="227"/>
        </w:trPr>
        <w:tc>
          <w:tcPr>
            <w:tcW w:w="490"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t>13</w:t>
            </w:r>
          </w:p>
        </w:tc>
        <w:tc>
          <w:tcPr>
            <w:tcW w:w="616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Proyectos Corabastos (María Paz - Corabastos, Alameda 40B Sur, Humedal la Vaca, Articulación Cayetano Cañizales)</w:t>
            </w:r>
          </w:p>
        </w:tc>
        <w:tc>
          <w:tcPr>
            <w:tcW w:w="868" w:type="dxa"/>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 </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 </w:t>
            </w:r>
          </w:p>
        </w:tc>
        <w:tc>
          <w:tcPr>
            <w:tcW w:w="737" w:type="dxa"/>
            <w:gridSpan w:val="2"/>
            <w:tcBorders>
              <w:top w:val="nil"/>
              <w:left w:val="nil"/>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 </w:t>
            </w:r>
          </w:p>
        </w:tc>
      </w:tr>
      <w:tr w:rsidR="00C7589D" w:rsidRPr="00C7589D" w:rsidTr="00C7589D">
        <w:trPr>
          <w:trHeight w:val="227"/>
        </w:trPr>
        <w:tc>
          <w:tcPr>
            <w:tcW w:w="490" w:type="dxa"/>
            <w:tcBorders>
              <w:top w:val="nil"/>
              <w:left w:val="single" w:sz="4" w:space="0" w:color="auto"/>
              <w:bottom w:val="single" w:sz="4" w:space="0" w:color="auto"/>
              <w:right w:val="single" w:sz="4" w:space="0" w:color="auto"/>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t>14</w:t>
            </w:r>
          </w:p>
        </w:tc>
        <w:tc>
          <w:tcPr>
            <w:tcW w:w="616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C7589D" w:rsidRPr="00C7589D" w:rsidRDefault="00C7589D" w:rsidP="00C7589D">
            <w:pPr>
              <w:spacing w:after="0" w:line="240" w:lineRule="auto"/>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Puente Vehicular San Agustín: Calle 49 Sur con Carrera 5F  y Puente Vehicular los Andes</w:t>
            </w:r>
          </w:p>
        </w:tc>
        <w:tc>
          <w:tcPr>
            <w:tcW w:w="2597" w:type="dxa"/>
            <w:gridSpan w:val="5"/>
            <w:tcBorders>
              <w:top w:val="single" w:sz="4" w:space="0" w:color="auto"/>
              <w:left w:val="nil"/>
              <w:bottom w:val="single" w:sz="4" w:space="0" w:color="auto"/>
              <w:right w:val="single" w:sz="4" w:space="0" w:color="000000"/>
            </w:tcBorders>
            <w:shd w:val="clear" w:color="auto" w:fill="auto"/>
            <w:noWrap/>
            <w:vAlign w:val="center"/>
            <w:hideMark/>
          </w:tcPr>
          <w:p w:rsidR="00C7589D" w:rsidRPr="00C7589D" w:rsidRDefault="00C7589D" w:rsidP="00C7589D">
            <w:pPr>
              <w:spacing w:after="0" w:line="240" w:lineRule="auto"/>
              <w:jc w:val="center"/>
              <w:rPr>
                <w:rFonts w:ascii="Calibri" w:eastAsia="Times New Roman" w:hAnsi="Calibri" w:cs="Calibri"/>
                <w:color w:val="000000"/>
                <w:sz w:val="16"/>
                <w:szCs w:val="16"/>
                <w:lang w:eastAsia="es-CO"/>
              </w:rPr>
            </w:pPr>
            <w:r w:rsidRPr="00C7589D">
              <w:rPr>
                <w:rFonts w:ascii="Calibri" w:eastAsia="Times New Roman" w:hAnsi="Calibri" w:cs="Calibri"/>
                <w:color w:val="000000"/>
                <w:sz w:val="16"/>
                <w:szCs w:val="16"/>
                <w:lang w:eastAsia="es-CO"/>
              </w:rPr>
              <w:t xml:space="preserve">AMPLIACIÓN INFRAESTRUCTURA </w:t>
            </w:r>
          </w:p>
        </w:tc>
      </w:tr>
      <w:tr w:rsidR="00C7589D" w:rsidRPr="00C7589D" w:rsidTr="00C7589D">
        <w:trPr>
          <w:trHeight w:val="227"/>
        </w:trPr>
        <w:tc>
          <w:tcPr>
            <w:tcW w:w="6658" w:type="dxa"/>
            <w:gridSpan w:val="3"/>
            <w:tcBorders>
              <w:top w:val="single" w:sz="4" w:space="0" w:color="auto"/>
              <w:left w:val="single" w:sz="4" w:space="0" w:color="auto"/>
              <w:bottom w:val="single" w:sz="4" w:space="0" w:color="auto"/>
              <w:right w:val="single" w:sz="4" w:space="0" w:color="auto"/>
            </w:tcBorders>
            <w:shd w:val="clear" w:color="000000" w:fill="D0CECE"/>
            <w:noWrap/>
            <w:vAlign w:val="bottom"/>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t>TOTALES</w:t>
            </w:r>
          </w:p>
        </w:tc>
        <w:tc>
          <w:tcPr>
            <w:tcW w:w="877" w:type="dxa"/>
            <w:gridSpan w:val="2"/>
            <w:tcBorders>
              <w:top w:val="nil"/>
              <w:left w:val="nil"/>
              <w:bottom w:val="single" w:sz="4" w:space="0" w:color="auto"/>
              <w:right w:val="single" w:sz="4" w:space="0" w:color="auto"/>
            </w:tcBorders>
            <w:shd w:val="clear" w:color="000000" w:fill="D0CECE"/>
            <w:noWrap/>
            <w:vAlign w:val="bottom"/>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t>95.6</w:t>
            </w:r>
          </w:p>
        </w:tc>
        <w:tc>
          <w:tcPr>
            <w:tcW w:w="992" w:type="dxa"/>
            <w:gridSpan w:val="2"/>
            <w:tcBorders>
              <w:top w:val="nil"/>
              <w:left w:val="nil"/>
              <w:bottom w:val="single" w:sz="4" w:space="0" w:color="auto"/>
              <w:right w:val="single" w:sz="4" w:space="0" w:color="auto"/>
            </w:tcBorders>
            <w:shd w:val="clear" w:color="000000" w:fill="D0CECE"/>
            <w:noWrap/>
            <w:vAlign w:val="bottom"/>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t>2,306,021</w:t>
            </w:r>
          </w:p>
        </w:tc>
        <w:tc>
          <w:tcPr>
            <w:tcW w:w="728" w:type="dxa"/>
            <w:tcBorders>
              <w:top w:val="nil"/>
              <w:left w:val="nil"/>
              <w:bottom w:val="single" w:sz="4" w:space="0" w:color="auto"/>
              <w:right w:val="single" w:sz="4" w:space="0" w:color="auto"/>
            </w:tcBorders>
            <w:shd w:val="clear" w:color="000000" w:fill="D0CECE"/>
            <w:noWrap/>
            <w:vAlign w:val="bottom"/>
            <w:hideMark/>
          </w:tcPr>
          <w:p w:rsidR="00C7589D" w:rsidRPr="00C7589D" w:rsidRDefault="00C7589D" w:rsidP="00C7589D">
            <w:pPr>
              <w:spacing w:after="0" w:line="240" w:lineRule="auto"/>
              <w:jc w:val="center"/>
              <w:rPr>
                <w:rFonts w:ascii="Calibri" w:eastAsia="Times New Roman" w:hAnsi="Calibri" w:cs="Calibri"/>
                <w:b/>
                <w:bCs/>
                <w:color w:val="000000"/>
                <w:sz w:val="16"/>
                <w:szCs w:val="16"/>
                <w:lang w:eastAsia="es-CO"/>
              </w:rPr>
            </w:pPr>
            <w:r w:rsidRPr="00C7589D">
              <w:rPr>
                <w:rFonts w:ascii="Calibri" w:eastAsia="Times New Roman" w:hAnsi="Calibri" w:cs="Calibri"/>
                <w:b/>
                <w:bCs/>
                <w:color w:val="000000"/>
                <w:sz w:val="16"/>
                <w:szCs w:val="16"/>
                <w:lang w:eastAsia="es-CO"/>
              </w:rPr>
              <w:t>140.8</w:t>
            </w:r>
          </w:p>
        </w:tc>
      </w:tr>
    </w:tbl>
    <w:p w:rsidR="00AC30EC" w:rsidRPr="00D35238" w:rsidRDefault="00AC30EC" w:rsidP="00AC30EC">
      <w:pPr>
        <w:pStyle w:val="Descripcin"/>
        <w:spacing w:after="0" w:line="276" w:lineRule="auto"/>
        <w:rPr>
          <w:rFonts w:ascii="Arial" w:hAnsi="Arial" w:cs="Arial"/>
          <w:color w:val="auto"/>
          <w:sz w:val="24"/>
        </w:rPr>
      </w:pPr>
    </w:p>
    <w:p w:rsidR="00AC30EC" w:rsidRPr="00D35238" w:rsidRDefault="00AC30EC" w:rsidP="00D0183B">
      <w:pPr>
        <w:pStyle w:val="Ttulo4"/>
        <w:keepNext w:val="0"/>
        <w:keepLines w:val="0"/>
        <w:numPr>
          <w:ilvl w:val="2"/>
          <w:numId w:val="51"/>
        </w:numPr>
        <w:spacing w:before="0" w:line="276" w:lineRule="auto"/>
        <w:ind w:left="709"/>
        <w:jc w:val="both"/>
        <w:rPr>
          <w:rFonts w:ascii="Arial" w:hAnsi="Arial" w:cs="Arial"/>
          <w:b/>
          <w:i w:val="0"/>
          <w:color w:val="auto"/>
          <w:lang w:eastAsia="es-CO"/>
        </w:rPr>
      </w:pPr>
      <w:r w:rsidRPr="00D35238">
        <w:rPr>
          <w:rFonts w:ascii="Arial" w:hAnsi="Arial" w:cs="Arial"/>
          <w:b/>
          <w:i w:val="0"/>
          <w:color w:val="auto"/>
          <w:lang w:eastAsia="es-CO"/>
        </w:rPr>
        <w:t>Proyectos con etapa de Factibilidad</w:t>
      </w:r>
    </w:p>
    <w:p w:rsidR="00AC30EC" w:rsidRPr="00AC30EC" w:rsidRDefault="00AC30EC" w:rsidP="00AC30EC">
      <w:pPr>
        <w:tabs>
          <w:tab w:val="left" w:pos="5760"/>
        </w:tabs>
        <w:spacing w:line="276" w:lineRule="auto"/>
        <w:rPr>
          <w:rFonts w:ascii="Arial" w:hAnsi="Arial" w:cs="Arial"/>
          <w:lang w:eastAsia="es-CO"/>
        </w:rPr>
      </w:pPr>
      <w:r w:rsidRPr="00AC30EC">
        <w:rPr>
          <w:rFonts w:ascii="Arial" w:hAnsi="Arial" w:cs="Arial"/>
          <w:lang w:eastAsia="es-CO"/>
        </w:rPr>
        <w:tab/>
      </w:r>
    </w:p>
    <w:p w:rsidR="00AC30EC" w:rsidRPr="00D35238" w:rsidRDefault="00AC30EC" w:rsidP="00AC30EC">
      <w:pPr>
        <w:pStyle w:val="Descripcin"/>
        <w:spacing w:after="0"/>
        <w:rPr>
          <w:rFonts w:ascii="Arial" w:hAnsi="Arial" w:cs="Arial"/>
          <w:color w:val="auto"/>
        </w:rPr>
      </w:pPr>
      <w:bookmarkStart w:id="84" w:name="_Toc27665334"/>
      <w:r w:rsidRPr="00D35238">
        <w:rPr>
          <w:rFonts w:ascii="Arial" w:hAnsi="Arial" w:cs="Arial"/>
          <w:color w:val="auto"/>
        </w:rPr>
        <w:t>Proyectos con etapa de Factibilidad</w:t>
      </w:r>
      <w:bookmarkEnd w:id="84"/>
    </w:p>
    <w:tbl>
      <w:tblPr>
        <w:tblW w:w="8951" w:type="dxa"/>
        <w:tblCellMar>
          <w:left w:w="70" w:type="dxa"/>
          <w:right w:w="70" w:type="dxa"/>
        </w:tblCellMar>
        <w:tblLook w:val="04A0" w:firstRow="1" w:lastRow="0" w:firstColumn="1" w:lastColumn="0" w:noHBand="0" w:noVBand="1"/>
      </w:tblPr>
      <w:tblGrid>
        <w:gridCol w:w="332"/>
        <w:gridCol w:w="5900"/>
        <w:gridCol w:w="851"/>
        <w:gridCol w:w="1134"/>
        <w:gridCol w:w="734"/>
      </w:tblGrid>
      <w:tr w:rsidR="009309AC" w:rsidRPr="009309AC" w:rsidTr="009309AC">
        <w:trPr>
          <w:trHeight w:val="227"/>
          <w:tblHeader/>
        </w:trPr>
        <w:tc>
          <w:tcPr>
            <w:tcW w:w="332" w:type="dxa"/>
            <w:vMerge w:val="restart"/>
            <w:tcBorders>
              <w:top w:val="single" w:sz="4" w:space="0" w:color="auto"/>
              <w:left w:val="single" w:sz="4" w:space="0" w:color="auto"/>
              <w:bottom w:val="single" w:sz="4" w:space="0" w:color="auto"/>
              <w:right w:val="single" w:sz="4" w:space="0" w:color="auto"/>
            </w:tcBorders>
            <w:shd w:val="clear" w:color="000000" w:fill="D0CECE"/>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No</w:t>
            </w:r>
          </w:p>
        </w:tc>
        <w:tc>
          <w:tcPr>
            <w:tcW w:w="5900" w:type="dxa"/>
            <w:vMerge w:val="restart"/>
            <w:tcBorders>
              <w:top w:val="single" w:sz="4" w:space="0" w:color="auto"/>
              <w:left w:val="single" w:sz="4" w:space="0" w:color="auto"/>
              <w:bottom w:val="single" w:sz="4" w:space="0" w:color="auto"/>
              <w:right w:val="single" w:sz="4" w:space="0" w:color="auto"/>
            </w:tcBorders>
            <w:shd w:val="clear" w:color="000000" w:fill="D0CECE"/>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Nombre del Proyecto</w:t>
            </w:r>
          </w:p>
        </w:tc>
        <w:tc>
          <w:tcPr>
            <w:tcW w:w="2719" w:type="dxa"/>
            <w:gridSpan w:val="3"/>
            <w:tcBorders>
              <w:top w:val="single" w:sz="4" w:space="0" w:color="auto"/>
              <w:left w:val="nil"/>
              <w:bottom w:val="single" w:sz="4" w:space="0" w:color="auto"/>
              <w:right w:val="single" w:sz="4" w:space="0" w:color="auto"/>
            </w:tcBorders>
            <w:shd w:val="clear" w:color="000000" w:fill="D0CECE"/>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Metas Físicas</w:t>
            </w:r>
          </w:p>
        </w:tc>
      </w:tr>
      <w:tr w:rsidR="009309AC" w:rsidRPr="009309AC" w:rsidTr="009309AC">
        <w:trPr>
          <w:trHeight w:val="227"/>
          <w:tblHeader/>
        </w:trPr>
        <w:tc>
          <w:tcPr>
            <w:tcW w:w="332" w:type="dxa"/>
            <w:vMerge/>
            <w:tcBorders>
              <w:top w:val="single" w:sz="4" w:space="0" w:color="auto"/>
              <w:left w:val="single" w:sz="4" w:space="0" w:color="auto"/>
              <w:bottom w:val="single" w:sz="4" w:space="0" w:color="auto"/>
              <w:right w:val="single" w:sz="4" w:space="0" w:color="auto"/>
            </w:tcBorders>
            <w:vAlign w:val="center"/>
            <w:hideMark/>
          </w:tcPr>
          <w:p w:rsidR="009309AC" w:rsidRPr="009309AC" w:rsidRDefault="009309AC" w:rsidP="009309AC">
            <w:pPr>
              <w:spacing w:after="0" w:line="240" w:lineRule="auto"/>
              <w:rPr>
                <w:rFonts w:ascii="Calibri" w:eastAsia="Times New Roman" w:hAnsi="Calibri" w:cs="Calibri"/>
                <w:b/>
                <w:bCs/>
                <w:color w:val="000000"/>
                <w:sz w:val="16"/>
                <w:szCs w:val="16"/>
                <w:lang w:eastAsia="es-CO"/>
              </w:rPr>
            </w:pPr>
          </w:p>
        </w:tc>
        <w:tc>
          <w:tcPr>
            <w:tcW w:w="5900" w:type="dxa"/>
            <w:vMerge/>
            <w:tcBorders>
              <w:top w:val="single" w:sz="4" w:space="0" w:color="auto"/>
              <w:left w:val="single" w:sz="4" w:space="0" w:color="auto"/>
              <w:bottom w:val="single" w:sz="4" w:space="0" w:color="auto"/>
              <w:right w:val="single" w:sz="4" w:space="0" w:color="auto"/>
            </w:tcBorders>
            <w:vAlign w:val="center"/>
            <w:hideMark/>
          </w:tcPr>
          <w:p w:rsidR="009309AC" w:rsidRPr="009309AC" w:rsidRDefault="009309AC" w:rsidP="009309AC">
            <w:pPr>
              <w:spacing w:after="0" w:line="240" w:lineRule="auto"/>
              <w:rPr>
                <w:rFonts w:ascii="Calibri" w:eastAsia="Times New Roman" w:hAnsi="Calibri" w:cs="Calibri"/>
                <w:b/>
                <w:bCs/>
                <w:color w:val="000000"/>
                <w:sz w:val="16"/>
                <w:szCs w:val="16"/>
                <w:lang w:eastAsia="es-CO"/>
              </w:rPr>
            </w:pPr>
          </w:p>
        </w:tc>
        <w:tc>
          <w:tcPr>
            <w:tcW w:w="851" w:type="dxa"/>
            <w:tcBorders>
              <w:top w:val="single" w:sz="4" w:space="0" w:color="auto"/>
              <w:left w:val="nil"/>
              <w:bottom w:val="nil"/>
              <w:right w:val="single" w:sz="4" w:space="0" w:color="auto"/>
            </w:tcBorders>
            <w:shd w:val="clear" w:color="000000" w:fill="D0CECE"/>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Longitud (Km)</w:t>
            </w:r>
          </w:p>
        </w:tc>
        <w:tc>
          <w:tcPr>
            <w:tcW w:w="1134" w:type="dxa"/>
            <w:tcBorders>
              <w:top w:val="single" w:sz="4" w:space="0" w:color="auto"/>
              <w:left w:val="nil"/>
              <w:bottom w:val="nil"/>
              <w:right w:val="single" w:sz="4" w:space="0" w:color="auto"/>
            </w:tcBorders>
            <w:shd w:val="clear" w:color="000000" w:fill="D0CECE"/>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Espacio Público (M2)</w:t>
            </w:r>
          </w:p>
        </w:tc>
        <w:tc>
          <w:tcPr>
            <w:tcW w:w="734" w:type="dxa"/>
            <w:tcBorders>
              <w:top w:val="single" w:sz="4" w:space="0" w:color="auto"/>
              <w:left w:val="nil"/>
              <w:bottom w:val="nil"/>
              <w:right w:val="single" w:sz="4" w:space="0" w:color="auto"/>
            </w:tcBorders>
            <w:shd w:val="clear" w:color="000000" w:fill="D0CECE"/>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Cicloruta (Km)</w:t>
            </w:r>
          </w:p>
        </w:tc>
      </w:tr>
      <w:tr w:rsidR="009309AC" w:rsidRPr="009309AC" w:rsidTr="009309AC">
        <w:trPr>
          <w:trHeight w:val="227"/>
        </w:trPr>
        <w:tc>
          <w:tcPr>
            <w:tcW w:w="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1</w:t>
            </w:r>
          </w:p>
        </w:tc>
        <w:tc>
          <w:tcPr>
            <w:tcW w:w="5900" w:type="dxa"/>
            <w:tcBorders>
              <w:top w:val="single" w:sz="4" w:space="0" w:color="auto"/>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APP Autopista Norte desde la Calle 192 hasta la Calle 245. Accesos Norte.</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5.7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115,000</w:t>
            </w:r>
          </w:p>
        </w:tc>
        <w:tc>
          <w:tcPr>
            <w:tcW w:w="734" w:type="dxa"/>
            <w:tcBorders>
              <w:top w:val="single" w:sz="4" w:space="0" w:color="auto"/>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0.0</w:t>
            </w:r>
          </w:p>
        </w:tc>
      </w:tr>
      <w:tr w:rsidR="009309AC" w:rsidRPr="009309AC" w:rsidTr="009309AC">
        <w:trPr>
          <w:trHeight w:val="227"/>
        </w:trPr>
        <w:tc>
          <w:tcPr>
            <w:tcW w:w="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2</w:t>
            </w:r>
          </w:p>
        </w:tc>
        <w:tc>
          <w:tcPr>
            <w:tcW w:w="5900" w:type="dxa"/>
            <w:tcBorders>
              <w:top w:val="single" w:sz="4" w:space="0" w:color="auto"/>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 xml:space="preserve">APP Carrera 7 desde la Calle 182 hasta la Calle 245. Accesos Norte.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7.0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140,000</w:t>
            </w:r>
          </w:p>
        </w:tc>
        <w:tc>
          <w:tcPr>
            <w:tcW w:w="734" w:type="dxa"/>
            <w:tcBorders>
              <w:top w:val="single" w:sz="4" w:space="0" w:color="auto"/>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0.0</w:t>
            </w:r>
          </w:p>
        </w:tc>
      </w:tr>
      <w:tr w:rsidR="009309AC" w:rsidRPr="009309AC" w:rsidTr="009309AC">
        <w:trPr>
          <w:trHeight w:val="227"/>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3</w:t>
            </w:r>
          </w:p>
        </w:tc>
        <w:tc>
          <w:tcPr>
            <w:tcW w:w="5900"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 xml:space="preserve">APP Avenida Longitudinal de Occidente desde Chusacá hasta la Calle 13. Sociedad Futura ALO Sur S.A.S. (Mario Huertas). </w:t>
            </w:r>
          </w:p>
        </w:tc>
        <w:tc>
          <w:tcPr>
            <w:tcW w:w="851"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21.7</w:t>
            </w:r>
          </w:p>
        </w:tc>
        <w:tc>
          <w:tcPr>
            <w:tcW w:w="11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160,000</w:t>
            </w:r>
          </w:p>
        </w:tc>
        <w:tc>
          <w:tcPr>
            <w:tcW w:w="7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0.0</w:t>
            </w:r>
          </w:p>
        </w:tc>
      </w:tr>
      <w:tr w:rsidR="009309AC" w:rsidRPr="009309AC" w:rsidTr="009309AC">
        <w:trPr>
          <w:trHeight w:val="227"/>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4</w:t>
            </w:r>
          </w:p>
        </w:tc>
        <w:tc>
          <w:tcPr>
            <w:tcW w:w="5900"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Autonorte desde Héroes hasta la Calle 193.</w:t>
            </w:r>
          </w:p>
        </w:tc>
        <w:tc>
          <w:tcPr>
            <w:tcW w:w="851"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20.6</w:t>
            </w:r>
          </w:p>
        </w:tc>
        <w:tc>
          <w:tcPr>
            <w:tcW w:w="11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424,483</w:t>
            </w:r>
          </w:p>
        </w:tc>
        <w:tc>
          <w:tcPr>
            <w:tcW w:w="7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20.0</w:t>
            </w:r>
          </w:p>
        </w:tc>
      </w:tr>
      <w:tr w:rsidR="009309AC" w:rsidRPr="009309AC" w:rsidTr="009309AC">
        <w:trPr>
          <w:trHeight w:val="227"/>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5</w:t>
            </w:r>
          </w:p>
        </w:tc>
        <w:tc>
          <w:tcPr>
            <w:tcW w:w="5900"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Avenida Boyacá́ desde la Calle 183 a conectarse con la Troncal del peaje y conexión Autonorte por Avenida Guaymaral</w:t>
            </w:r>
          </w:p>
        </w:tc>
        <w:tc>
          <w:tcPr>
            <w:tcW w:w="851"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8.7</w:t>
            </w:r>
          </w:p>
        </w:tc>
        <w:tc>
          <w:tcPr>
            <w:tcW w:w="11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273,536</w:t>
            </w:r>
          </w:p>
        </w:tc>
        <w:tc>
          <w:tcPr>
            <w:tcW w:w="7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17.8</w:t>
            </w:r>
          </w:p>
        </w:tc>
      </w:tr>
      <w:tr w:rsidR="009309AC" w:rsidRPr="009309AC" w:rsidTr="009309AC">
        <w:trPr>
          <w:trHeight w:val="227"/>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6</w:t>
            </w:r>
          </w:p>
        </w:tc>
        <w:tc>
          <w:tcPr>
            <w:tcW w:w="5900"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Conexión Regional Canal Salitre y Río Negro desde el Río Bogotá́ hasta la NQS y la Carrera 7</w:t>
            </w:r>
          </w:p>
        </w:tc>
        <w:tc>
          <w:tcPr>
            <w:tcW w:w="851"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13.5</w:t>
            </w:r>
          </w:p>
        </w:tc>
        <w:tc>
          <w:tcPr>
            <w:tcW w:w="11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548,255</w:t>
            </w:r>
          </w:p>
        </w:tc>
        <w:tc>
          <w:tcPr>
            <w:tcW w:w="7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28.2</w:t>
            </w:r>
          </w:p>
        </w:tc>
      </w:tr>
      <w:tr w:rsidR="009309AC" w:rsidRPr="009309AC" w:rsidTr="009309AC">
        <w:trPr>
          <w:trHeight w:val="227"/>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7</w:t>
            </w:r>
          </w:p>
        </w:tc>
        <w:tc>
          <w:tcPr>
            <w:tcW w:w="5900" w:type="dxa"/>
            <w:tcBorders>
              <w:top w:val="nil"/>
              <w:left w:val="nil"/>
              <w:bottom w:val="single" w:sz="4" w:space="0" w:color="auto"/>
              <w:right w:val="single" w:sz="4" w:space="0" w:color="auto"/>
            </w:tcBorders>
            <w:shd w:val="clear" w:color="auto" w:fill="auto"/>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Av. San José (calle 170) desde la Av. Alberto Lleras Camargo (Carrera 7) hasta la carrera 92, a lo largo del corredor de la vía Suba-Cota hasta el LD - Río Bogotá</w:t>
            </w:r>
          </w:p>
        </w:tc>
        <w:tc>
          <w:tcPr>
            <w:tcW w:w="851"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11.8</w:t>
            </w:r>
          </w:p>
        </w:tc>
        <w:tc>
          <w:tcPr>
            <w:tcW w:w="11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395,232</w:t>
            </w:r>
          </w:p>
        </w:tc>
        <w:tc>
          <w:tcPr>
            <w:tcW w:w="7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21.1</w:t>
            </w:r>
          </w:p>
        </w:tc>
      </w:tr>
      <w:tr w:rsidR="009309AC" w:rsidRPr="009309AC" w:rsidTr="009309AC">
        <w:trPr>
          <w:trHeight w:val="227"/>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8</w:t>
            </w:r>
          </w:p>
        </w:tc>
        <w:tc>
          <w:tcPr>
            <w:tcW w:w="5900"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FASE I. Portal Norte</w:t>
            </w:r>
          </w:p>
        </w:tc>
        <w:tc>
          <w:tcPr>
            <w:tcW w:w="2719" w:type="dxa"/>
            <w:gridSpan w:val="3"/>
            <w:tcBorders>
              <w:top w:val="single" w:sz="4" w:space="0" w:color="auto"/>
              <w:left w:val="nil"/>
              <w:bottom w:val="single" w:sz="4" w:space="0" w:color="auto"/>
              <w:right w:val="single" w:sz="4" w:space="0" w:color="000000"/>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 xml:space="preserve">AMPLIACIÓN INFRAESTRUCTURA </w:t>
            </w:r>
          </w:p>
        </w:tc>
      </w:tr>
      <w:tr w:rsidR="009309AC" w:rsidRPr="009309AC" w:rsidTr="009309AC">
        <w:trPr>
          <w:trHeight w:val="227"/>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9</w:t>
            </w:r>
          </w:p>
        </w:tc>
        <w:tc>
          <w:tcPr>
            <w:tcW w:w="5900"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Patio terminal San José Bosa</w:t>
            </w:r>
          </w:p>
        </w:tc>
        <w:tc>
          <w:tcPr>
            <w:tcW w:w="2719" w:type="dxa"/>
            <w:gridSpan w:val="3"/>
            <w:tcBorders>
              <w:top w:val="single" w:sz="4" w:space="0" w:color="auto"/>
              <w:left w:val="nil"/>
              <w:bottom w:val="single" w:sz="4" w:space="0" w:color="auto"/>
              <w:right w:val="single" w:sz="4" w:space="0" w:color="000000"/>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 xml:space="preserve">AMPLIACIÓN INFRAESTRUCTURA </w:t>
            </w:r>
          </w:p>
        </w:tc>
      </w:tr>
      <w:tr w:rsidR="009309AC" w:rsidRPr="009309AC" w:rsidTr="009309AC">
        <w:trPr>
          <w:trHeight w:val="227"/>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10</w:t>
            </w:r>
          </w:p>
        </w:tc>
        <w:tc>
          <w:tcPr>
            <w:tcW w:w="5900"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Patio terminal Zonal Cerros de Oriente Rafael Uribe</w:t>
            </w:r>
          </w:p>
        </w:tc>
        <w:tc>
          <w:tcPr>
            <w:tcW w:w="2719" w:type="dxa"/>
            <w:gridSpan w:val="3"/>
            <w:tcBorders>
              <w:top w:val="single" w:sz="4" w:space="0" w:color="auto"/>
              <w:left w:val="nil"/>
              <w:bottom w:val="single" w:sz="4" w:space="0" w:color="auto"/>
              <w:right w:val="single" w:sz="4" w:space="0" w:color="000000"/>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 xml:space="preserve">AMPLIACIÓN INFRAESTRUCTURA </w:t>
            </w:r>
          </w:p>
        </w:tc>
      </w:tr>
      <w:tr w:rsidR="009309AC" w:rsidRPr="009309AC" w:rsidTr="009309AC">
        <w:trPr>
          <w:trHeight w:val="227"/>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11</w:t>
            </w:r>
          </w:p>
        </w:tc>
        <w:tc>
          <w:tcPr>
            <w:tcW w:w="5900"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Patio terminal Zonal Bachue</w:t>
            </w:r>
          </w:p>
        </w:tc>
        <w:tc>
          <w:tcPr>
            <w:tcW w:w="2719" w:type="dxa"/>
            <w:gridSpan w:val="3"/>
            <w:tcBorders>
              <w:top w:val="single" w:sz="4" w:space="0" w:color="auto"/>
              <w:left w:val="nil"/>
              <w:bottom w:val="single" w:sz="4" w:space="0" w:color="auto"/>
              <w:right w:val="single" w:sz="4" w:space="0" w:color="000000"/>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 xml:space="preserve">AMPLIACIÓN INFRAESTRUCTURA </w:t>
            </w:r>
          </w:p>
        </w:tc>
      </w:tr>
      <w:tr w:rsidR="009309AC" w:rsidRPr="009309AC" w:rsidTr="009309AC">
        <w:trPr>
          <w:trHeight w:val="227"/>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12</w:t>
            </w:r>
          </w:p>
        </w:tc>
        <w:tc>
          <w:tcPr>
            <w:tcW w:w="5900"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Avenida Jorge Uribe Botero (Kr. 15) desde la Cl. 134 hasta la Cl. 170 (Canal Cedro, Rionorte)</w:t>
            </w:r>
          </w:p>
        </w:tc>
        <w:tc>
          <w:tcPr>
            <w:tcW w:w="851"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3.8</w:t>
            </w:r>
          </w:p>
        </w:tc>
        <w:tc>
          <w:tcPr>
            <w:tcW w:w="11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39,400</w:t>
            </w:r>
          </w:p>
        </w:tc>
        <w:tc>
          <w:tcPr>
            <w:tcW w:w="7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3.8</w:t>
            </w:r>
          </w:p>
        </w:tc>
      </w:tr>
      <w:tr w:rsidR="009309AC" w:rsidRPr="009309AC" w:rsidTr="009309AC">
        <w:trPr>
          <w:trHeight w:val="227"/>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13</w:t>
            </w:r>
          </w:p>
        </w:tc>
        <w:tc>
          <w:tcPr>
            <w:tcW w:w="5900"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Avenida Santa Bárbara (AK 19) desde la Cl. 127 hasta la Cl. 134</w:t>
            </w:r>
          </w:p>
        </w:tc>
        <w:tc>
          <w:tcPr>
            <w:tcW w:w="851"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1.3</w:t>
            </w:r>
          </w:p>
        </w:tc>
        <w:tc>
          <w:tcPr>
            <w:tcW w:w="11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21,100</w:t>
            </w:r>
          </w:p>
        </w:tc>
        <w:tc>
          <w:tcPr>
            <w:tcW w:w="7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1.3</w:t>
            </w:r>
          </w:p>
        </w:tc>
      </w:tr>
      <w:tr w:rsidR="009309AC" w:rsidRPr="009309AC" w:rsidTr="009309AC">
        <w:trPr>
          <w:trHeight w:val="227"/>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14</w:t>
            </w:r>
          </w:p>
        </w:tc>
        <w:tc>
          <w:tcPr>
            <w:tcW w:w="5900"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Avenida la Sirena (Cl. 153) desde Autopista Norte hasta Av. Boyacá (Costado Norte)</w:t>
            </w:r>
          </w:p>
        </w:tc>
        <w:tc>
          <w:tcPr>
            <w:tcW w:w="851"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1.8</w:t>
            </w:r>
          </w:p>
        </w:tc>
        <w:tc>
          <w:tcPr>
            <w:tcW w:w="11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17,100</w:t>
            </w:r>
          </w:p>
        </w:tc>
        <w:tc>
          <w:tcPr>
            <w:tcW w:w="7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0.0</w:t>
            </w:r>
          </w:p>
        </w:tc>
      </w:tr>
      <w:tr w:rsidR="009309AC" w:rsidRPr="009309AC" w:rsidTr="009309AC">
        <w:trPr>
          <w:trHeight w:val="227"/>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15</w:t>
            </w:r>
          </w:p>
        </w:tc>
        <w:tc>
          <w:tcPr>
            <w:tcW w:w="5900"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Avenida Contador (Cl. 134) desde Av. Carrera 7 hasta la Autopista Norte</w:t>
            </w:r>
          </w:p>
        </w:tc>
        <w:tc>
          <w:tcPr>
            <w:tcW w:w="851"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1.6</w:t>
            </w:r>
          </w:p>
        </w:tc>
        <w:tc>
          <w:tcPr>
            <w:tcW w:w="11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16,700</w:t>
            </w:r>
          </w:p>
        </w:tc>
        <w:tc>
          <w:tcPr>
            <w:tcW w:w="7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2.3</w:t>
            </w:r>
          </w:p>
        </w:tc>
      </w:tr>
      <w:tr w:rsidR="009309AC" w:rsidRPr="009309AC" w:rsidTr="009309AC">
        <w:trPr>
          <w:trHeight w:val="227"/>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16</w:t>
            </w:r>
          </w:p>
        </w:tc>
        <w:tc>
          <w:tcPr>
            <w:tcW w:w="5900"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Reconstrucción de Vías Zona Industrial de Montevideo y Puente Aranda</w:t>
            </w:r>
          </w:p>
        </w:tc>
        <w:tc>
          <w:tcPr>
            <w:tcW w:w="851"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70.0</w:t>
            </w:r>
          </w:p>
        </w:tc>
        <w:tc>
          <w:tcPr>
            <w:tcW w:w="11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170,000</w:t>
            </w:r>
          </w:p>
        </w:tc>
        <w:tc>
          <w:tcPr>
            <w:tcW w:w="7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0.0</w:t>
            </w:r>
          </w:p>
        </w:tc>
      </w:tr>
      <w:tr w:rsidR="009309AC" w:rsidRPr="009309AC" w:rsidTr="009309AC">
        <w:trPr>
          <w:trHeight w:val="227"/>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17</w:t>
            </w:r>
          </w:p>
        </w:tc>
        <w:tc>
          <w:tcPr>
            <w:tcW w:w="5900"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Ciclopuente Canal Molinos</w:t>
            </w:r>
          </w:p>
        </w:tc>
        <w:tc>
          <w:tcPr>
            <w:tcW w:w="2719" w:type="dxa"/>
            <w:gridSpan w:val="3"/>
            <w:tcBorders>
              <w:top w:val="single" w:sz="4" w:space="0" w:color="auto"/>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1 CICLOPUENTE</w:t>
            </w:r>
          </w:p>
        </w:tc>
      </w:tr>
      <w:tr w:rsidR="009309AC" w:rsidRPr="009309AC" w:rsidTr="009309AC">
        <w:trPr>
          <w:trHeight w:val="227"/>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lastRenderedPageBreak/>
              <w:t>18</w:t>
            </w:r>
          </w:p>
        </w:tc>
        <w:tc>
          <w:tcPr>
            <w:tcW w:w="5900" w:type="dxa"/>
            <w:tcBorders>
              <w:top w:val="nil"/>
              <w:left w:val="nil"/>
              <w:bottom w:val="single" w:sz="4" w:space="0" w:color="auto"/>
              <w:right w:val="single" w:sz="4" w:space="0" w:color="auto"/>
            </w:tcBorders>
            <w:shd w:val="clear" w:color="auto" w:fill="auto"/>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 xml:space="preserve">Puente Vehicular Quebrada Limas. 2 Puentes. </w:t>
            </w:r>
            <w:r w:rsidRPr="009309AC">
              <w:rPr>
                <w:rFonts w:ascii="Calibri" w:eastAsia="Times New Roman" w:hAnsi="Calibri" w:cs="Calibri"/>
                <w:color w:val="000000"/>
                <w:sz w:val="16"/>
                <w:szCs w:val="16"/>
                <w:lang w:eastAsia="es-CO"/>
              </w:rPr>
              <w:br/>
              <w:t>Diagonal 65A Sur por Carrera 20F</w:t>
            </w:r>
            <w:r w:rsidRPr="009309AC">
              <w:rPr>
                <w:rFonts w:ascii="Calibri" w:eastAsia="Times New Roman" w:hAnsi="Calibri" w:cs="Calibri"/>
                <w:color w:val="000000"/>
                <w:sz w:val="16"/>
                <w:szCs w:val="16"/>
                <w:lang w:eastAsia="es-CO"/>
              </w:rPr>
              <w:br/>
              <w:t>Diagonal 65A Sur por Carrera 22</w:t>
            </w:r>
          </w:p>
        </w:tc>
        <w:tc>
          <w:tcPr>
            <w:tcW w:w="2719" w:type="dxa"/>
            <w:gridSpan w:val="3"/>
            <w:tcBorders>
              <w:top w:val="single" w:sz="4" w:space="0" w:color="auto"/>
              <w:left w:val="nil"/>
              <w:bottom w:val="single" w:sz="4" w:space="0" w:color="auto"/>
              <w:right w:val="single" w:sz="4" w:space="0" w:color="000000"/>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 xml:space="preserve">2 PUENTES VEHICULARES  </w:t>
            </w:r>
          </w:p>
        </w:tc>
      </w:tr>
      <w:tr w:rsidR="009309AC" w:rsidRPr="009309AC" w:rsidTr="009309AC">
        <w:trPr>
          <w:trHeight w:val="227"/>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19</w:t>
            </w:r>
          </w:p>
        </w:tc>
        <w:tc>
          <w:tcPr>
            <w:tcW w:w="5900"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ACCESOS VIALES CIUDAD BOLIVAR</w:t>
            </w:r>
            <w:r w:rsidRPr="009309AC">
              <w:rPr>
                <w:rFonts w:ascii="Calibri" w:eastAsia="Times New Roman" w:hAnsi="Calibri" w:cs="Calibri"/>
                <w:color w:val="000000"/>
                <w:sz w:val="16"/>
                <w:szCs w:val="16"/>
                <w:lang w:eastAsia="es-CO"/>
              </w:rPr>
              <w:br/>
              <w:t>TRAMO I: ILLIMANI, TRAMO II: CABLE Y TRAMO III: CARACOLI</w:t>
            </w:r>
          </w:p>
        </w:tc>
        <w:tc>
          <w:tcPr>
            <w:tcW w:w="851"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7.2</w:t>
            </w:r>
          </w:p>
        </w:tc>
        <w:tc>
          <w:tcPr>
            <w:tcW w:w="11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197,824</w:t>
            </w:r>
          </w:p>
        </w:tc>
        <w:tc>
          <w:tcPr>
            <w:tcW w:w="7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14.4</w:t>
            </w:r>
          </w:p>
        </w:tc>
      </w:tr>
      <w:tr w:rsidR="009309AC" w:rsidRPr="009309AC" w:rsidTr="009309AC">
        <w:trPr>
          <w:trHeight w:val="227"/>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20</w:t>
            </w:r>
          </w:p>
        </w:tc>
        <w:tc>
          <w:tcPr>
            <w:tcW w:w="5900"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Puente Vehicular El Verjón</w:t>
            </w:r>
          </w:p>
        </w:tc>
        <w:tc>
          <w:tcPr>
            <w:tcW w:w="2719" w:type="dxa"/>
            <w:gridSpan w:val="3"/>
            <w:tcBorders>
              <w:top w:val="single" w:sz="4" w:space="0" w:color="auto"/>
              <w:left w:val="nil"/>
              <w:bottom w:val="single" w:sz="4" w:space="0" w:color="auto"/>
              <w:right w:val="single" w:sz="4" w:space="0" w:color="000000"/>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1 PUENTE VEHICULAR</w:t>
            </w:r>
          </w:p>
        </w:tc>
      </w:tr>
      <w:tr w:rsidR="009309AC" w:rsidRPr="009309AC" w:rsidTr="009309AC">
        <w:trPr>
          <w:trHeight w:val="227"/>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21</w:t>
            </w:r>
          </w:p>
        </w:tc>
        <w:tc>
          <w:tcPr>
            <w:tcW w:w="5900"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Puente Vehicular Quebrada Hoya del Ramo TV 3D BIS Con DG 61 S</w:t>
            </w:r>
          </w:p>
        </w:tc>
        <w:tc>
          <w:tcPr>
            <w:tcW w:w="2719" w:type="dxa"/>
            <w:gridSpan w:val="3"/>
            <w:tcBorders>
              <w:top w:val="single" w:sz="4" w:space="0" w:color="auto"/>
              <w:left w:val="nil"/>
              <w:bottom w:val="single" w:sz="4" w:space="0" w:color="auto"/>
              <w:right w:val="single" w:sz="4" w:space="0" w:color="000000"/>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1 PUENTE VEHICULAR</w:t>
            </w:r>
          </w:p>
        </w:tc>
      </w:tr>
      <w:tr w:rsidR="009309AC" w:rsidRPr="009309AC" w:rsidTr="009309AC">
        <w:trPr>
          <w:trHeight w:val="227"/>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22</w:t>
            </w:r>
          </w:p>
        </w:tc>
        <w:tc>
          <w:tcPr>
            <w:tcW w:w="5900"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Red Peatonal Minuto</w:t>
            </w:r>
          </w:p>
        </w:tc>
        <w:tc>
          <w:tcPr>
            <w:tcW w:w="851"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0.0</w:t>
            </w:r>
          </w:p>
        </w:tc>
        <w:tc>
          <w:tcPr>
            <w:tcW w:w="11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193,638</w:t>
            </w:r>
          </w:p>
        </w:tc>
        <w:tc>
          <w:tcPr>
            <w:tcW w:w="7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6.9</w:t>
            </w:r>
          </w:p>
        </w:tc>
      </w:tr>
      <w:tr w:rsidR="009309AC" w:rsidRPr="009309AC" w:rsidTr="009309AC">
        <w:trPr>
          <w:trHeight w:val="227"/>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23</w:t>
            </w:r>
          </w:p>
        </w:tc>
        <w:tc>
          <w:tcPr>
            <w:tcW w:w="5900"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COMEXIONES PEATONALES QUEBRADA LIMAS</w:t>
            </w:r>
            <w:r w:rsidRPr="009309AC">
              <w:rPr>
                <w:rFonts w:ascii="Calibri" w:eastAsia="Times New Roman" w:hAnsi="Calibri" w:cs="Calibri"/>
                <w:color w:val="000000"/>
                <w:sz w:val="16"/>
                <w:szCs w:val="16"/>
                <w:lang w:eastAsia="es-CO"/>
              </w:rPr>
              <w:br/>
              <w:t>1. Carrera 21A por Diagonal 65A Sur</w:t>
            </w:r>
            <w:r w:rsidRPr="009309AC">
              <w:rPr>
                <w:rFonts w:ascii="Calibri" w:eastAsia="Times New Roman" w:hAnsi="Calibri" w:cs="Calibri"/>
                <w:color w:val="000000"/>
                <w:sz w:val="16"/>
                <w:szCs w:val="16"/>
                <w:lang w:eastAsia="es-CO"/>
              </w:rPr>
              <w:br/>
              <w:t>2. Carrera 20D por Diagonal 65A Sur</w:t>
            </w:r>
            <w:r w:rsidRPr="009309AC">
              <w:rPr>
                <w:rFonts w:ascii="Calibri" w:eastAsia="Times New Roman" w:hAnsi="Calibri" w:cs="Calibri"/>
                <w:color w:val="000000"/>
                <w:sz w:val="16"/>
                <w:szCs w:val="16"/>
                <w:lang w:eastAsia="es-CO"/>
              </w:rPr>
              <w:br/>
              <w:t>3. Calle 67 Sur Carrera 20B</w:t>
            </w:r>
            <w:r w:rsidRPr="009309AC">
              <w:rPr>
                <w:rFonts w:ascii="Calibri" w:eastAsia="Times New Roman" w:hAnsi="Calibri" w:cs="Calibri"/>
                <w:color w:val="000000"/>
                <w:sz w:val="16"/>
                <w:szCs w:val="16"/>
                <w:lang w:eastAsia="es-CO"/>
              </w:rPr>
              <w:br/>
              <w:t>4. Carrera 19B por Calle 68D Sur</w:t>
            </w:r>
          </w:p>
        </w:tc>
        <w:tc>
          <w:tcPr>
            <w:tcW w:w="2719" w:type="dxa"/>
            <w:gridSpan w:val="3"/>
            <w:tcBorders>
              <w:top w:val="single" w:sz="4" w:space="0" w:color="auto"/>
              <w:left w:val="nil"/>
              <w:bottom w:val="single" w:sz="4" w:space="0" w:color="auto"/>
              <w:right w:val="single" w:sz="4" w:space="0" w:color="000000"/>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4 PUENTES PEATONALES</w:t>
            </w:r>
          </w:p>
        </w:tc>
      </w:tr>
      <w:tr w:rsidR="009309AC" w:rsidRPr="009309AC" w:rsidTr="009309AC">
        <w:trPr>
          <w:trHeight w:val="227"/>
        </w:trPr>
        <w:tc>
          <w:tcPr>
            <w:tcW w:w="332" w:type="dxa"/>
            <w:tcBorders>
              <w:top w:val="nil"/>
              <w:left w:val="single" w:sz="4" w:space="0" w:color="auto"/>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24</w:t>
            </w:r>
          </w:p>
        </w:tc>
        <w:tc>
          <w:tcPr>
            <w:tcW w:w="5900"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Bicipuente sobre la Quebrada Tibanica, Bogotá, Soacha.</w:t>
            </w:r>
          </w:p>
        </w:tc>
        <w:tc>
          <w:tcPr>
            <w:tcW w:w="851"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 </w:t>
            </w:r>
          </w:p>
        </w:tc>
        <w:tc>
          <w:tcPr>
            <w:tcW w:w="11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 </w:t>
            </w:r>
          </w:p>
        </w:tc>
        <w:tc>
          <w:tcPr>
            <w:tcW w:w="734" w:type="dxa"/>
            <w:tcBorders>
              <w:top w:val="nil"/>
              <w:left w:val="nil"/>
              <w:bottom w:val="single" w:sz="4" w:space="0" w:color="auto"/>
              <w:right w:val="single" w:sz="4" w:space="0" w:color="auto"/>
            </w:tcBorders>
            <w:shd w:val="clear" w:color="auto" w:fill="auto"/>
            <w:noWrap/>
            <w:vAlign w:val="center"/>
            <w:hideMark/>
          </w:tcPr>
          <w:p w:rsidR="009309AC" w:rsidRPr="009309AC" w:rsidRDefault="009309AC" w:rsidP="009309AC">
            <w:pPr>
              <w:spacing w:after="0" w:line="240" w:lineRule="auto"/>
              <w:jc w:val="center"/>
              <w:rPr>
                <w:rFonts w:ascii="Calibri" w:eastAsia="Times New Roman" w:hAnsi="Calibri" w:cs="Calibri"/>
                <w:color w:val="000000"/>
                <w:sz w:val="16"/>
                <w:szCs w:val="16"/>
                <w:lang w:eastAsia="es-CO"/>
              </w:rPr>
            </w:pPr>
            <w:r w:rsidRPr="009309AC">
              <w:rPr>
                <w:rFonts w:ascii="Calibri" w:eastAsia="Times New Roman" w:hAnsi="Calibri" w:cs="Calibri"/>
                <w:color w:val="000000"/>
                <w:sz w:val="16"/>
                <w:szCs w:val="16"/>
                <w:lang w:eastAsia="es-CO"/>
              </w:rPr>
              <w:t> </w:t>
            </w:r>
          </w:p>
        </w:tc>
      </w:tr>
      <w:tr w:rsidR="009309AC" w:rsidRPr="009309AC" w:rsidTr="009309AC">
        <w:trPr>
          <w:trHeight w:val="227"/>
        </w:trPr>
        <w:tc>
          <w:tcPr>
            <w:tcW w:w="6232" w:type="dxa"/>
            <w:gridSpan w:val="2"/>
            <w:tcBorders>
              <w:top w:val="single" w:sz="4" w:space="0" w:color="auto"/>
              <w:left w:val="single" w:sz="4" w:space="0" w:color="auto"/>
              <w:bottom w:val="single" w:sz="4" w:space="0" w:color="auto"/>
              <w:right w:val="single" w:sz="4" w:space="0" w:color="000000"/>
            </w:tcBorders>
            <w:shd w:val="clear" w:color="000000" w:fill="D0CECE"/>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TOTALES</w:t>
            </w:r>
          </w:p>
        </w:tc>
        <w:tc>
          <w:tcPr>
            <w:tcW w:w="851" w:type="dxa"/>
            <w:tcBorders>
              <w:top w:val="nil"/>
              <w:left w:val="nil"/>
              <w:bottom w:val="single" w:sz="4" w:space="0" w:color="auto"/>
              <w:right w:val="single" w:sz="4" w:space="0" w:color="auto"/>
            </w:tcBorders>
            <w:shd w:val="clear" w:color="000000" w:fill="D0CECE"/>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174.7</w:t>
            </w:r>
          </w:p>
        </w:tc>
        <w:tc>
          <w:tcPr>
            <w:tcW w:w="1134" w:type="dxa"/>
            <w:tcBorders>
              <w:top w:val="nil"/>
              <w:left w:val="nil"/>
              <w:bottom w:val="single" w:sz="4" w:space="0" w:color="auto"/>
              <w:right w:val="single" w:sz="4" w:space="0" w:color="auto"/>
            </w:tcBorders>
            <w:shd w:val="clear" w:color="000000" w:fill="D0CECE"/>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2,712,268</w:t>
            </w:r>
          </w:p>
        </w:tc>
        <w:tc>
          <w:tcPr>
            <w:tcW w:w="734" w:type="dxa"/>
            <w:tcBorders>
              <w:top w:val="nil"/>
              <w:left w:val="nil"/>
              <w:bottom w:val="single" w:sz="4" w:space="0" w:color="auto"/>
              <w:right w:val="single" w:sz="4" w:space="0" w:color="auto"/>
            </w:tcBorders>
            <w:shd w:val="clear" w:color="000000" w:fill="D0CECE"/>
            <w:noWrap/>
            <w:vAlign w:val="center"/>
            <w:hideMark/>
          </w:tcPr>
          <w:p w:rsidR="009309AC" w:rsidRPr="009309AC" w:rsidRDefault="009309AC" w:rsidP="009309AC">
            <w:pPr>
              <w:spacing w:after="0" w:line="240" w:lineRule="auto"/>
              <w:jc w:val="center"/>
              <w:rPr>
                <w:rFonts w:ascii="Calibri" w:eastAsia="Times New Roman" w:hAnsi="Calibri" w:cs="Calibri"/>
                <w:b/>
                <w:bCs/>
                <w:color w:val="000000"/>
                <w:sz w:val="16"/>
                <w:szCs w:val="16"/>
                <w:lang w:eastAsia="es-CO"/>
              </w:rPr>
            </w:pPr>
            <w:r w:rsidRPr="009309AC">
              <w:rPr>
                <w:rFonts w:ascii="Calibri" w:eastAsia="Times New Roman" w:hAnsi="Calibri" w:cs="Calibri"/>
                <w:b/>
                <w:bCs/>
                <w:color w:val="000000"/>
                <w:sz w:val="16"/>
                <w:szCs w:val="16"/>
                <w:lang w:eastAsia="es-CO"/>
              </w:rPr>
              <w:t>115.8</w:t>
            </w:r>
          </w:p>
        </w:tc>
      </w:tr>
    </w:tbl>
    <w:p w:rsidR="009309AC" w:rsidRDefault="009309AC" w:rsidP="00BE56D6">
      <w:pPr>
        <w:spacing w:line="276" w:lineRule="auto"/>
        <w:jc w:val="both"/>
        <w:rPr>
          <w:rFonts w:ascii="Arial" w:hAnsi="Arial" w:cs="Arial"/>
        </w:rPr>
      </w:pPr>
    </w:p>
    <w:p w:rsidR="009309AC" w:rsidRPr="00AC30EC" w:rsidRDefault="009309AC" w:rsidP="00BE56D6">
      <w:pPr>
        <w:spacing w:line="276" w:lineRule="auto"/>
        <w:jc w:val="both"/>
        <w:rPr>
          <w:rFonts w:ascii="Arial" w:hAnsi="Arial" w:cs="Arial"/>
        </w:rPr>
      </w:pPr>
    </w:p>
    <w:p w:rsidR="00FC323E" w:rsidRPr="00FC323E" w:rsidRDefault="00110CF4" w:rsidP="00F35F4D">
      <w:pPr>
        <w:pStyle w:val="Ttulo2"/>
        <w:numPr>
          <w:ilvl w:val="0"/>
          <w:numId w:val="0"/>
        </w:numPr>
        <w:ind w:left="1428" w:hanging="360"/>
        <w:jc w:val="center"/>
        <w:rPr>
          <w:sz w:val="24"/>
          <w:szCs w:val="24"/>
        </w:rPr>
      </w:pPr>
      <w:bookmarkStart w:id="85" w:name="_Toc30774630"/>
      <w:r w:rsidRPr="00F35F4D">
        <w:rPr>
          <w:sz w:val="24"/>
          <w:szCs w:val="24"/>
        </w:rPr>
        <w:t xml:space="preserve">CAPITULO 6. </w:t>
      </w:r>
      <w:bookmarkStart w:id="86" w:name="_Toc27665246"/>
      <w:r w:rsidR="00FC323E" w:rsidRPr="00FC323E">
        <w:rPr>
          <w:sz w:val="24"/>
          <w:szCs w:val="24"/>
        </w:rPr>
        <w:t>GESTIÓN AMBIENTAL DE LOS PROYECTOS IDU</w:t>
      </w:r>
      <w:bookmarkEnd w:id="85"/>
      <w:bookmarkEnd w:id="86"/>
    </w:p>
    <w:p w:rsidR="00BE56D6" w:rsidRPr="0084149C" w:rsidRDefault="00BE56D6" w:rsidP="0084149C">
      <w:pPr>
        <w:spacing w:line="276" w:lineRule="auto"/>
        <w:jc w:val="both"/>
        <w:rPr>
          <w:rFonts w:ascii="Arial" w:hAnsi="Arial" w:cs="Arial"/>
          <w:sz w:val="24"/>
          <w:szCs w:val="24"/>
        </w:rPr>
      </w:pPr>
    </w:p>
    <w:p w:rsidR="0084149C" w:rsidRPr="0084149C" w:rsidRDefault="0084149C" w:rsidP="0084149C">
      <w:pPr>
        <w:spacing w:line="276" w:lineRule="auto"/>
        <w:jc w:val="both"/>
        <w:rPr>
          <w:rFonts w:ascii="Arial" w:hAnsi="Arial" w:cs="Arial"/>
        </w:rPr>
      </w:pPr>
      <w:r w:rsidRPr="0084149C">
        <w:rPr>
          <w:rFonts w:ascii="Arial" w:hAnsi="Arial" w:cs="Arial"/>
        </w:rPr>
        <w:t>Con la redacción e implementación del Manual de Control y Seguimiento Ambiental del IDU, un documento que consolida la línea de trabajo y los procedimientos para estandarizar la gestión ambiental, se simplificó el PIPAM (Plan de Implementación del Manejo Ambiental de la Obra), que destaca las reglas del juego de los contratistas para cumplir con el marco normativo y de control y mitigación de los impactos ambientales en la ejecución de las obras.</w:t>
      </w:r>
    </w:p>
    <w:p w:rsidR="0084149C" w:rsidRPr="0084149C" w:rsidRDefault="0084149C" w:rsidP="0084149C">
      <w:pPr>
        <w:spacing w:line="276" w:lineRule="auto"/>
        <w:jc w:val="both"/>
        <w:rPr>
          <w:rFonts w:ascii="Arial" w:hAnsi="Arial" w:cs="Arial"/>
        </w:rPr>
      </w:pPr>
    </w:p>
    <w:p w:rsidR="0084149C" w:rsidRPr="0084149C" w:rsidRDefault="0084149C" w:rsidP="0084149C">
      <w:pPr>
        <w:spacing w:line="276" w:lineRule="auto"/>
        <w:jc w:val="both"/>
        <w:rPr>
          <w:rFonts w:ascii="Arial" w:hAnsi="Arial" w:cs="Arial"/>
        </w:rPr>
      </w:pPr>
      <w:r w:rsidRPr="0084149C">
        <w:rPr>
          <w:rFonts w:ascii="Arial" w:hAnsi="Arial" w:cs="Arial"/>
        </w:rPr>
        <w:t xml:space="preserve">También se articuló con el Distrito una línea unificada de trabajo con los Sistemas Urbanos de Drenaje Sostenible –SUDS–, que permite hacer un manejo responsable de las aguas lluvias sobre el suelo urbano, con el fin de alcanzar los estándares internacionales en esta materia. </w:t>
      </w:r>
    </w:p>
    <w:p w:rsidR="0084149C" w:rsidRPr="0084149C" w:rsidRDefault="0084149C" w:rsidP="0084149C">
      <w:pPr>
        <w:spacing w:line="276" w:lineRule="auto"/>
        <w:jc w:val="both"/>
        <w:rPr>
          <w:rFonts w:ascii="Arial" w:hAnsi="Arial" w:cs="Arial"/>
        </w:rPr>
      </w:pPr>
    </w:p>
    <w:p w:rsidR="0084149C" w:rsidRPr="0084149C" w:rsidRDefault="0084149C" w:rsidP="0084149C">
      <w:pPr>
        <w:spacing w:line="276" w:lineRule="auto"/>
        <w:jc w:val="both"/>
        <w:rPr>
          <w:rFonts w:ascii="Arial" w:hAnsi="Arial" w:cs="Arial"/>
        </w:rPr>
      </w:pPr>
      <w:r w:rsidRPr="0084149C">
        <w:rPr>
          <w:rFonts w:ascii="Arial" w:hAnsi="Arial" w:cs="Arial"/>
        </w:rPr>
        <w:t>Otro elemento clave es el uso de los materiales trasformados. Esta tarea es vital porque en una ciudad como Bogotá, que a diario agota sus fuentes de materiales, se pueden reutilizar algunos de los elementos que se desechan en demoliciones o acciones de mantenimiento. Este tipo de acciones ambientalmente sostenibles, le aportan a la reducción de la huella de carbono y a minimizar el volumen de residuos en la ciudad, que cada vez es más demandante en términos del suelo requerido para su disposición.</w:t>
      </w:r>
    </w:p>
    <w:p w:rsidR="0084149C" w:rsidRPr="0084149C" w:rsidRDefault="0084149C" w:rsidP="0084149C">
      <w:pPr>
        <w:spacing w:line="276" w:lineRule="auto"/>
        <w:jc w:val="both"/>
        <w:rPr>
          <w:rFonts w:ascii="Arial" w:hAnsi="Arial" w:cs="Arial"/>
        </w:rPr>
      </w:pPr>
    </w:p>
    <w:p w:rsidR="0084149C" w:rsidRPr="0084149C" w:rsidRDefault="0084149C" w:rsidP="0084149C">
      <w:pPr>
        <w:spacing w:line="276" w:lineRule="auto"/>
        <w:jc w:val="both"/>
        <w:rPr>
          <w:rFonts w:ascii="Arial" w:hAnsi="Arial" w:cs="Arial"/>
        </w:rPr>
      </w:pPr>
      <w:r w:rsidRPr="0084149C">
        <w:rPr>
          <w:rFonts w:ascii="Arial" w:hAnsi="Arial" w:cs="Arial"/>
        </w:rPr>
        <w:lastRenderedPageBreak/>
        <w:t>Para el IDU, los aprendizajes permiten hacer una cualificación permanente de nuestros especialistas, incorporando las mejores prácticas en nuestro trabajo de construcción de ciudad. Sin olvidar que renovamos al nuevo estándar ISO 14001 versión 2015 nuestra certificación. Esto significa que hoy todos los procesos y procedimientos del IDU están alineados con las políticas ambientales y los estándares mundiales.</w:t>
      </w:r>
    </w:p>
    <w:p w:rsidR="0084149C" w:rsidRPr="0084149C" w:rsidRDefault="0084149C" w:rsidP="0084149C">
      <w:pPr>
        <w:spacing w:line="276" w:lineRule="auto"/>
        <w:jc w:val="both"/>
        <w:rPr>
          <w:rFonts w:ascii="Arial" w:hAnsi="Arial" w:cs="Arial"/>
        </w:rPr>
      </w:pPr>
    </w:p>
    <w:p w:rsidR="0084149C" w:rsidRPr="0084149C" w:rsidRDefault="0084149C" w:rsidP="0084149C">
      <w:pPr>
        <w:spacing w:line="276" w:lineRule="auto"/>
        <w:jc w:val="both"/>
        <w:rPr>
          <w:rFonts w:ascii="Arial" w:hAnsi="Arial" w:cs="Arial"/>
          <w:szCs w:val="24"/>
        </w:rPr>
      </w:pPr>
      <w:r w:rsidRPr="0084149C">
        <w:rPr>
          <w:rFonts w:ascii="Arial" w:hAnsi="Arial" w:cs="Arial"/>
          <w:szCs w:val="24"/>
        </w:rPr>
        <w:t>Considerando que conforme a la reestructuración adelantada en el año 2009 la gestión ambiental del Instituto quedó diseminada en las áreas ejecutoras, sin estar centralizadas bajo una unidad técnica que funcione de manera transversal a toda la operación del Instituto, la Dirección General asumió la tarea a través de una figura de Asesor y/o Gerencia para la centralización de las políticas ambientales y la sistematización y control de todas las variables ambientales asociadas a la misionalidad del IDU.</w:t>
      </w:r>
    </w:p>
    <w:p w:rsidR="0084149C" w:rsidRPr="0084149C" w:rsidRDefault="0084149C" w:rsidP="0084149C">
      <w:pPr>
        <w:spacing w:line="276" w:lineRule="auto"/>
        <w:jc w:val="both"/>
        <w:rPr>
          <w:rFonts w:ascii="Arial" w:hAnsi="Arial" w:cs="Arial"/>
          <w:szCs w:val="24"/>
        </w:rPr>
      </w:pPr>
    </w:p>
    <w:p w:rsidR="0084149C" w:rsidRPr="0084149C" w:rsidRDefault="0084149C" w:rsidP="0084149C">
      <w:pPr>
        <w:spacing w:line="276" w:lineRule="auto"/>
        <w:jc w:val="both"/>
        <w:rPr>
          <w:rFonts w:ascii="Arial" w:hAnsi="Arial" w:cs="Arial"/>
          <w:szCs w:val="24"/>
        </w:rPr>
      </w:pPr>
      <w:r w:rsidRPr="0084149C">
        <w:rPr>
          <w:rFonts w:ascii="Arial" w:hAnsi="Arial" w:cs="Arial"/>
          <w:szCs w:val="24"/>
        </w:rPr>
        <w:t xml:space="preserve">Es por ello, que desde el inicio de la actual administración, y en el marco de Plan de Desarrollo “Bogotá Mejor para todos 2016-2020 ” (Acuerdo 645 de 2016), ha sido un compromiso del Instituto involucrar lineamientos ambientales orientados a construir obras de infraestructura urbana en las cuales se prevengan, mitiguen, controlen y compensen los impactos ambientales que se generen, mediante un proceso de mejora continua en el cual se cumpla con la normatividad ambiental vigente al respecto y se implementen medidas como actualización de las especificaciones técnicas generales de materiales y construcción, para proyectos de infraestructura vial y de espacio público en la ciudad. </w:t>
      </w:r>
    </w:p>
    <w:p w:rsidR="0084149C" w:rsidRPr="0084149C" w:rsidRDefault="0084149C" w:rsidP="0084149C">
      <w:pPr>
        <w:spacing w:line="276" w:lineRule="auto"/>
        <w:jc w:val="both"/>
        <w:rPr>
          <w:rFonts w:ascii="Arial" w:hAnsi="Arial" w:cs="Arial"/>
          <w:szCs w:val="24"/>
        </w:rPr>
      </w:pPr>
    </w:p>
    <w:p w:rsidR="0084149C" w:rsidRPr="0084149C" w:rsidRDefault="0084149C" w:rsidP="0084149C">
      <w:pPr>
        <w:spacing w:line="276" w:lineRule="auto"/>
        <w:jc w:val="both"/>
        <w:rPr>
          <w:rFonts w:ascii="Arial" w:hAnsi="Arial" w:cs="Arial"/>
          <w:szCs w:val="24"/>
        </w:rPr>
      </w:pPr>
      <w:r w:rsidRPr="0084149C">
        <w:rPr>
          <w:rFonts w:ascii="Arial" w:hAnsi="Arial" w:cs="Arial"/>
          <w:szCs w:val="24"/>
        </w:rPr>
        <w:t>En consonancia con lo enunciado anteriormente, se trabajaron los siguientes componentes, diferenciando dos ámbitos distintos:</w:t>
      </w:r>
    </w:p>
    <w:p w:rsidR="0084149C" w:rsidRPr="0084149C" w:rsidRDefault="0084149C" w:rsidP="0084149C">
      <w:pPr>
        <w:spacing w:line="276" w:lineRule="auto"/>
        <w:jc w:val="both"/>
        <w:rPr>
          <w:rFonts w:ascii="Arial" w:hAnsi="Arial" w:cs="Arial"/>
          <w:b/>
          <w:szCs w:val="24"/>
        </w:rPr>
      </w:pPr>
    </w:p>
    <w:p w:rsidR="0084149C" w:rsidRPr="0084149C" w:rsidRDefault="0084149C" w:rsidP="0084149C">
      <w:pPr>
        <w:pStyle w:val="Ttulo3"/>
        <w:keepNext w:val="0"/>
        <w:keepLines w:val="0"/>
        <w:spacing w:before="0" w:line="276" w:lineRule="auto"/>
        <w:jc w:val="both"/>
        <w:rPr>
          <w:rFonts w:ascii="Arial" w:hAnsi="Arial" w:cs="Arial"/>
          <w:b/>
          <w:color w:val="auto"/>
          <w:sz w:val="22"/>
          <w:szCs w:val="22"/>
        </w:rPr>
      </w:pPr>
      <w:bookmarkStart w:id="87" w:name="_Toc30774631"/>
      <w:r w:rsidRPr="0084149C">
        <w:rPr>
          <w:rFonts w:ascii="Arial" w:hAnsi="Arial" w:cs="Arial"/>
          <w:b/>
          <w:color w:val="auto"/>
          <w:sz w:val="22"/>
          <w:szCs w:val="22"/>
        </w:rPr>
        <w:t xml:space="preserve">6.1.  </w:t>
      </w:r>
      <w:bookmarkStart w:id="88" w:name="_Toc27665247"/>
      <w:r w:rsidRPr="0084149C">
        <w:rPr>
          <w:rFonts w:ascii="Arial" w:hAnsi="Arial" w:cs="Arial"/>
          <w:b/>
          <w:color w:val="auto"/>
          <w:sz w:val="22"/>
          <w:szCs w:val="22"/>
        </w:rPr>
        <w:t>ÁMBITO INTERNO</w:t>
      </w:r>
      <w:bookmarkEnd w:id="87"/>
      <w:bookmarkEnd w:id="88"/>
    </w:p>
    <w:p w:rsidR="0084149C" w:rsidRPr="0084149C" w:rsidRDefault="0084149C" w:rsidP="0084149C">
      <w:pPr>
        <w:spacing w:line="276" w:lineRule="auto"/>
        <w:jc w:val="both"/>
        <w:rPr>
          <w:rFonts w:ascii="Arial" w:hAnsi="Arial" w:cs="Arial"/>
        </w:rPr>
      </w:pPr>
    </w:p>
    <w:p w:rsidR="0084149C" w:rsidRPr="0084149C" w:rsidRDefault="0084149C" w:rsidP="0084149C">
      <w:pPr>
        <w:spacing w:after="200" w:line="276" w:lineRule="auto"/>
        <w:jc w:val="both"/>
        <w:rPr>
          <w:rFonts w:ascii="Arial" w:hAnsi="Arial" w:cs="Arial"/>
          <w:szCs w:val="24"/>
        </w:rPr>
      </w:pPr>
      <w:r w:rsidRPr="0084149C">
        <w:rPr>
          <w:rFonts w:ascii="Arial" w:hAnsi="Arial" w:cs="Arial"/>
          <w:szCs w:val="24"/>
        </w:rPr>
        <w:t>Relacionado con la gestión ambiental interna de IDU, plasmada en el –Plan Institucional de Gestión Ambiental –PIGA- y el reporte correspondiente de los indicadores ante la Autoridad Ambiental, en este caso, la Secretaría Distrital De Ambiente –SDA-. Los porcentajes de cumplimiento que en materia ambiental la SDA viene reconociendo a la Entidad, en cuanto a la gestión realizada para cumplir con el PIGA, en estos últimos tres años IDU ha alcanzado un 86% de satisfacción; lo cual nos posiciona como una Entidad referente a nivel distrital.</w:t>
      </w:r>
    </w:p>
    <w:p w:rsidR="0084149C" w:rsidRPr="0084149C" w:rsidRDefault="0084149C" w:rsidP="0084149C">
      <w:pPr>
        <w:spacing w:line="276" w:lineRule="auto"/>
        <w:jc w:val="both"/>
        <w:rPr>
          <w:rFonts w:ascii="Arial" w:hAnsi="Arial" w:cs="Arial"/>
          <w:szCs w:val="24"/>
        </w:rPr>
      </w:pPr>
      <w:r w:rsidRPr="0084149C">
        <w:rPr>
          <w:rFonts w:ascii="Arial" w:hAnsi="Arial" w:cs="Arial"/>
          <w:szCs w:val="24"/>
        </w:rPr>
        <w:t xml:space="preserve">EL PIGA de la Entidad es el documento que guía la gestión ambiental interna de la Entidad; este documento fue concertado con la SDA el 23 de diciembre de 2016, cuenta con una vigencia de 4 años, en cumplimiento de la Resolución 242 de 2014; para lo cual se </w:t>
      </w:r>
      <w:r w:rsidRPr="0084149C">
        <w:rPr>
          <w:rFonts w:ascii="Arial" w:hAnsi="Arial" w:cs="Arial"/>
          <w:szCs w:val="24"/>
        </w:rPr>
        <w:lastRenderedPageBreak/>
        <w:t xml:space="preserve">generaron los informes de seguimiento respectivos cargados en la plataforma de la SDA diseñada para tal fin. </w:t>
      </w:r>
    </w:p>
    <w:p w:rsidR="0084149C" w:rsidRPr="0084149C" w:rsidRDefault="0084149C" w:rsidP="0084149C">
      <w:pPr>
        <w:spacing w:line="276" w:lineRule="auto"/>
        <w:jc w:val="both"/>
        <w:rPr>
          <w:rFonts w:ascii="Arial" w:hAnsi="Arial" w:cs="Arial"/>
          <w:szCs w:val="24"/>
        </w:rPr>
      </w:pPr>
    </w:p>
    <w:p w:rsidR="0084149C" w:rsidRPr="0084149C" w:rsidRDefault="0084149C" w:rsidP="0084149C">
      <w:pPr>
        <w:spacing w:line="276" w:lineRule="auto"/>
        <w:jc w:val="both"/>
        <w:rPr>
          <w:rFonts w:ascii="Arial" w:hAnsi="Arial" w:cs="Arial"/>
          <w:szCs w:val="24"/>
        </w:rPr>
      </w:pPr>
      <w:r w:rsidRPr="0084149C">
        <w:rPr>
          <w:rFonts w:ascii="Arial" w:hAnsi="Arial" w:cs="Arial"/>
          <w:szCs w:val="24"/>
        </w:rPr>
        <w:t>Durante la administración se atendieron requerimientos como: visitas realizadas por la SDA, con el fin de corroborar el porcentaje de implementación del PIGA de la Entidad; estas visitas se realizaron anualmente.</w:t>
      </w:r>
    </w:p>
    <w:p w:rsidR="0084149C" w:rsidRPr="0084149C" w:rsidRDefault="0084149C" w:rsidP="0084149C">
      <w:pPr>
        <w:spacing w:line="276" w:lineRule="auto"/>
        <w:jc w:val="both"/>
        <w:rPr>
          <w:rFonts w:ascii="Arial" w:hAnsi="Arial" w:cs="Arial"/>
          <w:szCs w:val="24"/>
        </w:rPr>
      </w:pPr>
      <w:r w:rsidRPr="0084149C">
        <w:rPr>
          <w:rFonts w:ascii="Arial" w:hAnsi="Arial" w:cs="Arial"/>
          <w:szCs w:val="24"/>
        </w:rPr>
        <w:t xml:space="preserve">A </w:t>
      </w:r>
      <w:r w:rsidR="00E179D8" w:rsidRPr="0084149C">
        <w:rPr>
          <w:rFonts w:ascii="Arial" w:hAnsi="Arial" w:cs="Arial"/>
          <w:szCs w:val="24"/>
        </w:rPr>
        <w:t>continuación,</w:t>
      </w:r>
      <w:r w:rsidRPr="0084149C">
        <w:rPr>
          <w:rFonts w:ascii="Arial" w:hAnsi="Arial" w:cs="Arial"/>
          <w:szCs w:val="24"/>
        </w:rPr>
        <w:t xml:space="preserve"> se presentan los resultados de los indicadores ambientales internos:</w:t>
      </w:r>
    </w:p>
    <w:p w:rsidR="0084149C" w:rsidRPr="0084149C" w:rsidRDefault="0084149C" w:rsidP="00D0183B">
      <w:pPr>
        <w:pStyle w:val="Prrafodelista"/>
        <w:numPr>
          <w:ilvl w:val="0"/>
          <w:numId w:val="27"/>
        </w:numPr>
        <w:spacing w:after="200" w:line="276" w:lineRule="auto"/>
        <w:ind w:left="567" w:hanging="283"/>
        <w:jc w:val="both"/>
        <w:rPr>
          <w:rFonts w:ascii="Arial" w:hAnsi="Arial" w:cs="Arial"/>
          <w:szCs w:val="24"/>
        </w:rPr>
      </w:pPr>
      <w:r w:rsidRPr="0084149C">
        <w:rPr>
          <w:rFonts w:ascii="Arial" w:hAnsi="Arial" w:cs="Arial"/>
          <w:szCs w:val="24"/>
        </w:rPr>
        <w:t>Consumo per-cápita de Agua: 0,53 m3 por persona</w:t>
      </w:r>
    </w:p>
    <w:p w:rsidR="0084149C" w:rsidRPr="0084149C" w:rsidRDefault="0084149C" w:rsidP="00D0183B">
      <w:pPr>
        <w:pStyle w:val="Prrafodelista"/>
        <w:numPr>
          <w:ilvl w:val="0"/>
          <w:numId w:val="27"/>
        </w:numPr>
        <w:spacing w:after="200" w:line="276" w:lineRule="auto"/>
        <w:ind w:left="567" w:hanging="283"/>
        <w:jc w:val="both"/>
        <w:rPr>
          <w:rFonts w:ascii="Arial" w:hAnsi="Arial" w:cs="Arial"/>
          <w:szCs w:val="24"/>
        </w:rPr>
      </w:pPr>
      <w:r w:rsidRPr="0084149C">
        <w:rPr>
          <w:rFonts w:ascii="Arial" w:hAnsi="Arial" w:cs="Arial"/>
          <w:szCs w:val="24"/>
        </w:rPr>
        <w:t>Consumo per-cápita de Energía: 52,06 kW por persona</w:t>
      </w:r>
    </w:p>
    <w:p w:rsidR="0084149C" w:rsidRPr="0084149C" w:rsidRDefault="0084149C" w:rsidP="00D0183B">
      <w:pPr>
        <w:pStyle w:val="Prrafodelista"/>
        <w:numPr>
          <w:ilvl w:val="0"/>
          <w:numId w:val="27"/>
        </w:numPr>
        <w:spacing w:after="200" w:line="276" w:lineRule="auto"/>
        <w:ind w:left="567" w:hanging="283"/>
        <w:jc w:val="both"/>
        <w:rPr>
          <w:rFonts w:ascii="Arial" w:hAnsi="Arial" w:cs="Arial"/>
          <w:szCs w:val="24"/>
        </w:rPr>
      </w:pPr>
      <w:r w:rsidRPr="0084149C">
        <w:rPr>
          <w:rFonts w:ascii="Arial" w:hAnsi="Arial" w:cs="Arial"/>
          <w:szCs w:val="24"/>
        </w:rPr>
        <w:t>Generación de Residuos: 1,01 kg por persona (residuos para reciclaje), y 1,01 kg por persona (residuos para gestión final)</w:t>
      </w:r>
    </w:p>
    <w:p w:rsidR="0084149C" w:rsidRPr="0084149C" w:rsidRDefault="0084149C" w:rsidP="0084149C">
      <w:pPr>
        <w:pStyle w:val="Prrafodelista"/>
        <w:spacing w:line="276" w:lineRule="auto"/>
        <w:ind w:left="1080"/>
        <w:jc w:val="both"/>
        <w:rPr>
          <w:rFonts w:ascii="Arial" w:hAnsi="Arial" w:cs="Arial"/>
          <w:szCs w:val="24"/>
        </w:rPr>
      </w:pPr>
    </w:p>
    <w:p w:rsidR="0084149C" w:rsidRPr="0084149C" w:rsidRDefault="0084149C" w:rsidP="0084149C">
      <w:pPr>
        <w:pStyle w:val="Prrafodelista"/>
        <w:spacing w:line="276" w:lineRule="auto"/>
        <w:ind w:left="1080"/>
        <w:jc w:val="both"/>
        <w:rPr>
          <w:rFonts w:ascii="Arial" w:hAnsi="Arial" w:cs="Arial"/>
          <w:szCs w:val="24"/>
        </w:rPr>
      </w:pPr>
    </w:p>
    <w:p w:rsidR="0084149C" w:rsidRPr="0084149C" w:rsidRDefault="0084149C" w:rsidP="0084149C">
      <w:pPr>
        <w:pStyle w:val="Ttulo3"/>
        <w:keepNext w:val="0"/>
        <w:keepLines w:val="0"/>
        <w:spacing w:before="0" w:line="276" w:lineRule="auto"/>
        <w:jc w:val="both"/>
        <w:rPr>
          <w:rFonts w:ascii="Arial" w:hAnsi="Arial" w:cs="Arial"/>
          <w:b/>
          <w:color w:val="auto"/>
          <w:sz w:val="22"/>
          <w:szCs w:val="22"/>
        </w:rPr>
      </w:pPr>
      <w:bookmarkStart w:id="89" w:name="_Toc30774632"/>
      <w:r w:rsidRPr="0084149C">
        <w:rPr>
          <w:rFonts w:ascii="Arial" w:hAnsi="Arial" w:cs="Arial"/>
          <w:b/>
          <w:color w:val="auto"/>
          <w:sz w:val="22"/>
          <w:szCs w:val="22"/>
        </w:rPr>
        <w:t xml:space="preserve">6.2.  </w:t>
      </w:r>
      <w:bookmarkStart w:id="90" w:name="_Toc27665248"/>
      <w:r w:rsidRPr="0084149C">
        <w:rPr>
          <w:rFonts w:ascii="Arial" w:hAnsi="Arial" w:cs="Arial"/>
          <w:b/>
          <w:color w:val="auto"/>
          <w:sz w:val="22"/>
          <w:szCs w:val="22"/>
        </w:rPr>
        <w:t>ÁMBITO EXTERNO</w:t>
      </w:r>
      <w:bookmarkEnd w:id="89"/>
      <w:bookmarkEnd w:id="90"/>
    </w:p>
    <w:p w:rsidR="0084149C" w:rsidRPr="0084149C" w:rsidRDefault="0084149C" w:rsidP="0084149C">
      <w:pPr>
        <w:spacing w:line="276" w:lineRule="auto"/>
        <w:jc w:val="both"/>
        <w:rPr>
          <w:rFonts w:ascii="Arial" w:hAnsi="Arial" w:cs="Arial"/>
        </w:rPr>
      </w:pPr>
    </w:p>
    <w:p w:rsidR="0084149C" w:rsidRPr="0084149C" w:rsidRDefault="0084149C" w:rsidP="0084149C">
      <w:pPr>
        <w:spacing w:line="276" w:lineRule="auto"/>
        <w:jc w:val="both"/>
        <w:rPr>
          <w:rFonts w:ascii="Arial" w:hAnsi="Arial" w:cs="Arial"/>
          <w:szCs w:val="24"/>
        </w:rPr>
      </w:pPr>
      <w:r w:rsidRPr="0084149C">
        <w:rPr>
          <w:rFonts w:ascii="Arial" w:hAnsi="Arial" w:cs="Arial"/>
          <w:szCs w:val="24"/>
        </w:rPr>
        <w:t>En todo lo relacionado con la obtención de la viabilidad ambiental requerida para la ejecución de los proyectos de infraestructura vial y espacio público, atendiendo las etapas de ciclo de proyecto. Igualmente involucra la gestión interinstitucional correspondiente a nivel distrital y nacional.</w:t>
      </w:r>
    </w:p>
    <w:p w:rsidR="0084149C" w:rsidRPr="0084149C" w:rsidRDefault="0084149C" w:rsidP="0084149C">
      <w:pPr>
        <w:spacing w:line="276" w:lineRule="auto"/>
        <w:jc w:val="both"/>
        <w:rPr>
          <w:rFonts w:ascii="Arial" w:hAnsi="Arial" w:cs="Arial"/>
          <w:szCs w:val="24"/>
        </w:rPr>
      </w:pPr>
    </w:p>
    <w:p w:rsidR="0084149C" w:rsidRPr="0084149C" w:rsidRDefault="0084149C" w:rsidP="0084149C">
      <w:pPr>
        <w:pStyle w:val="Ttulo3"/>
        <w:keepNext w:val="0"/>
        <w:keepLines w:val="0"/>
        <w:spacing w:before="0" w:line="276" w:lineRule="auto"/>
        <w:jc w:val="both"/>
        <w:rPr>
          <w:rFonts w:ascii="Arial" w:hAnsi="Arial" w:cs="Arial"/>
          <w:b/>
          <w:color w:val="auto"/>
          <w:sz w:val="22"/>
          <w:szCs w:val="22"/>
        </w:rPr>
      </w:pPr>
      <w:bookmarkStart w:id="91" w:name="_Toc26867940"/>
      <w:bookmarkStart w:id="92" w:name="_Toc30774633"/>
      <w:r w:rsidRPr="0084149C">
        <w:rPr>
          <w:rFonts w:ascii="Arial" w:hAnsi="Arial" w:cs="Arial"/>
          <w:b/>
          <w:color w:val="auto"/>
          <w:sz w:val="22"/>
          <w:szCs w:val="22"/>
        </w:rPr>
        <w:t xml:space="preserve">6.3. </w:t>
      </w:r>
      <w:bookmarkStart w:id="93" w:name="_Toc27665249"/>
      <w:r w:rsidRPr="0084149C">
        <w:rPr>
          <w:rFonts w:ascii="Arial" w:hAnsi="Arial" w:cs="Arial"/>
          <w:b/>
          <w:color w:val="auto"/>
          <w:sz w:val="22"/>
          <w:szCs w:val="22"/>
        </w:rPr>
        <w:t>MANEJO DE RESIDUOS DE CONSTRUCCIÓN Y DEMOLICIÓN –RCD-</w:t>
      </w:r>
      <w:bookmarkEnd w:id="91"/>
      <w:bookmarkEnd w:id="92"/>
      <w:bookmarkEnd w:id="93"/>
    </w:p>
    <w:p w:rsidR="0084149C" w:rsidRPr="0084149C" w:rsidRDefault="0084149C" w:rsidP="0084149C">
      <w:pPr>
        <w:spacing w:line="276" w:lineRule="auto"/>
        <w:ind w:left="360"/>
        <w:jc w:val="both"/>
        <w:rPr>
          <w:rFonts w:ascii="Arial" w:hAnsi="Arial" w:cs="Arial"/>
        </w:rPr>
      </w:pPr>
    </w:p>
    <w:p w:rsidR="0084149C" w:rsidRPr="0084149C" w:rsidRDefault="0084149C" w:rsidP="0084149C">
      <w:pPr>
        <w:spacing w:line="276" w:lineRule="auto"/>
        <w:jc w:val="both"/>
        <w:rPr>
          <w:rFonts w:ascii="Arial" w:hAnsi="Arial" w:cs="Arial"/>
        </w:rPr>
      </w:pPr>
      <w:r w:rsidRPr="0084149C">
        <w:rPr>
          <w:rFonts w:ascii="Arial" w:hAnsi="Arial" w:cs="Arial"/>
        </w:rPr>
        <w:t>El 65% de los RCD generados en los proyectos constructivos que adelanta el IDU provienen de demoliciones, ya sea de viviendas o de espacio público, años atrás se generaron en el Instituto de Desarrollo Urbano, alrededor de 15 millones de metros cúbicos de RCD, situándolo como el mayor generador de RCD a nivel distrital, los cuales fueron llevados a relleno sanitario para disposición final, desconociendo su potencial aprovechamiento.</w:t>
      </w:r>
    </w:p>
    <w:p w:rsidR="0084149C" w:rsidRPr="0084149C" w:rsidRDefault="0084149C" w:rsidP="0084149C">
      <w:pPr>
        <w:spacing w:line="276" w:lineRule="auto"/>
        <w:jc w:val="both"/>
        <w:rPr>
          <w:rFonts w:ascii="Arial" w:hAnsi="Arial" w:cs="Arial"/>
        </w:rPr>
      </w:pPr>
    </w:p>
    <w:p w:rsidR="0084149C" w:rsidRPr="0084149C" w:rsidRDefault="0084149C" w:rsidP="0084149C">
      <w:pPr>
        <w:spacing w:line="276" w:lineRule="auto"/>
        <w:jc w:val="both"/>
        <w:rPr>
          <w:rFonts w:ascii="Arial" w:hAnsi="Arial" w:cs="Arial"/>
        </w:rPr>
      </w:pPr>
      <w:r w:rsidRPr="0084149C">
        <w:rPr>
          <w:rFonts w:ascii="Arial" w:hAnsi="Arial" w:cs="Arial"/>
        </w:rPr>
        <w:t xml:space="preserve">La generación de residuos de construcción y demolición (RCD) en Bogotá se constituye en uno de los principales actores en la transformación del paisaje y generación de impactos ambientales significativos en el ambiente urbano que degrada áreas de importancia ecológica de la ciudad. </w:t>
      </w:r>
    </w:p>
    <w:p w:rsidR="0084149C" w:rsidRPr="0084149C" w:rsidRDefault="0084149C" w:rsidP="0084149C">
      <w:pPr>
        <w:spacing w:line="276" w:lineRule="auto"/>
        <w:jc w:val="both"/>
        <w:rPr>
          <w:rFonts w:ascii="Arial" w:hAnsi="Arial" w:cs="Arial"/>
        </w:rPr>
      </w:pPr>
    </w:p>
    <w:p w:rsidR="0084149C" w:rsidRPr="0084149C" w:rsidRDefault="0084149C" w:rsidP="0084149C">
      <w:pPr>
        <w:spacing w:line="276" w:lineRule="auto"/>
        <w:jc w:val="both"/>
        <w:rPr>
          <w:rFonts w:ascii="Arial" w:hAnsi="Arial" w:cs="Arial"/>
        </w:rPr>
      </w:pPr>
      <w:r w:rsidRPr="0084149C">
        <w:rPr>
          <w:rFonts w:ascii="Arial" w:hAnsi="Arial" w:cs="Arial"/>
        </w:rPr>
        <w:t xml:space="preserve">Actualmente se ha incorporado en los pliegos de condiciones de los contratos de obra, la obligatoriedad de la reutilización de residuos de construcción y demolición (RCD´s), al igual </w:t>
      </w:r>
      <w:r w:rsidRPr="0084149C">
        <w:rPr>
          <w:rFonts w:ascii="Arial" w:hAnsi="Arial" w:cs="Arial"/>
        </w:rPr>
        <w:lastRenderedPageBreak/>
        <w:t>que el empleo de materiales transformados de RCD´s en la construcción de vías o espacio público, entre otras.</w:t>
      </w:r>
    </w:p>
    <w:p w:rsidR="0084149C" w:rsidRPr="0084149C" w:rsidRDefault="0084149C" w:rsidP="0084149C">
      <w:pPr>
        <w:spacing w:line="276" w:lineRule="auto"/>
        <w:jc w:val="both"/>
        <w:rPr>
          <w:rFonts w:ascii="Arial" w:hAnsi="Arial" w:cs="Arial"/>
        </w:rPr>
      </w:pPr>
      <w:r w:rsidRPr="0084149C">
        <w:rPr>
          <w:rFonts w:ascii="Arial" w:hAnsi="Arial" w:cs="Arial"/>
        </w:rPr>
        <w:t xml:space="preserve">En esta misma línea de trabajo, se viene dando cumplimiento a los porcentajes exigidos en la normatividad vigente del Distrito tanto en procesos de reutilización transformación y aprovechamiento de los residuos de construcción y demolición – RCD y uso de grano de caucho reciclado – GCR en los proyectos que adelanta y supervisa el IDU desde las etapas de Prefactibilidad, Factibilidad, Estudios y Diseños y Construcción.   </w:t>
      </w:r>
    </w:p>
    <w:p w:rsidR="0084149C" w:rsidRPr="0084149C" w:rsidRDefault="0084149C" w:rsidP="0084149C">
      <w:pPr>
        <w:spacing w:line="276" w:lineRule="auto"/>
        <w:jc w:val="both"/>
        <w:rPr>
          <w:rFonts w:ascii="Arial" w:hAnsi="Arial" w:cs="Arial"/>
        </w:rPr>
      </w:pPr>
    </w:p>
    <w:p w:rsidR="0084149C" w:rsidRPr="0084149C" w:rsidRDefault="0084149C" w:rsidP="0084149C">
      <w:pPr>
        <w:spacing w:line="276" w:lineRule="auto"/>
        <w:jc w:val="both"/>
        <w:rPr>
          <w:rFonts w:ascii="Arial" w:hAnsi="Arial" w:cs="Arial"/>
          <w:color w:val="000000"/>
          <w:shd w:val="clear" w:color="auto" w:fill="FFFFFF"/>
        </w:rPr>
      </w:pPr>
      <w:r w:rsidRPr="0084149C">
        <w:rPr>
          <w:rFonts w:ascii="Arial" w:hAnsi="Arial" w:cs="Arial"/>
        </w:rPr>
        <w:t>Actualmente, se trabaja paralelamente en temas de innovación, desarrollo, e investigación para la implementación de reconformación geomorfológica (formas de la superficie)</w:t>
      </w:r>
      <w:r w:rsidRPr="0084149C">
        <w:rPr>
          <w:rFonts w:ascii="Arial" w:hAnsi="Arial" w:cs="Arial"/>
          <w:b/>
        </w:rPr>
        <w:t xml:space="preserve"> </w:t>
      </w:r>
      <w:r w:rsidRPr="0084149C">
        <w:rPr>
          <w:rFonts w:ascii="Arial" w:hAnsi="Arial" w:cs="Arial"/>
        </w:rPr>
        <w:t>pasivos ambientales y sitios degradados por fenómenos naturales incorporando subproductos y productos (prefabricados y mobiliarios urbanos de RCD), para establecer lineamientos que construyan la norma ICONTEC y la guía de usos de áridos reciclados. Así mismo, un equipo de especialistas del IDU participa en mesas de trabajo respecto a la correcta gestión de los residuos de construcción y demolición – RCD e implementación de tecnologías en</w:t>
      </w:r>
      <w:r w:rsidRPr="0084149C">
        <w:rPr>
          <w:rFonts w:ascii="Arial" w:hAnsi="Arial" w:cs="Arial"/>
          <w:b/>
        </w:rPr>
        <w:t xml:space="preserve"> </w:t>
      </w:r>
      <w:r w:rsidRPr="0084149C">
        <w:rPr>
          <w:rFonts w:ascii="Arial" w:hAnsi="Arial" w:cs="Arial"/>
        </w:rPr>
        <w:t xml:space="preserve">el uso de grano de caucho reciclado – GCR en los proyectos que supervisa el instituto, dando cumplimiento con indicadores sobre </w:t>
      </w:r>
      <w:r w:rsidRPr="0084149C">
        <w:rPr>
          <w:rFonts w:ascii="Arial" w:hAnsi="Arial" w:cs="Arial"/>
          <w:color w:val="000000"/>
          <w:shd w:val="clear" w:color="auto" w:fill="FFFFFF"/>
        </w:rPr>
        <w:t>construcciones sostenibles, contribuyendo de esta manera a que la ciudad se adapte y mitigue los efectos del cambio climático.</w:t>
      </w:r>
    </w:p>
    <w:p w:rsidR="0084149C" w:rsidRPr="0084149C" w:rsidRDefault="0084149C" w:rsidP="0084149C">
      <w:pPr>
        <w:spacing w:line="276" w:lineRule="auto"/>
        <w:jc w:val="both"/>
        <w:rPr>
          <w:rFonts w:ascii="Arial" w:hAnsi="Arial" w:cs="Arial"/>
          <w:color w:val="000000"/>
          <w:shd w:val="clear" w:color="auto" w:fill="FFFFFF"/>
        </w:rPr>
      </w:pPr>
    </w:p>
    <w:p w:rsidR="0084149C" w:rsidRPr="0084149C" w:rsidRDefault="0084149C" w:rsidP="0084149C">
      <w:pPr>
        <w:spacing w:line="276" w:lineRule="auto"/>
        <w:jc w:val="both"/>
        <w:rPr>
          <w:rFonts w:ascii="Arial" w:hAnsi="Arial" w:cs="Arial"/>
          <w:color w:val="000000"/>
          <w:shd w:val="clear" w:color="auto" w:fill="FFFFFF"/>
        </w:rPr>
      </w:pPr>
      <w:r w:rsidRPr="0084149C">
        <w:rPr>
          <w:rFonts w:ascii="Arial" w:hAnsi="Arial" w:cs="Arial"/>
          <w:color w:val="000000"/>
          <w:shd w:val="clear" w:color="auto" w:fill="FFFFFF"/>
        </w:rPr>
        <w:t>La generación de RCD en obras en construcción en IDU, para el periodo 2016-2019, se resume de la siguiente manera:</w:t>
      </w:r>
    </w:p>
    <w:p w:rsidR="0084149C" w:rsidRPr="0084149C" w:rsidRDefault="0084149C" w:rsidP="0084149C">
      <w:pPr>
        <w:spacing w:line="276" w:lineRule="auto"/>
        <w:jc w:val="both"/>
        <w:rPr>
          <w:rFonts w:ascii="Arial" w:hAnsi="Arial" w:cs="Arial"/>
          <w:color w:val="000000"/>
          <w:shd w:val="clear" w:color="auto" w:fill="FFFFFF"/>
        </w:rPr>
      </w:pPr>
    </w:p>
    <w:p w:rsidR="0084149C" w:rsidRPr="0084149C" w:rsidRDefault="0084149C" w:rsidP="00D0183B">
      <w:pPr>
        <w:pStyle w:val="Prrafodelista"/>
        <w:numPr>
          <w:ilvl w:val="0"/>
          <w:numId w:val="28"/>
        </w:numPr>
        <w:spacing w:after="200" w:line="276" w:lineRule="auto"/>
        <w:jc w:val="both"/>
        <w:rPr>
          <w:rFonts w:ascii="Arial" w:hAnsi="Arial" w:cs="Arial"/>
          <w:b/>
          <w:color w:val="000000"/>
          <w:shd w:val="clear" w:color="auto" w:fill="FFFFFF"/>
        </w:rPr>
      </w:pPr>
      <w:r w:rsidRPr="0084149C">
        <w:rPr>
          <w:rFonts w:ascii="Arial" w:hAnsi="Arial" w:cs="Arial"/>
          <w:b/>
          <w:color w:val="000000"/>
          <w:shd w:val="clear" w:color="auto" w:fill="FFFFFF"/>
        </w:rPr>
        <w:t xml:space="preserve">RCD Generado =  943.952 M3  </w:t>
      </w:r>
    </w:p>
    <w:p w:rsidR="0084149C" w:rsidRPr="0084149C" w:rsidRDefault="0084149C" w:rsidP="00D0183B">
      <w:pPr>
        <w:pStyle w:val="Prrafodelista"/>
        <w:numPr>
          <w:ilvl w:val="0"/>
          <w:numId w:val="28"/>
        </w:numPr>
        <w:spacing w:after="200" w:line="276" w:lineRule="auto"/>
        <w:jc w:val="both"/>
        <w:rPr>
          <w:rFonts w:ascii="Arial" w:hAnsi="Arial" w:cs="Arial"/>
          <w:b/>
          <w:color w:val="000000"/>
          <w:shd w:val="clear" w:color="auto" w:fill="FFFFFF"/>
        </w:rPr>
      </w:pPr>
      <w:r w:rsidRPr="0084149C">
        <w:rPr>
          <w:rFonts w:ascii="Arial" w:hAnsi="Arial" w:cs="Arial"/>
          <w:b/>
          <w:color w:val="000000"/>
          <w:shd w:val="clear" w:color="auto" w:fill="FFFFFF"/>
        </w:rPr>
        <w:t>RCD Aprovechado y/o reutilizado = 229.378 M3</w:t>
      </w:r>
    </w:p>
    <w:p w:rsidR="0084149C" w:rsidRPr="0084149C" w:rsidRDefault="0084149C" w:rsidP="0084149C">
      <w:pPr>
        <w:spacing w:line="276" w:lineRule="auto"/>
        <w:jc w:val="both"/>
        <w:rPr>
          <w:rFonts w:ascii="Arial" w:hAnsi="Arial" w:cs="Arial"/>
          <w:color w:val="000000"/>
          <w:shd w:val="clear" w:color="auto" w:fill="FFFFFF"/>
        </w:rPr>
      </w:pPr>
      <w:r w:rsidRPr="0084149C">
        <w:rPr>
          <w:rFonts w:ascii="Arial" w:hAnsi="Arial" w:cs="Arial"/>
          <w:color w:val="000000"/>
          <w:shd w:val="clear" w:color="auto" w:fill="FFFFFF"/>
        </w:rPr>
        <w:t>A continuación se presenta el consolidado de RCD en obras en etapa de conservación en IDU, para el período 2016-2019:</w:t>
      </w:r>
    </w:p>
    <w:p w:rsidR="0084149C" w:rsidRPr="0084149C" w:rsidRDefault="0084149C" w:rsidP="0084149C">
      <w:pPr>
        <w:spacing w:line="276" w:lineRule="auto"/>
        <w:jc w:val="both"/>
        <w:rPr>
          <w:rFonts w:ascii="Arial" w:hAnsi="Arial" w:cs="Arial"/>
          <w:color w:val="000000"/>
          <w:shd w:val="clear" w:color="auto" w:fill="FFFFFF"/>
        </w:rPr>
      </w:pPr>
    </w:p>
    <w:p w:rsidR="0084149C" w:rsidRPr="0084149C" w:rsidRDefault="0084149C" w:rsidP="0084149C">
      <w:pPr>
        <w:pStyle w:val="Descripcin"/>
        <w:keepNext/>
        <w:spacing w:after="0"/>
        <w:rPr>
          <w:rFonts w:ascii="Arial" w:hAnsi="Arial" w:cs="Arial"/>
          <w:sz w:val="24"/>
          <w:szCs w:val="24"/>
        </w:rPr>
      </w:pPr>
      <w:bookmarkStart w:id="94" w:name="_Toc27665367"/>
      <w:r w:rsidRPr="0084149C">
        <w:rPr>
          <w:rFonts w:ascii="Arial" w:hAnsi="Arial" w:cs="Arial"/>
          <w:bCs/>
          <w:szCs w:val="24"/>
        </w:rPr>
        <w:t>Volumen de reutilización y/o aprovechamiento RCD (m3)</w:t>
      </w:r>
      <w:bookmarkEnd w:id="9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6"/>
        <w:gridCol w:w="1722"/>
        <w:gridCol w:w="1730"/>
        <w:gridCol w:w="1730"/>
        <w:gridCol w:w="1730"/>
      </w:tblGrid>
      <w:tr w:rsidR="0084149C" w:rsidRPr="0084149C" w:rsidTr="00B85448">
        <w:tc>
          <w:tcPr>
            <w:tcW w:w="1765" w:type="dxa"/>
            <w:vMerge w:val="restart"/>
            <w:shd w:val="clear" w:color="auto" w:fill="BDD6EE" w:themeFill="accent1" w:themeFillTint="66"/>
          </w:tcPr>
          <w:p w:rsidR="0084149C" w:rsidRPr="0084149C" w:rsidRDefault="0084149C" w:rsidP="0084149C">
            <w:pPr>
              <w:spacing w:before="120" w:line="240" w:lineRule="auto"/>
              <w:jc w:val="both"/>
              <w:rPr>
                <w:rFonts w:ascii="Arial" w:hAnsi="Arial" w:cs="Arial"/>
                <w:b/>
                <w:szCs w:val="24"/>
              </w:rPr>
            </w:pPr>
            <w:r w:rsidRPr="0084149C">
              <w:rPr>
                <w:rFonts w:ascii="Arial" w:hAnsi="Arial" w:cs="Arial"/>
                <w:b/>
                <w:bCs/>
                <w:szCs w:val="24"/>
              </w:rPr>
              <w:t>SUBDIRECCIÓN</w:t>
            </w:r>
          </w:p>
        </w:tc>
        <w:tc>
          <w:tcPr>
            <w:tcW w:w="7063" w:type="dxa"/>
            <w:gridSpan w:val="4"/>
            <w:shd w:val="clear" w:color="auto" w:fill="BDD6EE" w:themeFill="accent1" w:themeFillTint="66"/>
          </w:tcPr>
          <w:p w:rsidR="0084149C" w:rsidRPr="0084149C" w:rsidRDefault="0084149C" w:rsidP="0084149C">
            <w:pPr>
              <w:spacing w:line="240" w:lineRule="auto"/>
              <w:jc w:val="both"/>
              <w:rPr>
                <w:rFonts w:ascii="Arial" w:hAnsi="Arial" w:cs="Arial"/>
                <w:b/>
                <w:szCs w:val="24"/>
              </w:rPr>
            </w:pPr>
            <w:r w:rsidRPr="0084149C">
              <w:rPr>
                <w:rFonts w:ascii="Arial" w:hAnsi="Arial" w:cs="Arial"/>
                <w:b/>
                <w:bCs/>
                <w:szCs w:val="24"/>
              </w:rPr>
              <w:t>AÑO</w:t>
            </w:r>
          </w:p>
        </w:tc>
      </w:tr>
      <w:tr w:rsidR="0084149C" w:rsidRPr="0084149C" w:rsidTr="00B85448">
        <w:trPr>
          <w:trHeight w:val="194"/>
        </w:trPr>
        <w:tc>
          <w:tcPr>
            <w:tcW w:w="1765" w:type="dxa"/>
            <w:vMerge/>
            <w:shd w:val="clear" w:color="auto" w:fill="BDD6EE" w:themeFill="accent1" w:themeFillTint="66"/>
          </w:tcPr>
          <w:p w:rsidR="0084149C" w:rsidRPr="0084149C" w:rsidRDefault="0084149C" w:rsidP="0084149C">
            <w:pPr>
              <w:spacing w:line="240" w:lineRule="auto"/>
              <w:jc w:val="both"/>
              <w:rPr>
                <w:rFonts w:ascii="Arial" w:hAnsi="Arial" w:cs="Arial"/>
                <w:b/>
                <w:szCs w:val="24"/>
              </w:rPr>
            </w:pPr>
          </w:p>
        </w:tc>
        <w:tc>
          <w:tcPr>
            <w:tcW w:w="1765" w:type="dxa"/>
            <w:shd w:val="clear" w:color="auto" w:fill="BDD6EE" w:themeFill="accent1" w:themeFillTint="66"/>
          </w:tcPr>
          <w:p w:rsidR="0084149C" w:rsidRPr="0084149C" w:rsidRDefault="0084149C" w:rsidP="0084149C">
            <w:pPr>
              <w:spacing w:line="240" w:lineRule="auto"/>
              <w:jc w:val="both"/>
              <w:rPr>
                <w:rFonts w:ascii="Arial" w:hAnsi="Arial" w:cs="Arial"/>
                <w:b/>
                <w:szCs w:val="24"/>
              </w:rPr>
            </w:pPr>
            <w:r w:rsidRPr="0084149C">
              <w:rPr>
                <w:rFonts w:ascii="Arial" w:hAnsi="Arial" w:cs="Arial"/>
                <w:b/>
                <w:szCs w:val="24"/>
              </w:rPr>
              <w:t>2016</w:t>
            </w:r>
          </w:p>
        </w:tc>
        <w:tc>
          <w:tcPr>
            <w:tcW w:w="1766" w:type="dxa"/>
            <w:shd w:val="clear" w:color="auto" w:fill="BDD6EE" w:themeFill="accent1" w:themeFillTint="66"/>
          </w:tcPr>
          <w:p w:rsidR="0084149C" w:rsidRPr="0084149C" w:rsidRDefault="0084149C" w:rsidP="0084149C">
            <w:pPr>
              <w:spacing w:line="240" w:lineRule="auto"/>
              <w:jc w:val="both"/>
              <w:rPr>
                <w:rFonts w:ascii="Arial" w:hAnsi="Arial" w:cs="Arial"/>
                <w:b/>
                <w:szCs w:val="24"/>
              </w:rPr>
            </w:pPr>
            <w:r w:rsidRPr="0084149C">
              <w:rPr>
                <w:rFonts w:ascii="Arial" w:hAnsi="Arial" w:cs="Arial"/>
                <w:b/>
                <w:szCs w:val="24"/>
              </w:rPr>
              <w:t>2017</w:t>
            </w:r>
          </w:p>
        </w:tc>
        <w:tc>
          <w:tcPr>
            <w:tcW w:w="1766" w:type="dxa"/>
            <w:shd w:val="clear" w:color="auto" w:fill="BDD6EE" w:themeFill="accent1" w:themeFillTint="66"/>
          </w:tcPr>
          <w:p w:rsidR="0084149C" w:rsidRPr="0084149C" w:rsidRDefault="0084149C" w:rsidP="0084149C">
            <w:pPr>
              <w:spacing w:line="240" w:lineRule="auto"/>
              <w:jc w:val="both"/>
              <w:rPr>
                <w:rFonts w:ascii="Arial" w:hAnsi="Arial" w:cs="Arial"/>
                <w:b/>
                <w:szCs w:val="24"/>
              </w:rPr>
            </w:pPr>
            <w:r w:rsidRPr="0084149C">
              <w:rPr>
                <w:rFonts w:ascii="Arial" w:hAnsi="Arial" w:cs="Arial"/>
                <w:b/>
                <w:szCs w:val="24"/>
              </w:rPr>
              <w:t>2018</w:t>
            </w:r>
          </w:p>
        </w:tc>
        <w:tc>
          <w:tcPr>
            <w:tcW w:w="1766" w:type="dxa"/>
            <w:shd w:val="clear" w:color="auto" w:fill="BDD6EE" w:themeFill="accent1" w:themeFillTint="66"/>
          </w:tcPr>
          <w:p w:rsidR="0084149C" w:rsidRPr="0084149C" w:rsidRDefault="0084149C" w:rsidP="0084149C">
            <w:pPr>
              <w:spacing w:line="240" w:lineRule="auto"/>
              <w:jc w:val="both"/>
              <w:rPr>
                <w:rFonts w:ascii="Arial" w:hAnsi="Arial" w:cs="Arial"/>
                <w:b/>
                <w:szCs w:val="24"/>
              </w:rPr>
            </w:pPr>
            <w:r w:rsidRPr="0084149C">
              <w:rPr>
                <w:rFonts w:ascii="Arial" w:hAnsi="Arial" w:cs="Arial"/>
                <w:b/>
                <w:szCs w:val="24"/>
              </w:rPr>
              <w:t>2019</w:t>
            </w:r>
          </w:p>
        </w:tc>
      </w:tr>
      <w:tr w:rsidR="0084149C" w:rsidRPr="0084149C" w:rsidTr="00B85448">
        <w:tc>
          <w:tcPr>
            <w:tcW w:w="1765" w:type="dxa"/>
          </w:tcPr>
          <w:p w:rsidR="0084149C" w:rsidRPr="0084149C" w:rsidRDefault="0084149C" w:rsidP="0084149C">
            <w:pPr>
              <w:spacing w:line="240" w:lineRule="auto"/>
              <w:jc w:val="both"/>
              <w:rPr>
                <w:rFonts w:ascii="Arial" w:hAnsi="Arial" w:cs="Arial"/>
                <w:szCs w:val="24"/>
              </w:rPr>
            </w:pPr>
            <w:r w:rsidRPr="0084149C">
              <w:rPr>
                <w:rFonts w:ascii="Arial" w:hAnsi="Arial" w:cs="Arial"/>
                <w:bCs/>
                <w:szCs w:val="24"/>
              </w:rPr>
              <w:t>STMST</w:t>
            </w:r>
          </w:p>
        </w:tc>
        <w:tc>
          <w:tcPr>
            <w:tcW w:w="1765" w:type="dxa"/>
          </w:tcPr>
          <w:p w:rsidR="0084149C" w:rsidRPr="0084149C" w:rsidRDefault="0084149C" w:rsidP="0084149C">
            <w:pPr>
              <w:spacing w:line="240" w:lineRule="auto"/>
              <w:jc w:val="both"/>
              <w:rPr>
                <w:rFonts w:ascii="Arial" w:hAnsi="Arial" w:cs="Arial"/>
              </w:rPr>
            </w:pPr>
            <w:r w:rsidRPr="0084149C">
              <w:rPr>
                <w:rFonts w:ascii="Arial" w:hAnsi="Arial" w:cs="Arial"/>
              </w:rPr>
              <w:t>416,9</w:t>
            </w:r>
          </w:p>
        </w:tc>
        <w:tc>
          <w:tcPr>
            <w:tcW w:w="1766" w:type="dxa"/>
          </w:tcPr>
          <w:p w:rsidR="0084149C" w:rsidRPr="0084149C" w:rsidRDefault="0084149C" w:rsidP="0084149C">
            <w:pPr>
              <w:spacing w:line="240" w:lineRule="auto"/>
              <w:jc w:val="both"/>
              <w:rPr>
                <w:rFonts w:ascii="Arial" w:hAnsi="Arial" w:cs="Arial"/>
              </w:rPr>
            </w:pPr>
            <w:r w:rsidRPr="0084149C">
              <w:rPr>
                <w:rFonts w:ascii="Arial" w:hAnsi="Arial" w:cs="Arial"/>
              </w:rPr>
              <w:t>32.960,98</w:t>
            </w:r>
          </w:p>
        </w:tc>
        <w:tc>
          <w:tcPr>
            <w:tcW w:w="1766" w:type="dxa"/>
          </w:tcPr>
          <w:p w:rsidR="0084149C" w:rsidRPr="0084149C" w:rsidRDefault="0084149C" w:rsidP="0084149C">
            <w:pPr>
              <w:spacing w:line="240" w:lineRule="auto"/>
              <w:jc w:val="both"/>
              <w:rPr>
                <w:rFonts w:ascii="Arial" w:hAnsi="Arial" w:cs="Arial"/>
              </w:rPr>
            </w:pPr>
            <w:r w:rsidRPr="0084149C">
              <w:rPr>
                <w:rFonts w:ascii="Arial" w:hAnsi="Arial" w:cs="Arial"/>
              </w:rPr>
              <w:t>43.261,95</w:t>
            </w:r>
          </w:p>
        </w:tc>
        <w:tc>
          <w:tcPr>
            <w:tcW w:w="1766" w:type="dxa"/>
          </w:tcPr>
          <w:p w:rsidR="0084149C" w:rsidRPr="0084149C" w:rsidRDefault="0084149C" w:rsidP="0084149C">
            <w:pPr>
              <w:spacing w:line="240" w:lineRule="auto"/>
              <w:jc w:val="both"/>
              <w:rPr>
                <w:rFonts w:ascii="Arial" w:hAnsi="Arial" w:cs="Arial"/>
              </w:rPr>
            </w:pPr>
            <w:r w:rsidRPr="0084149C">
              <w:rPr>
                <w:rFonts w:ascii="Arial" w:hAnsi="Arial" w:cs="Arial"/>
              </w:rPr>
              <w:t>38.113,1</w:t>
            </w:r>
          </w:p>
        </w:tc>
      </w:tr>
      <w:tr w:rsidR="0084149C" w:rsidRPr="0084149C" w:rsidTr="00B85448">
        <w:tc>
          <w:tcPr>
            <w:tcW w:w="1765" w:type="dxa"/>
          </w:tcPr>
          <w:p w:rsidR="0084149C" w:rsidRPr="0084149C" w:rsidRDefault="0084149C" w:rsidP="0084149C">
            <w:pPr>
              <w:spacing w:line="240" w:lineRule="auto"/>
              <w:jc w:val="both"/>
              <w:rPr>
                <w:rFonts w:ascii="Arial" w:hAnsi="Arial" w:cs="Arial"/>
                <w:szCs w:val="24"/>
              </w:rPr>
            </w:pPr>
            <w:r w:rsidRPr="0084149C">
              <w:rPr>
                <w:rFonts w:ascii="Arial" w:hAnsi="Arial" w:cs="Arial"/>
                <w:bCs/>
                <w:szCs w:val="24"/>
              </w:rPr>
              <w:t>STMSV</w:t>
            </w:r>
          </w:p>
        </w:tc>
        <w:tc>
          <w:tcPr>
            <w:tcW w:w="1765" w:type="dxa"/>
          </w:tcPr>
          <w:p w:rsidR="0084149C" w:rsidRPr="0084149C" w:rsidRDefault="0084149C" w:rsidP="0084149C">
            <w:pPr>
              <w:spacing w:line="240" w:lineRule="auto"/>
              <w:jc w:val="both"/>
              <w:rPr>
                <w:rFonts w:ascii="Arial" w:hAnsi="Arial" w:cs="Arial"/>
              </w:rPr>
            </w:pPr>
            <w:r w:rsidRPr="0084149C">
              <w:rPr>
                <w:rFonts w:ascii="Arial" w:hAnsi="Arial" w:cs="Arial"/>
              </w:rPr>
              <w:t>778,08</w:t>
            </w:r>
          </w:p>
        </w:tc>
        <w:tc>
          <w:tcPr>
            <w:tcW w:w="1766" w:type="dxa"/>
          </w:tcPr>
          <w:p w:rsidR="0084149C" w:rsidRPr="0084149C" w:rsidRDefault="0084149C" w:rsidP="0084149C">
            <w:pPr>
              <w:spacing w:line="240" w:lineRule="auto"/>
              <w:jc w:val="both"/>
              <w:rPr>
                <w:rFonts w:ascii="Arial" w:hAnsi="Arial" w:cs="Arial"/>
              </w:rPr>
            </w:pPr>
            <w:r w:rsidRPr="0084149C">
              <w:rPr>
                <w:rFonts w:ascii="Arial" w:hAnsi="Arial" w:cs="Arial"/>
              </w:rPr>
              <w:t>1.649,94</w:t>
            </w:r>
          </w:p>
        </w:tc>
        <w:tc>
          <w:tcPr>
            <w:tcW w:w="1766" w:type="dxa"/>
          </w:tcPr>
          <w:p w:rsidR="0084149C" w:rsidRPr="0084149C" w:rsidRDefault="0084149C" w:rsidP="0084149C">
            <w:pPr>
              <w:spacing w:line="240" w:lineRule="auto"/>
              <w:jc w:val="both"/>
              <w:rPr>
                <w:rFonts w:ascii="Arial" w:hAnsi="Arial" w:cs="Arial"/>
              </w:rPr>
            </w:pPr>
            <w:r w:rsidRPr="0084149C">
              <w:rPr>
                <w:rFonts w:ascii="Arial" w:hAnsi="Arial" w:cs="Arial"/>
              </w:rPr>
              <w:t>38.708,63</w:t>
            </w:r>
          </w:p>
        </w:tc>
        <w:tc>
          <w:tcPr>
            <w:tcW w:w="1766" w:type="dxa"/>
          </w:tcPr>
          <w:p w:rsidR="0084149C" w:rsidRPr="0084149C" w:rsidRDefault="0084149C" w:rsidP="0084149C">
            <w:pPr>
              <w:spacing w:line="240" w:lineRule="auto"/>
              <w:jc w:val="both"/>
              <w:rPr>
                <w:rFonts w:ascii="Arial" w:hAnsi="Arial" w:cs="Arial"/>
              </w:rPr>
            </w:pPr>
            <w:r w:rsidRPr="0084149C">
              <w:rPr>
                <w:rFonts w:ascii="Arial" w:hAnsi="Arial" w:cs="Arial"/>
              </w:rPr>
              <w:t>42.243,67</w:t>
            </w:r>
          </w:p>
        </w:tc>
      </w:tr>
      <w:tr w:rsidR="0084149C" w:rsidRPr="0084149C" w:rsidTr="00B85448">
        <w:tc>
          <w:tcPr>
            <w:tcW w:w="1765" w:type="dxa"/>
            <w:shd w:val="clear" w:color="auto" w:fill="auto"/>
          </w:tcPr>
          <w:p w:rsidR="0084149C" w:rsidRPr="0084149C" w:rsidRDefault="0084149C" w:rsidP="0084149C">
            <w:pPr>
              <w:spacing w:line="240" w:lineRule="auto"/>
              <w:jc w:val="both"/>
              <w:rPr>
                <w:rFonts w:ascii="Arial" w:hAnsi="Arial" w:cs="Arial"/>
                <w:szCs w:val="24"/>
              </w:rPr>
            </w:pPr>
            <w:r w:rsidRPr="0084149C">
              <w:rPr>
                <w:rFonts w:ascii="Arial" w:hAnsi="Arial" w:cs="Arial"/>
                <w:bCs/>
                <w:szCs w:val="24"/>
              </w:rPr>
              <w:t>TOTAL</w:t>
            </w:r>
          </w:p>
        </w:tc>
        <w:tc>
          <w:tcPr>
            <w:tcW w:w="1765" w:type="dxa"/>
            <w:shd w:val="clear" w:color="auto" w:fill="auto"/>
          </w:tcPr>
          <w:p w:rsidR="0084149C" w:rsidRPr="0084149C" w:rsidRDefault="0084149C" w:rsidP="0084149C">
            <w:pPr>
              <w:spacing w:line="240" w:lineRule="auto"/>
              <w:jc w:val="both"/>
              <w:rPr>
                <w:rFonts w:ascii="Arial" w:hAnsi="Arial" w:cs="Arial"/>
              </w:rPr>
            </w:pPr>
            <w:r w:rsidRPr="0084149C">
              <w:rPr>
                <w:rFonts w:ascii="Arial" w:hAnsi="Arial" w:cs="Arial"/>
              </w:rPr>
              <w:t>1.194,98</w:t>
            </w:r>
          </w:p>
        </w:tc>
        <w:tc>
          <w:tcPr>
            <w:tcW w:w="1766" w:type="dxa"/>
            <w:shd w:val="clear" w:color="auto" w:fill="auto"/>
          </w:tcPr>
          <w:p w:rsidR="0084149C" w:rsidRPr="0084149C" w:rsidRDefault="0084149C" w:rsidP="0084149C">
            <w:pPr>
              <w:spacing w:line="240" w:lineRule="auto"/>
              <w:jc w:val="both"/>
              <w:rPr>
                <w:rFonts w:ascii="Arial" w:hAnsi="Arial" w:cs="Arial"/>
              </w:rPr>
            </w:pPr>
            <w:r w:rsidRPr="0084149C">
              <w:rPr>
                <w:rFonts w:ascii="Arial" w:hAnsi="Arial" w:cs="Arial"/>
              </w:rPr>
              <w:t>34.610,92</w:t>
            </w:r>
          </w:p>
        </w:tc>
        <w:tc>
          <w:tcPr>
            <w:tcW w:w="1766" w:type="dxa"/>
            <w:shd w:val="clear" w:color="auto" w:fill="auto"/>
          </w:tcPr>
          <w:p w:rsidR="0084149C" w:rsidRPr="0084149C" w:rsidRDefault="0084149C" w:rsidP="0084149C">
            <w:pPr>
              <w:spacing w:line="240" w:lineRule="auto"/>
              <w:jc w:val="both"/>
              <w:rPr>
                <w:rFonts w:ascii="Arial" w:hAnsi="Arial" w:cs="Arial"/>
              </w:rPr>
            </w:pPr>
            <w:r w:rsidRPr="0084149C">
              <w:rPr>
                <w:rFonts w:ascii="Arial" w:hAnsi="Arial" w:cs="Arial"/>
              </w:rPr>
              <w:t>81.970,58</w:t>
            </w:r>
          </w:p>
        </w:tc>
        <w:tc>
          <w:tcPr>
            <w:tcW w:w="1766" w:type="dxa"/>
            <w:shd w:val="clear" w:color="auto" w:fill="auto"/>
          </w:tcPr>
          <w:p w:rsidR="0084149C" w:rsidRPr="0084149C" w:rsidRDefault="0084149C" w:rsidP="0084149C">
            <w:pPr>
              <w:spacing w:line="240" w:lineRule="auto"/>
              <w:jc w:val="both"/>
              <w:rPr>
                <w:rFonts w:ascii="Arial" w:hAnsi="Arial" w:cs="Arial"/>
              </w:rPr>
            </w:pPr>
            <w:r w:rsidRPr="0084149C">
              <w:rPr>
                <w:rFonts w:ascii="Arial" w:hAnsi="Arial" w:cs="Arial"/>
              </w:rPr>
              <w:t>80.356,77</w:t>
            </w:r>
          </w:p>
        </w:tc>
      </w:tr>
      <w:tr w:rsidR="0084149C" w:rsidRPr="0084149C" w:rsidTr="00B85448">
        <w:trPr>
          <w:trHeight w:val="447"/>
        </w:trPr>
        <w:tc>
          <w:tcPr>
            <w:tcW w:w="8828" w:type="dxa"/>
            <w:gridSpan w:val="5"/>
            <w:shd w:val="clear" w:color="auto" w:fill="BDD6EE" w:themeFill="accent1" w:themeFillTint="66"/>
          </w:tcPr>
          <w:p w:rsidR="0084149C" w:rsidRPr="0084149C" w:rsidRDefault="0084149C" w:rsidP="0084149C">
            <w:pPr>
              <w:spacing w:before="120" w:after="120" w:line="240" w:lineRule="auto"/>
              <w:jc w:val="both"/>
              <w:rPr>
                <w:rFonts w:ascii="Arial" w:hAnsi="Arial" w:cs="Arial"/>
                <w:b/>
                <w:szCs w:val="24"/>
                <w:vertAlign w:val="superscript"/>
              </w:rPr>
            </w:pPr>
            <w:r w:rsidRPr="0084149C">
              <w:rPr>
                <w:rFonts w:ascii="Arial" w:hAnsi="Arial" w:cs="Arial"/>
                <w:b/>
                <w:szCs w:val="24"/>
              </w:rPr>
              <w:t>TOTAL RCD: 198.133.25 m</w:t>
            </w:r>
            <w:r w:rsidRPr="0084149C">
              <w:rPr>
                <w:rFonts w:ascii="Arial" w:hAnsi="Arial" w:cs="Arial"/>
                <w:b/>
                <w:szCs w:val="24"/>
                <w:vertAlign w:val="superscript"/>
              </w:rPr>
              <w:t>3</w:t>
            </w:r>
          </w:p>
        </w:tc>
      </w:tr>
    </w:tbl>
    <w:p w:rsidR="0084149C" w:rsidRDefault="0084149C" w:rsidP="0084149C">
      <w:pPr>
        <w:pStyle w:val="Ttulo2"/>
        <w:numPr>
          <w:ilvl w:val="0"/>
          <w:numId w:val="0"/>
        </w:numPr>
        <w:spacing w:line="276" w:lineRule="auto"/>
        <w:ind w:left="1428"/>
        <w:jc w:val="both"/>
      </w:pPr>
    </w:p>
    <w:p w:rsidR="006376FD" w:rsidRDefault="006376FD" w:rsidP="006376FD"/>
    <w:p w:rsidR="006376FD" w:rsidRPr="00F35F4D" w:rsidRDefault="006376FD" w:rsidP="00F35F4D">
      <w:pPr>
        <w:pStyle w:val="Ttulo2"/>
        <w:numPr>
          <w:ilvl w:val="0"/>
          <w:numId w:val="0"/>
        </w:numPr>
        <w:ind w:left="1428" w:hanging="360"/>
        <w:jc w:val="center"/>
        <w:rPr>
          <w:sz w:val="24"/>
          <w:szCs w:val="24"/>
        </w:rPr>
      </w:pPr>
      <w:bookmarkStart w:id="95" w:name="_Toc27665250"/>
      <w:bookmarkStart w:id="96" w:name="_Toc30774634"/>
      <w:r w:rsidRPr="00F35F4D">
        <w:rPr>
          <w:sz w:val="24"/>
          <w:szCs w:val="24"/>
        </w:rPr>
        <w:t>CAPITULO 7.  SISTEMA DE GESTIÓN INTEGRAL DE PROYECTOS – ZIPA</w:t>
      </w:r>
      <w:bookmarkEnd w:id="95"/>
      <w:bookmarkEnd w:id="96"/>
    </w:p>
    <w:p w:rsidR="006376FD" w:rsidRPr="006376FD" w:rsidRDefault="006376FD" w:rsidP="006376FD"/>
    <w:p w:rsidR="00D724FC" w:rsidRPr="00D724FC" w:rsidRDefault="00D724FC" w:rsidP="00D724FC">
      <w:pPr>
        <w:spacing w:line="276" w:lineRule="auto"/>
        <w:jc w:val="both"/>
        <w:rPr>
          <w:rFonts w:ascii="Arial" w:hAnsi="Arial" w:cs="Arial"/>
        </w:rPr>
      </w:pPr>
      <w:r w:rsidRPr="00D724FC">
        <w:rPr>
          <w:rFonts w:ascii="Arial" w:hAnsi="Arial" w:cs="Arial"/>
        </w:rPr>
        <w:t>Los sistemas de gestión modernos parten del principio de que todo proceso se debe medir, ya que lo que no se mide no se puede controlar, lo que no se puede controlar no se puede dirigir y lo que no se puede dirigir no se puede mejorar. En esa misma línea, el estado del arte a nivel mundial en materia de gestión de proyectos resalta la importancia del seguimiento de los mismos en sus diferentes dimensiones – alcance, tiempo, costo, calidad, riesgos, comunicaciones, entre otros – para proporcionar un entendimiento de su progreso, de tal forma que se puedan tomar las acciones correctivas y/o preventivas apropiadas cuando la ejecución se desvíe significativamente de la planificación.</w:t>
      </w:r>
    </w:p>
    <w:p w:rsidR="00D724FC" w:rsidRPr="00D724FC" w:rsidRDefault="00D724FC" w:rsidP="00D724FC">
      <w:pPr>
        <w:spacing w:line="276" w:lineRule="auto"/>
        <w:jc w:val="both"/>
        <w:rPr>
          <w:rFonts w:ascii="Arial" w:hAnsi="Arial" w:cs="Arial"/>
        </w:rPr>
      </w:pPr>
    </w:p>
    <w:p w:rsidR="00D724FC" w:rsidRPr="00D724FC" w:rsidRDefault="00D724FC" w:rsidP="00D724FC">
      <w:pPr>
        <w:spacing w:line="276" w:lineRule="auto"/>
        <w:jc w:val="both"/>
        <w:rPr>
          <w:rFonts w:ascii="Arial" w:hAnsi="Arial" w:cs="Arial"/>
        </w:rPr>
      </w:pPr>
      <w:r w:rsidRPr="00D724FC">
        <w:rPr>
          <w:rFonts w:ascii="Arial" w:hAnsi="Arial" w:cs="Arial"/>
        </w:rPr>
        <w:t>El seguimiento a proyectos de infraestructura vial y espacio público en el IDU es una herramienta fundamental para realizar el análisis del desempeño de los proyectos en ejecución, el seguimiento a los compromisos a cargo de cada uno de los responsables y la toma de decisiones estratégicas por parte de la Dirección General, buscando así el cumplimiento de las metas estratégicas establecidas en el marco del Plan de Desarrollo del Gobierno Distrital.</w:t>
      </w:r>
    </w:p>
    <w:p w:rsidR="00D724FC" w:rsidRPr="00D724FC" w:rsidRDefault="00D724FC" w:rsidP="00D724FC">
      <w:pPr>
        <w:spacing w:line="276" w:lineRule="auto"/>
        <w:jc w:val="both"/>
        <w:rPr>
          <w:rFonts w:ascii="Arial" w:hAnsi="Arial" w:cs="Arial"/>
        </w:rPr>
      </w:pPr>
    </w:p>
    <w:p w:rsidR="00D724FC" w:rsidRPr="00D724FC" w:rsidRDefault="00D724FC" w:rsidP="00D724FC">
      <w:pPr>
        <w:spacing w:line="276" w:lineRule="auto"/>
        <w:jc w:val="both"/>
        <w:rPr>
          <w:rFonts w:ascii="Arial" w:hAnsi="Arial" w:cs="Arial"/>
        </w:rPr>
      </w:pPr>
      <w:r w:rsidRPr="00D724FC">
        <w:rPr>
          <w:rFonts w:ascii="Arial" w:hAnsi="Arial" w:cs="Arial"/>
        </w:rPr>
        <w:t>La política del Sistema Integrado de Gestión - SIG del IDU, establece el compromiso de la Dirección General con el mejoramiento del desempeño y los resultados de la gestión del Instituto. En ese orden de ideas y en el marco del proceso estratégico de Gestión Integral de Proyectos, durante todo el cuatrienio se implementaron nasas mejores prácticas en gestión y seguimiento de proyectos con base en metodologías de amplio reconocimiento a nivel internacional, las cuales permiten generar un control integral (técnico, administrativo, financiero y jurídico) de los proyectos de infraestructura vial y espacio público que se encuentran a su cargo, dirigido al cumplimiento de las metas institucionales y los compromisos adquiridos con las comunidades beneficiadas con la ejecución de los proyectos.</w:t>
      </w:r>
    </w:p>
    <w:p w:rsidR="00D724FC" w:rsidRPr="00D724FC" w:rsidRDefault="00D724FC" w:rsidP="00D724FC">
      <w:pPr>
        <w:spacing w:line="276" w:lineRule="auto"/>
        <w:jc w:val="both"/>
        <w:rPr>
          <w:rFonts w:ascii="Arial" w:hAnsi="Arial" w:cs="Arial"/>
        </w:rPr>
      </w:pPr>
    </w:p>
    <w:p w:rsidR="00D724FC" w:rsidRPr="00D724FC" w:rsidRDefault="00D724FC" w:rsidP="00D724FC">
      <w:pPr>
        <w:spacing w:line="276" w:lineRule="auto"/>
        <w:jc w:val="both"/>
        <w:rPr>
          <w:rFonts w:ascii="Arial" w:hAnsi="Arial" w:cs="Arial"/>
        </w:rPr>
      </w:pPr>
      <w:r w:rsidRPr="00D724FC">
        <w:rPr>
          <w:rFonts w:ascii="Arial" w:hAnsi="Arial" w:cs="Arial"/>
        </w:rPr>
        <w:t>El esquema de gestión y seguimiento de proyectos de la entidad tuvo como pilares fundamentales la transparencia y la oportunidad en el acceso a la información del estado y desempeño de los proyectos por parte de los interesados internos y externos, con el fin de permitir la generación de alertas tempranas y la toma de decisiones oportunas y eficaces para garantizar el éxito de los mismos.</w:t>
      </w:r>
    </w:p>
    <w:p w:rsidR="00D724FC" w:rsidRPr="00D724FC" w:rsidRDefault="00D724FC" w:rsidP="00D724FC">
      <w:pPr>
        <w:spacing w:line="276" w:lineRule="auto"/>
        <w:jc w:val="both"/>
        <w:rPr>
          <w:rFonts w:ascii="Arial" w:hAnsi="Arial" w:cs="Arial"/>
        </w:rPr>
      </w:pPr>
    </w:p>
    <w:p w:rsidR="00D724FC" w:rsidRPr="00D724FC" w:rsidRDefault="00D724FC" w:rsidP="00D724FC">
      <w:pPr>
        <w:spacing w:line="276" w:lineRule="auto"/>
        <w:jc w:val="both"/>
        <w:rPr>
          <w:rFonts w:ascii="Arial" w:hAnsi="Arial" w:cs="Arial"/>
        </w:rPr>
      </w:pPr>
      <w:r w:rsidRPr="00D724FC">
        <w:rPr>
          <w:rFonts w:ascii="Arial" w:hAnsi="Arial" w:cs="Arial"/>
        </w:rPr>
        <w:t xml:space="preserve">Con el fin de facilitar la gestión del portafolio corporativo de proyectos, la Dirección General lideró el desarrollo de una herramienta tecnológica denominada ZIPA – Sistema de Gestión Integral de Proyectos, accesible en la dirección web </w:t>
      </w:r>
      <w:hyperlink r:id="rId27" w:history="1">
        <w:r w:rsidRPr="00D724FC">
          <w:rPr>
            <w:rStyle w:val="Hipervnculo"/>
            <w:rFonts w:ascii="Arial" w:hAnsi="Arial" w:cs="Arial"/>
          </w:rPr>
          <w:t>https://openerp.idu.gov.co</w:t>
        </w:r>
      </w:hyperlink>
      <w:r w:rsidRPr="00D724FC">
        <w:rPr>
          <w:rStyle w:val="Hipervnculo"/>
          <w:rFonts w:ascii="Arial" w:hAnsi="Arial" w:cs="Arial"/>
        </w:rPr>
        <w:t>/page/Zipa</w:t>
      </w:r>
      <w:r w:rsidRPr="00D724FC">
        <w:rPr>
          <w:rFonts w:ascii="Arial" w:hAnsi="Arial" w:cs="Arial"/>
        </w:rPr>
        <w:t>, que integra la información contractual, financiera, técnica, administrativa y geográfica actualizada de los proyectos que se encuentra en diversas plataformas tecnológicas (SIAC, STONE, SIGIDU, etc.) bajo el manejo de las áreas del Instituto que tienen a su cargo las diferentes etapas del ciclo de vida de los proyectos (Prefactibilidad, Factibilidad, Gestión Predial, diseño, construcción, conservación), organizándola de manera amigable y poniéndola a disposición de la alta dirección del IDU y de los interesados tanto internos como externos.</w:t>
      </w:r>
    </w:p>
    <w:p w:rsidR="00D724FC" w:rsidRPr="00D724FC" w:rsidRDefault="00D724FC" w:rsidP="00D724FC">
      <w:pPr>
        <w:spacing w:line="276" w:lineRule="auto"/>
        <w:jc w:val="both"/>
        <w:rPr>
          <w:rFonts w:ascii="Arial" w:hAnsi="Arial" w:cs="Arial"/>
        </w:rPr>
      </w:pPr>
    </w:p>
    <w:p w:rsidR="00D724FC" w:rsidRPr="00D724FC" w:rsidRDefault="00D724FC" w:rsidP="00D724FC">
      <w:pPr>
        <w:spacing w:line="276" w:lineRule="auto"/>
        <w:jc w:val="both"/>
        <w:rPr>
          <w:rFonts w:ascii="Arial" w:hAnsi="Arial" w:cs="Arial"/>
        </w:rPr>
      </w:pPr>
      <w:r w:rsidRPr="00D724FC">
        <w:rPr>
          <w:rFonts w:ascii="Arial" w:hAnsi="Arial" w:cs="Arial"/>
        </w:rPr>
        <w:t>El Sistema de Gestión Integral de Proyectos  - ZIPA ha sido parametrizado para permitir la visualización de los siguientes módulos:</w:t>
      </w:r>
    </w:p>
    <w:p w:rsidR="00D724FC" w:rsidRPr="00D724FC" w:rsidRDefault="00D724FC" w:rsidP="00D724FC">
      <w:pPr>
        <w:spacing w:line="276" w:lineRule="auto"/>
        <w:jc w:val="both"/>
        <w:rPr>
          <w:rFonts w:ascii="Arial" w:hAnsi="Arial" w:cs="Arial"/>
        </w:rPr>
      </w:pPr>
    </w:p>
    <w:p w:rsidR="00D724FC" w:rsidRPr="00D724FC" w:rsidRDefault="00D724FC" w:rsidP="00D724FC">
      <w:pPr>
        <w:spacing w:line="276" w:lineRule="auto"/>
        <w:jc w:val="both"/>
        <w:rPr>
          <w:rFonts w:ascii="Arial" w:hAnsi="Arial" w:cs="Arial"/>
        </w:rPr>
      </w:pPr>
    </w:p>
    <w:p w:rsidR="00D724FC" w:rsidRPr="00D724FC" w:rsidRDefault="00D724FC" w:rsidP="00D0183B">
      <w:pPr>
        <w:pStyle w:val="Prrafodelista"/>
        <w:widowControl w:val="0"/>
        <w:numPr>
          <w:ilvl w:val="0"/>
          <w:numId w:val="26"/>
        </w:numPr>
        <w:tabs>
          <w:tab w:val="left" w:pos="709"/>
        </w:tabs>
        <w:suppressAutoHyphens/>
        <w:spacing w:after="0" w:line="276" w:lineRule="auto"/>
        <w:ind w:left="567" w:hanging="283"/>
        <w:jc w:val="both"/>
        <w:rPr>
          <w:rFonts w:ascii="Arial" w:hAnsi="Arial" w:cs="Arial"/>
        </w:rPr>
      </w:pPr>
      <w:r w:rsidRPr="00D724FC">
        <w:rPr>
          <w:rFonts w:ascii="Arial" w:hAnsi="Arial" w:cs="Arial"/>
          <w:b/>
        </w:rPr>
        <w:t>Resumen Ejecutivo</w:t>
      </w:r>
      <w:r w:rsidRPr="00D724FC">
        <w:rPr>
          <w:rFonts w:ascii="Arial" w:hAnsi="Arial" w:cs="Arial"/>
        </w:rPr>
        <w:t>, módulo donde se muestra un resumen de alto nivel del estado de los proyectos que incluye, entre otros, la identificación de la etapa en la que se encuentra el proyecto, la fecha de corte de la información, los integrantes del equipo de apoyo a la supervisión, información contractual, información financiera, información predial, avance programado y ejecutado a la fecha de corte tanto general como por componente/frente, así como las novedades generales y/o específicas por componente/frente, según corresponda de acuerdo con el tipo de contrato.</w:t>
      </w:r>
    </w:p>
    <w:p w:rsidR="00D724FC" w:rsidRPr="00D724FC" w:rsidRDefault="00D724FC" w:rsidP="00D724FC">
      <w:pPr>
        <w:pStyle w:val="Prrafodelista"/>
        <w:tabs>
          <w:tab w:val="left" w:pos="709"/>
        </w:tabs>
        <w:spacing w:line="276" w:lineRule="auto"/>
        <w:ind w:left="567" w:hanging="283"/>
        <w:jc w:val="both"/>
        <w:rPr>
          <w:rFonts w:ascii="Arial" w:hAnsi="Arial" w:cs="Arial"/>
        </w:rPr>
      </w:pPr>
    </w:p>
    <w:p w:rsidR="00D724FC" w:rsidRPr="00D724FC" w:rsidRDefault="00D724FC" w:rsidP="00D0183B">
      <w:pPr>
        <w:pStyle w:val="Prrafodelista"/>
        <w:widowControl w:val="0"/>
        <w:numPr>
          <w:ilvl w:val="0"/>
          <w:numId w:val="26"/>
        </w:numPr>
        <w:tabs>
          <w:tab w:val="left" w:pos="709"/>
        </w:tabs>
        <w:suppressAutoHyphens/>
        <w:spacing w:after="0" w:line="276" w:lineRule="auto"/>
        <w:ind w:left="567" w:hanging="283"/>
        <w:jc w:val="both"/>
        <w:rPr>
          <w:rFonts w:ascii="Arial" w:hAnsi="Arial" w:cs="Arial"/>
        </w:rPr>
      </w:pPr>
      <w:r w:rsidRPr="00D724FC">
        <w:rPr>
          <w:rFonts w:ascii="Arial" w:hAnsi="Arial" w:cs="Arial"/>
          <w:b/>
        </w:rPr>
        <w:t>Visor de Proyectos</w:t>
      </w:r>
      <w:r w:rsidRPr="00D724FC">
        <w:rPr>
          <w:rFonts w:ascii="Arial" w:hAnsi="Arial" w:cs="Arial"/>
        </w:rPr>
        <w:t>, módulo que estará accesible para toda la ciudadanía y reemplazará al actual Visor de Obra a partir de la fecha oficial de inicio del ZIPA – Sistema de Gestión Integral de Proyectos a nivel corporativo. Dicho visor fue rediseñado para permitir que los usuarios encuentren información útil de los proyectos en ejecución en toda la ciudad a través de las facilidades geográficas oficiales que maneja el Distrito.</w:t>
      </w:r>
    </w:p>
    <w:p w:rsidR="00D724FC" w:rsidRPr="00D724FC" w:rsidRDefault="00D724FC" w:rsidP="00D724FC">
      <w:pPr>
        <w:pStyle w:val="Prrafodelista"/>
        <w:tabs>
          <w:tab w:val="left" w:pos="709"/>
        </w:tabs>
        <w:spacing w:line="276" w:lineRule="auto"/>
        <w:ind w:left="567" w:hanging="283"/>
        <w:jc w:val="both"/>
        <w:rPr>
          <w:rFonts w:ascii="Arial" w:hAnsi="Arial" w:cs="Arial"/>
        </w:rPr>
      </w:pPr>
    </w:p>
    <w:p w:rsidR="00D724FC" w:rsidRPr="00D724FC" w:rsidRDefault="00D724FC" w:rsidP="00D0183B">
      <w:pPr>
        <w:pStyle w:val="Prrafodelista"/>
        <w:widowControl w:val="0"/>
        <w:numPr>
          <w:ilvl w:val="0"/>
          <w:numId w:val="26"/>
        </w:numPr>
        <w:tabs>
          <w:tab w:val="left" w:pos="709"/>
        </w:tabs>
        <w:suppressAutoHyphens/>
        <w:spacing w:after="0" w:line="276" w:lineRule="auto"/>
        <w:ind w:left="567" w:hanging="283"/>
        <w:jc w:val="both"/>
        <w:rPr>
          <w:rFonts w:ascii="Arial" w:hAnsi="Arial" w:cs="Arial"/>
        </w:rPr>
      </w:pPr>
      <w:r w:rsidRPr="00D724FC">
        <w:rPr>
          <w:rFonts w:ascii="Arial" w:hAnsi="Arial" w:cs="Arial"/>
          <w:b/>
        </w:rPr>
        <w:t>Backend</w:t>
      </w:r>
      <w:r w:rsidRPr="00D724FC">
        <w:rPr>
          <w:rFonts w:ascii="Arial" w:hAnsi="Arial" w:cs="Arial"/>
        </w:rPr>
        <w:t>, módulo que sólo estará accesible para el equipo de apoyo a la supervisión y de las áreas ejecutoras y es la única herramienta a través de la cual dichos interesados deberán actualizar a más tardar los días Miércoles de cada semana la información técnica y administrativa del avance de los proyectos, la cual se desplegará tanto en el Resumen Ejecutivo como en el Visor de Proyectos.</w:t>
      </w:r>
    </w:p>
    <w:p w:rsidR="00D724FC" w:rsidRPr="00D724FC" w:rsidRDefault="00D724FC" w:rsidP="00D724FC">
      <w:pPr>
        <w:tabs>
          <w:tab w:val="left" w:pos="426"/>
        </w:tabs>
        <w:spacing w:line="276" w:lineRule="auto"/>
        <w:ind w:left="426" w:hanging="426"/>
        <w:jc w:val="both"/>
        <w:rPr>
          <w:rFonts w:ascii="Arial" w:hAnsi="Arial" w:cs="Arial"/>
        </w:rPr>
      </w:pPr>
    </w:p>
    <w:p w:rsidR="00D724FC" w:rsidRPr="00D724FC" w:rsidRDefault="00D724FC" w:rsidP="00D724FC">
      <w:pPr>
        <w:spacing w:line="276" w:lineRule="auto"/>
        <w:ind w:right="49"/>
        <w:jc w:val="both"/>
        <w:rPr>
          <w:rFonts w:ascii="Arial" w:hAnsi="Arial" w:cs="Arial"/>
        </w:rPr>
      </w:pPr>
      <w:r w:rsidRPr="00D724FC">
        <w:rPr>
          <w:rFonts w:ascii="Arial" w:hAnsi="Arial" w:cs="Arial"/>
        </w:rPr>
        <w:t xml:space="preserve">Para lograr la implementación del Sistema al interior del Instituto, con el liderazgo de la Dirección General y la participación de las dependencias a cargo de los proyectos, fue </w:t>
      </w:r>
      <w:r w:rsidRPr="00D724FC">
        <w:rPr>
          <w:rFonts w:ascii="Arial" w:hAnsi="Arial" w:cs="Arial"/>
        </w:rPr>
        <w:lastRenderedPageBreak/>
        <w:t>necesario estandarizar la información a presentar a los diferentes grupos de interés del Sistema y posteriormente elaborar el código del software que permitiera su uso por parte de los funcionarios del Instituto. Este trabajo se realizó desde el último trimestre de 2016 hasta el mes de mayo de 2017, fecha en la cual fue lanzado oficialmente el sistema a través de la Circular 005 de 2017 de la Dirección General.</w:t>
      </w:r>
    </w:p>
    <w:p w:rsidR="00D724FC" w:rsidRPr="00D724FC" w:rsidRDefault="00D724FC" w:rsidP="00D724FC">
      <w:pPr>
        <w:spacing w:line="276" w:lineRule="auto"/>
        <w:ind w:right="49"/>
        <w:jc w:val="both"/>
        <w:rPr>
          <w:rFonts w:ascii="Arial" w:hAnsi="Arial" w:cs="Arial"/>
        </w:rPr>
      </w:pPr>
    </w:p>
    <w:p w:rsidR="00D724FC" w:rsidRPr="00D724FC" w:rsidRDefault="00D724FC" w:rsidP="00D724FC">
      <w:pPr>
        <w:spacing w:line="276" w:lineRule="auto"/>
        <w:ind w:right="49"/>
        <w:jc w:val="both"/>
        <w:rPr>
          <w:rFonts w:ascii="Arial" w:hAnsi="Arial" w:cs="Arial"/>
        </w:rPr>
      </w:pPr>
      <w:r w:rsidRPr="00D724FC">
        <w:rPr>
          <w:rFonts w:ascii="Arial" w:hAnsi="Arial" w:cs="Arial"/>
        </w:rPr>
        <w:t xml:space="preserve">Una de las características más importantes que tiene el sistema es que se encuentra desarrollado en un software libre denominado </w:t>
      </w:r>
      <w:r w:rsidRPr="00D724FC">
        <w:rPr>
          <w:rFonts w:ascii="Arial" w:hAnsi="Arial" w:cs="Arial"/>
          <w:i/>
        </w:rPr>
        <w:t xml:space="preserve">OpenERP, </w:t>
      </w:r>
      <w:r w:rsidRPr="00D724FC">
        <w:rPr>
          <w:rFonts w:ascii="Arial" w:hAnsi="Arial" w:cs="Arial"/>
        </w:rPr>
        <w:t>por lo que el Instituto no tiene que pagar costos de licenciamiento, es propietaria del código fuente del sistema y lo puede ajustar a las necesidades tanto de sus colaboradores como a los de la ciudadanía en general.</w:t>
      </w:r>
    </w:p>
    <w:p w:rsidR="00D724FC" w:rsidRPr="00D724FC" w:rsidRDefault="00D724FC" w:rsidP="00D724FC">
      <w:pPr>
        <w:spacing w:line="276" w:lineRule="auto"/>
        <w:jc w:val="both"/>
        <w:rPr>
          <w:rFonts w:ascii="Arial" w:hAnsi="Arial" w:cs="Arial"/>
        </w:rPr>
      </w:pPr>
    </w:p>
    <w:p w:rsidR="00D724FC" w:rsidRPr="00D724FC" w:rsidRDefault="00D724FC" w:rsidP="00D724FC">
      <w:pPr>
        <w:spacing w:line="276" w:lineRule="auto"/>
        <w:jc w:val="both"/>
        <w:rPr>
          <w:rFonts w:ascii="Arial" w:hAnsi="Arial" w:cs="Arial"/>
        </w:rPr>
      </w:pPr>
      <w:r w:rsidRPr="00D724FC">
        <w:rPr>
          <w:rFonts w:ascii="Arial" w:hAnsi="Arial" w:cs="Arial"/>
        </w:rPr>
        <w:t>Específicamente el Visor de proyectos, que hace parte del Sistema ZIPA, le permite a toda la ciudadanía conocer a través del mapa oficial del Distrito Capital la totalidad de los proyectos en ejecución que adelanta el Instituto, facilitando la búsqueda ya sea por localidad o por la dirección de los proyectos.</w:t>
      </w:r>
    </w:p>
    <w:p w:rsidR="00D724FC" w:rsidRDefault="00D724FC" w:rsidP="00D724FC">
      <w:pPr>
        <w:spacing w:line="276" w:lineRule="auto"/>
        <w:jc w:val="both"/>
        <w:rPr>
          <w:rFonts w:ascii="Arial" w:hAnsi="Arial" w:cs="Arial"/>
        </w:rPr>
      </w:pPr>
    </w:p>
    <w:p w:rsidR="00D724FC" w:rsidRDefault="00D724FC" w:rsidP="00D724FC">
      <w:pPr>
        <w:spacing w:line="276" w:lineRule="auto"/>
        <w:jc w:val="both"/>
        <w:rPr>
          <w:rFonts w:ascii="Arial" w:hAnsi="Arial" w:cs="Arial"/>
        </w:rPr>
      </w:pPr>
    </w:p>
    <w:p w:rsidR="00D724FC" w:rsidRPr="00D724FC" w:rsidRDefault="00D724FC" w:rsidP="00D724FC">
      <w:pPr>
        <w:spacing w:line="276" w:lineRule="auto"/>
        <w:jc w:val="both"/>
        <w:rPr>
          <w:rFonts w:ascii="Arial" w:hAnsi="Arial" w:cs="Arial"/>
        </w:rPr>
      </w:pPr>
    </w:p>
    <w:p w:rsidR="00D724FC" w:rsidRPr="00D724FC" w:rsidRDefault="00D724FC" w:rsidP="00D724FC">
      <w:pPr>
        <w:pStyle w:val="Descripcin"/>
        <w:rPr>
          <w:rFonts w:ascii="Arial" w:hAnsi="Arial" w:cs="Arial"/>
          <w:sz w:val="24"/>
        </w:rPr>
      </w:pPr>
      <w:bookmarkStart w:id="97" w:name="_Toc27665761"/>
      <w:r w:rsidRPr="00D724FC">
        <w:rPr>
          <w:rFonts w:ascii="Arial" w:hAnsi="Arial" w:cs="Arial"/>
        </w:rPr>
        <w:t>Visor de Proyectos IDU</w:t>
      </w:r>
      <w:bookmarkEnd w:id="97"/>
    </w:p>
    <w:p w:rsidR="00D724FC" w:rsidRPr="00D724FC" w:rsidRDefault="00D724FC" w:rsidP="00D724FC">
      <w:pPr>
        <w:spacing w:line="276" w:lineRule="auto"/>
        <w:jc w:val="both"/>
        <w:rPr>
          <w:rFonts w:ascii="Arial" w:hAnsi="Arial" w:cs="Arial"/>
        </w:rPr>
      </w:pPr>
      <w:r w:rsidRPr="00D724FC">
        <w:rPr>
          <w:rFonts w:ascii="Arial" w:hAnsi="Arial" w:cs="Arial"/>
          <w:noProof/>
          <w:lang w:eastAsia="es-CO"/>
        </w:rPr>
        <w:drawing>
          <wp:inline distT="0" distB="0" distL="0" distR="0" wp14:anchorId="0570EB72" wp14:editId="580514B5">
            <wp:extent cx="3581400" cy="272984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83672" cy="2731577"/>
                    </a:xfrm>
                    <a:prstGeom prst="rect">
                      <a:avLst/>
                    </a:prstGeom>
                    <a:noFill/>
                    <a:ln>
                      <a:noFill/>
                    </a:ln>
                  </pic:spPr>
                </pic:pic>
              </a:graphicData>
            </a:graphic>
          </wp:inline>
        </w:drawing>
      </w:r>
    </w:p>
    <w:p w:rsidR="00D724FC" w:rsidRPr="00D724FC" w:rsidRDefault="00D724FC" w:rsidP="00D724FC">
      <w:pPr>
        <w:spacing w:line="276" w:lineRule="auto"/>
        <w:jc w:val="both"/>
        <w:rPr>
          <w:rFonts w:ascii="Arial" w:hAnsi="Arial" w:cs="Arial"/>
          <w:sz w:val="20"/>
        </w:rPr>
      </w:pPr>
      <w:r w:rsidRPr="00D724FC">
        <w:rPr>
          <w:rFonts w:ascii="Arial" w:hAnsi="Arial" w:cs="Arial"/>
          <w:sz w:val="20"/>
        </w:rPr>
        <w:t>Fuente: http://opendata.idu.gov.co/visor_proyectos/</w:t>
      </w:r>
    </w:p>
    <w:p w:rsidR="00D724FC" w:rsidRPr="00D724FC" w:rsidRDefault="00D724FC" w:rsidP="00D724FC">
      <w:pPr>
        <w:spacing w:line="276" w:lineRule="auto"/>
        <w:jc w:val="both"/>
        <w:rPr>
          <w:rFonts w:ascii="Arial" w:hAnsi="Arial" w:cs="Arial"/>
        </w:rPr>
      </w:pPr>
    </w:p>
    <w:p w:rsidR="00D724FC" w:rsidRPr="00D724FC" w:rsidRDefault="00D724FC" w:rsidP="00D724FC">
      <w:pPr>
        <w:spacing w:line="276" w:lineRule="auto"/>
        <w:jc w:val="both"/>
        <w:rPr>
          <w:rFonts w:ascii="Arial" w:hAnsi="Arial" w:cs="Arial"/>
        </w:rPr>
      </w:pPr>
      <w:r w:rsidRPr="00D724FC">
        <w:rPr>
          <w:rFonts w:ascii="Arial" w:hAnsi="Arial" w:cs="Arial"/>
        </w:rPr>
        <w:lastRenderedPageBreak/>
        <w:t xml:space="preserve">De igual forma, el visor de proyectos da a conocer el detalle de la información técnica de avance del proyecto, la información contractual tanto del contratista como de la interventoría y los puntos de atención al ciudadano,  tanto físicos como virtuales, y adicionalmente permite que cualquier persona pueda ingresar una petición, queja, reclamo o sugerencia sobre el proyecto, la cual ingresa directamente al sistema de correspondencia del Instituto y es atendida por la Oficina de Atención al Ciudadano del IDU. </w:t>
      </w:r>
    </w:p>
    <w:p w:rsidR="00D724FC" w:rsidRPr="00D724FC" w:rsidRDefault="00D724FC" w:rsidP="00D724FC">
      <w:pPr>
        <w:spacing w:line="276" w:lineRule="auto"/>
        <w:jc w:val="both"/>
        <w:rPr>
          <w:rFonts w:ascii="Arial" w:hAnsi="Arial" w:cs="Arial"/>
        </w:rPr>
      </w:pPr>
    </w:p>
    <w:p w:rsidR="00D724FC" w:rsidRPr="00D724FC" w:rsidRDefault="00D724FC" w:rsidP="00D724FC">
      <w:pPr>
        <w:spacing w:line="276" w:lineRule="auto"/>
        <w:jc w:val="both"/>
        <w:rPr>
          <w:rFonts w:ascii="Arial" w:hAnsi="Arial" w:cs="Arial"/>
        </w:rPr>
      </w:pPr>
      <w:r w:rsidRPr="00D724FC">
        <w:rPr>
          <w:rFonts w:ascii="Arial" w:hAnsi="Arial" w:cs="Arial"/>
        </w:rPr>
        <w:t>Finalmente, el usuario encuentra una galería multimedia en donde puede observar el avance de las obras de manera semanal.</w:t>
      </w:r>
    </w:p>
    <w:p w:rsidR="00E179D8" w:rsidRDefault="00E179D8" w:rsidP="00D724FC">
      <w:pPr>
        <w:pStyle w:val="Descripcin"/>
        <w:rPr>
          <w:rFonts w:ascii="Arial" w:hAnsi="Arial" w:cs="Arial"/>
        </w:rPr>
      </w:pPr>
      <w:bookmarkStart w:id="98" w:name="_Toc27665762"/>
    </w:p>
    <w:p w:rsidR="00D724FC" w:rsidRPr="00D724FC" w:rsidRDefault="00D724FC" w:rsidP="00D724FC">
      <w:pPr>
        <w:pStyle w:val="Descripcin"/>
        <w:rPr>
          <w:rFonts w:ascii="Arial" w:hAnsi="Arial" w:cs="Arial"/>
        </w:rPr>
      </w:pPr>
      <w:r w:rsidRPr="00D724FC">
        <w:rPr>
          <w:rFonts w:ascii="Arial" w:hAnsi="Arial" w:cs="Arial"/>
        </w:rPr>
        <w:t>Información del Visor de Proyectos</w:t>
      </w:r>
      <w:bookmarkEnd w:id="98"/>
    </w:p>
    <w:p w:rsidR="00D724FC" w:rsidRPr="00D724FC" w:rsidRDefault="00D724FC" w:rsidP="00D724FC">
      <w:pPr>
        <w:spacing w:line="276" w:lineRule="auto"/>
        <w:ind w:right="-660"/>
        <w:jc w:val="both"/>
        <w:rPr>
          <w:rFonts w:ascii="Arial" w:hAnsi="Arial" w:cs="Arial"/>
          <w:b/>
        </w:rPr>
      </w:pPr>
      <w:r w:rsidRPr="00D724FC">
        <w:rPr>
          <w:rFonts w:ascii="Arial" w:hAnsi="Arial" w:cs="Arial"/>
          <w:b/>
          <w:noProof/>
          <w:lang w:eastAsia="es-CO"/>
        </w:rPr>
        <w:drawing>
          <wp:inline distT="0" distB="0" distL="0" distR="0" wp14:anchorId="55F8489B" wp14:editId="31064EE2">
            <wp:extent cx="2918460" cy="4100946"/>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24995" cy="4110129"/>
                    </a:xfrm>
                    <a:prstGeom prst="rect">
                      <a:avLst/>
                    </a:prstGeom>
                    <a:noFill/>
                    <a:ln>
                      <a:noFill/>
                    </a:ln>
                  </pic:spPr>
                </pic:pic>
              </a:graphicData>
            </a:graphic>
          </wp:inline>
        </w:drawing>
      </w:r>
      <w:r w:rsidRPr="00D724FC">
        <w:rPr>
          <w:rFonts w:ascii="Arial" w:hAnsi="Arial" w:cs="Arial"/>
          <w:b/>
        </w:rPr>
        <w:t xml:space="preserve">  </w:t>
      </w:r>
      <w:r w:rsidRPr="00D724FC">
        <w:rPr>
          <w:rFonts w:ascii="Arial" w:hAnsi="Arial" w:cs="Arial"/>
          <w:b/>
          <w:noProof/>
          <w:lang w:eastAsia="es-CO"/>
        </w:rPr>
        <w:drawing>
          <wp:inline distT="0" distB="0" distL="0" distR="0" wp14:anchorId="5A0CEF25" wp14:editId="3D3F3D60">
            <wp:extent cx="2757717" cy="4095404"/>
            <wp:effectExtent l="0" t="0" r="5080"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6890" cy="4109026"/>
                    </a:xfrm>
                    <a:prstGeom prst="rect">
                      <a:avLst/>
                    </a:prstGeom>
                    <a:noFill/>
                    <a:ln>
                      <a:noFill/>
                    </a:ln>
                  </pic:spPr>
                </pic:pic>
              </a:graphicData>
            </a:graphic>
          </wp:inline>
        </w:drawing>
      </w:r>
    </w:p>
    <w:p w:rsidR="00D724FC" w:rsidRPr="00D724FC" w:rsidRDefault="00D724FC" w:rsidP="00D724FC">
      <w:pPr>
        <w:spacing w:line="276" w:lineRule="auto"/>
        <w:ind w:right="-660"/>
        <w:jc w:val="both"/>
        <w:rPr>
          <w:rFonts w:ascii="Arial" w:hAnsi="Arial" w:cs="Arial"/>
          <w:b/>
        </w:rPr>
      </w:pPr>
      <w:r w:rsidRPr="00D724FC">
        <w:rPr>
          <w:rFonts w:ascii="Arial" w:hAnsi="Arial" w:cs="Arial"/>
          <w:b/>
          <w:noProof/>
          <w:lang w:eastAsia="es-CO"/>
        </w:rPr>
        <w:lastRenderedPageBreak/>
        <w:drawing>
          <wp:inline distT="0" distB="0" distL="0" distR="0" wp14:anchorId="3E226B09" wp14:editId="497105F8">
            <wp:extent cx="2902865" cy="3275214"/>
            <wp:effectExtent l="0" t="0" r="0" b="19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10537" cy="3283870"/>
                    </a:xfrm>
                    <a:prstGeom prst="rect">
                      <a:avLst/>
                    </a:prstGeom>
                    <a:noFill/>
                    <a:ln>
                      <a:noFill/>
                    </a:ln>
                  </pic:spPr>
                </pic:pic>
              </a:graphicData>
            </a:graphic>
          </wp:inline>
        </w:drawing>
      </w:r>
      <w:r w:rsidRPr="00D724FC">
        <w:rPr>
          <w:rFonts w:ascii="Arial" w:hAnsi="Arial" w:cs="Arial"/>
          <w:b/>
        </w:rPr>
        <w:t xml:space="preserve">  </w:t>
      </w:r>
      <w:r w:rsidRPr="00D724FC">
        <w:rPr>
          <w:rFonts w:ascii="Arial" w:hAnsi="Arial" w:cs="Arial"/>
          <w:b/>
          <w:noProof/>
          <w:lang w:eastAsia="es-CO"/>
        </w:rPr>
        <w:drawing>
          <wp:inline distT="0" distB="0" distL="0" distR="0" wp14:anchorId="0FFEE2CC" wp14:editId="404F6E92">
            <wp:extent cx="2773680" cy="3271750"/>
            <wp:effectExtent l="0" t="0" r="7620" b="508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76040" cy="3274533"/>
                    </a:xfrm>
                    <a:prstGeom prst="rect">
                      <a:avLst/>
                    </a:prstGeom>
                    <a:noFill/>
                    <a:ln>
                      <a:noFill/>
                    </a:ln>
                  </pic:spPr>
                </pic:pic>
              </a:graphicData>
            </a:graphic>
          </wp:inline>
        </w:drawing>
      </w:r>
    </w:p>
    <w:p w:rsidR="00D724FC" w:rsidRPr="00D724FC" w:rsidRDefault="00D724FC" w:rsidP="00D724FC">
      <w:pPr>
        <w:spacing w:line="276" w:lineRule="auto"/>
        <w:jc w:val="both"/>
        <w:rPr>
          <w:rFonts w:ascii="Arial" w:hAnsi="Arial" w:cs="Arial"/>
          <w:sz w:val="20"/>
        </w:rPr>
      </w:pPr>
      <w:r w:rsidRPr="00D724FC">
        <w:rPr>
          <w:rFonts w:ascii="Arial" w:hAnsi="Arial" w:cs="Arial"/>
          <w:sz w:val="20"/>
        </w:rPr>
        <w:t>Fuente: http://opendata.idu.gov.co/visor_proyectos/</w:t>
      </w:r>
    </w:p>
    <w:p w:rsidR="00E179D8" w:rsidRDefault="00E179D8" w:rsidP="00D724FC">
      <w:pPr>
        <w:tabs>
          <w:tab w:val="left" w:pos="1176"/>
        </w:tabs>
        <w:spacing w:line="276" w:lineRule="auto"/>
        <w:jc w:val="both"/>
        <w:rPr>
          <w:rFonts w:ascii="Arial" w:hAnsi="Arial" w:cs="Arial"/>
        </w:rPr>
      </w:pPr>
    </w:p>
    <w:p w:rsidR="00D724FC" w:rsidRPr="00D724FC" w:rsidRDefault="00D724FC" w:rsidP="00D724FC">
      <w:pPr>
        <w:tabs>
          <w:tab w:val="left" w:pos="1176"/>
        </w:tabs>
        <w:spacing w:line="276" w:lineRule="auto"/>
        <w:jc w:val="both"/>
        <w:rPr>
          <w:rFonts w:ascii="Arial" w:hAnsi="Arial" w:cs="Arial"/>
        </w:rPr>
      </w:pPr>
      <w:r w:rsidRPr="00D724FC">
        <w:rPr>
          <w:rFonts w:ascii="Arial" w:hAnsi="Arial" w:cs="Arial"/>
        </w:rPr>
        <w:t>Lo anterior permite que la ciudadanía cuente con información real y completa acerca de las inversiones que realiza el Instituto para mejorar la infraestructura vial y de espacio público, vital para el buen vivir de las personas, fortaleciendo así la transparencia y el acceso de la información a todo el público en general, facilitando de igual forma el control de los proyectos por parte de los organismo de elección popular como los entes de control que ejercen su función en el Distrito Capital.</w:t>
      </w:r>
    </w:p>
    <w:p w:rsidR="00D724FC" w:rsidRPr="00D724FC" w:rsidRDefault="00D724FC" w:rsidP="00D724FC">
      <w:pPr>
        <w:tabs>
          <w:tab w:val="left" w:pos="1176"/>
        </w:tabs>
        <w:spacing w:line="276" w:lineRule="auto"/>
        <w:jc w:val="both"/>
        <w:rPr>
          <w:rFonts w:ascii="Arial" w:hAnsi="Arial" w:cs="Arial"/>
        </w:rPr>
      </w:pPr>
    </w:p>
    <w:p w:rsidR="00D724FC" w:rsidRPr="00D724FC" w:rsidRDefault="00D724FC" w:rsidP="00D724FC">
      <w:pPr>
        <w:tabs>
          <w:tab w:val="left" w:pos="1176"/>
        </w:tabs>
        <w:spacing w:line="276" w:lineRule="auto"/>
        <w:jc w:val="both"/>
        <w:rPr>
          <w:rFonts w:ascii="Arial" w:hAnsi="Arial" w:cs="Arial"/>
        </w:rPr>
      </w:pPr>
      <w:r w:rsidRPr="00D724FC">
        <w:rPr>
          <w:rFonts w:ascii="Arial" w:hAnsi="Arial" w:cs="Arial"/>
        </w:rPr>
        <w:t>La implementación del Sistema al interior del Instituto fue posible gracias al liderazgo de la Dirección General y a la participación de las dependencias a cargo de los proyectos, y fue necesario estandarizar la información a presentar a los diferentes grupos de interés del Sistema y posteriormente elaborar el código del software que permitiera su uso por parte de los funcionarios del Instituto. Este trabajo se realizó desde el último trimestre de 2016 hasta el mes de mayo de 2017, fecha en la cual fue lanzado oficialmente el sistema a través de la Circular 005 de 2017.</w:t>
      </w:r>
    </w:p>
    <w:p w:rsidR="00D724FC" w:rsidRPr="00D724FC" w:rsidRDefault="00D724FC" w:rsidP="00D724FC">
      <w:pPr>
        <w:tabs>
          <w:tab w:val="left" w:pos="1176"/>
        </w:tabs>
        <w:spacing w:line="276" w:lineRule="auto"/>
        <w:jc w:val="both"/>
        <w:rPr>
          <w:rFonts w:ascii="Arial" w:hAnsi="Arial" w:cs="Arial"/>
        </w:rPr>
      </w:pPr>
    </w:p>
    <w:p w:rsidR="00D724FC" w:rsidRPr="00D724FC" w:rsidRDefault="00D724FC" w:rsidP="00D724FC">
      <w:pPr>
        <w:tabs>
          <w:tab w:val="left" w:pos="1176"/>
        </w:tabs>
        <w:spacing w:line="276" w:lineRule="auto"/>
        <w:jc w:val="both"/>
        <w:rPr>
          <w:rFonts w:ascii="Arial" w:hAnsi="Arial" w:cs="Arial"/>
        </w:rPr>
      </w:pPr>
      <w:r w:rsidRPr="00D724FC">
        <w:rPr>
          <w:rFonts w:ascii="Arial" w:hAnsi="Arial" w:cs="Arial"/>
        </w:rPr>
        <w:t xml:space="preserve">Para lograr la apropiación del sistema y destacar su importancia dentro de la estrategia de transparencia que adelanta la Administración, desde el lanzamiento del sistema se han realizado más de 80 jornadas de capacitación y socialización que han contado con la participación de más de 900 funcionarios públicos encargados de la supervisión de los </w:t>
      </w:r>
      <w:r w:rsidRPr="00D724FC">
        <w:rPr>
          <w:rFonts w:ascii="Arial" w:hAnsi="Arial" w:cs="Arial"/>
        </w:rPr>
        <w:lastRenderedPageBreak/>
        <w:t xml:space="preserve">proyectos que se reportan en el Sistema ZIPA. Adicionalmente, en el mes de diciembre de 2018 se expidió la Resolución 6277 de 2018, a través de la cual se establece al Sistema ZIPA como la única fuente oficial de información de los proyectos misionales que adelanta el </w:t>
      </w:r>
      <w:r>
        <w:rPr>
          <w:rFonts w:ascii="Arial" w:hAnsi="Arial" w:cs="Arial"/>
        </w:rPr>
        <w:t>Instituto de Desarrollo Urbano.</w:t>
      </w:r>
    </w:p>
    <w:p w:rsidR="00E179D8" w:rsidRDefault="00E179D8" w:rsidP="00D724FC">
      <w:pPr>
        <w:tabs>
          <w:tab w:val="left" w:pos="1176"/>
        </w:tabs>
        <w:spacing w:line="276" w:lineRule="auto"/>
        <w:jc w:val="both"/>
        <w:rPr>
          <w:rFonts w:ascii="Arial" w:hAnsi="Arial" w:cs="Arial"/>
        </w:rPr>
      </w:pPr>
    </w:p>
    <w:p w:rsidR="00D724FC" w:rsidRPr="00D724FC" w:rsidRDefault="00D724FC" w:rsidP="00D724FC">
      <w:pPr>
        <w:tabs>
          <w:tab w:val="left" w:pos="1176"/>
        </w:tabs>
        <w:spacing w:line="276" w:lineRule="auto"/>
        <w:jc w:val="both"/>
        <w:rPr>
          <w:rFonts w:ascii="Arial" w:hAnsi="Arial" w:cs="Arial"/>
        </w:rPr>
      </w:pPr>
      <w:r w:rsidRPr="00D724FC">
        <w:rPr>
          <w:rFonts w:ascii="Arial" w:hAnsi="Arial" w:cs="Arial"/>
        </w:rPr>
        <w:t>Producto de la consolidación y de la importancia que ha venido tomando el Sistema, éste fue incluido por la Alcaldía Mayor como parte de la política pública de transparencia, Integridad y no tolerancia con la corrupción del Distrito 2018-2028, dado su carácter innovador y por la calidad de la información que se transmite a la ciudadanía a  través del visor de pr</w:t>
      </w:r>
      <w:r>
        <w:rPr>
          <w:rFonts w:ascii="Arial" w:hAnsi="Arial" w:cs="Arial"/>
        </w:rPr>
        <w:t xml:space="preserve">oyectos. </w:t>
      </w:r>
    </w:p>
    <w:p w:rsidR="00E179D8" w:rsidRDefault="00E179D8" w:rsidP="00D724FC">
      <w:pPr>
        <w:tabs>
          <w:tab w:val="left" w:pos="1176"/>
        </w:tabs>
        <w:spacing w:line="276" w:lineRule="auto"/>
        <w:jc w:val="both"/>
        <w:rPr>
          <w:rFonts w:ascii="Arial" w:hAnsi="Arial" w:cs="Arial"/>
        </w:rPr>
      </w:pPr>
    </w:p>
    <w:p w:rsidR="00D724FC" w:rsidRPr="00D724FC" w:rsidRDefault="00D724FC" w:rsidP="00D724FC">
      <w:pPr>
        <w:tabs>
          <w:tab w:val="left" w:pos="1176"/>
        </w:tabs>
        <w:spacing w:line="276" w:lineRule="auto"/>
        <w:jc w:val="both"/>
        <w:rPr>
          <w:rFonts w:ascii="Arial" w:hAnsi="Arial" w:cs="Arial"/>
        </w:rPr>
      </w:pPr>
      <w:r w:rsidRPr="00D724FC">
        <w:rPr>
          <w:rFonts w:ascii="Arial" w:hAnsi="Arial" w:cs="Arial"/>
        </w:rPr>
        <w:t>A lo largo de los dos años de funcionamiento del sistema se han generado 6.500 de informes de avance semanal de los más de 80 proyectos que actualmente ejecuta el Instituto y la página web ha tenido un aumento significativo en el tráfico tanto de visitas al sitio como al número de informes consultados en el visor de proyectos. El aumento en el número de visitas en el año 2018 con respecto a la vigencia 2017 fue del 110% y la  consulta a los informes del visor aumentó en un 100% en el mismo periodo.</w:t>
      </w:r>
    </w:p>
    <w:p w:rsidR="00D724FC" w:rsidRPr="00D724FC" w:rsidRDefault="00D724FC" w:rsidP="00D724FC">
      <w:pPr>
        <w:pStyle w:val="Descripcin"/>
        <w:spacing w:after="0"/>
        <w:rPr>
          <w:rFonts w:ascii="Arial" w:hAnsi="Arial" w:cs="Arial"/>
        </w:rPr>
      </w:pPr>
      <w:bookmarkStart w:id="99" w:name="_Toc27665763"/>
      <w:r w:rsidRPr="00D724FC">
        <w:rPr>
          <w:rFonts w:ascii="Arial" w:hAnsi="Arial" w:cs="Arial"/>
        </w:rPr>
        <w:t>Estadísticas de consulta del Visor de Proyectos</w:t>
      </w:r>
      <w:bookmarkEnd w:id="99"/>
    </w:p>
    <w:p w:rsidR="00D724FC" w:rsidRPr="00D724FC" w:rsidRDefault="00D724FC" w:rsidP="00E179D8">
      <w:pPr>
        <w:spacing w:line="276" w:lineRule="auto"/>
        <w:ind w:right="49"/>
        <w:jc w:val="center"/>
        <w:rPr>
          <w:rFonts w:ascii="Arial" w:hAnsi="Arial" w:cs="Arial"/>
        </w:rPr>
      </w:pPr>
      <w:r w:rsidRPr="00D724FC">
        <w:rPr>
          <w:rFonts w:ascii="Arial" w:hAnsi="Arial" w:cs="Arial"/>
          <w:noProof/>
          <w:lang w:eastAsia="es-CO"/>
        </w:rPr>
        <w:drawing>
          <wp:inline distT="0" distB="0" distL="0" distR="0" wp14:anchorId="4251B54D" wp14:editId="53A511C7">
            <wp:extent cx="3696970" cy="2310938"/>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99010" cy="2312213"/>
                    </a:xfrm>
                    <a:prstGeom prst="rect">
                      <a:avLst/>
                    </a:prstGeom>
                    <a:noFill/>
                  </pic:spPr>
                </pic:pic>
              </a:graphicData>
            </a:graphic>
          </wp:inline>
        </w:drawing>
      </w:r>
    </w:p>
    <w:p w:rsidR="00D724FC" w:rsidRPr="00D724FC" w:rsidRDefault="00D724FC" w:rsidP="00D724FC">
      <w:pPr>
        <w:spacing w:line="276" w:lineRule="auto"/>
        <w:ind w:right="49"/>
        <w:jc w:val="both"/>
        <w:rPr>
          <w:rFonts w:ascii="Arial" w:hAnsi="Arial" w:cs="Arial"/>
          <w:sz w:val="20"/>
        </w:rPr>
      </w:pPr>
      <w:r w:rsidRPr="00D724FC">
        <w:rPr>
          <w:rFonts w:ascii="Arial" w:hAnsi="Arial" w:cs="Arial"/>
          <w:sz w:val="20"/>
        </w:rPr>
        <w:t>Fuente: Google Analytics – Corte a 31 de agosto de 2019</w:t>
      </w:r>
    </w:p>
    <w:p w:rsidR="00D724FC" w:rsidRDefault="00D724FC" w:rsidP="00D724FC">
      <w:pPr>
        <w:spacing w:line="276" w:lineRule="auto"/>
        <w:jc w:val="both"/>
        <w:rPr>
          <w:rFonts w:ascii="Arial" w:hAnsi="Arial" w:cs="Arial"/>
        </w:rPr>
      </w:pPr>
      <w:r w:rsidRPr="00D724FC">
        <w:rPr>
          <w:rFonts w:ascii="Arial" w:hAnsi="Arial" w:cs="Arial"/>
        </w:rPr>
        <w:t>El reto que tiene del Instituto es seguir promoviendo la consulta de la información dispuesta en el visor de proyectos, garantizando la transparencia en la información y la participación de la comunidad en los proyectos institucionales.</w:t>
      </w:r>
    </w:p>
    <w:p w:rsidR="00492D12" w:rsidRDefault="00492D12" w:rsidP="00D724FC">
      <w:pPr>
        <w:spacing w:line="276" w:lineRule="auto"/>
        <w:jc w:val="both"/>
        <w:rPr>
          <w:rFonts w:ascii="Arial" w:hAnsi="Arial" w:cs="Arial"/>
        </w:rPr>
      </w:pPr>
    </w:p>
    <w:p w:rsidR="00E179D8" w:rsidRDefault="00E179D8" w:rsidP="00D724FC">
      <w:pPr>
        <w:spacing w:line="276" w:lineRule="auto"/>
        <w:jc w:val="both"/>
        <w:rPr>
          <w:rFonts w:ascii="Arial" w:hAnsi="Arial" w:cs="Arial"/>
        </w:rPr>
      </w:pPr>
    </w:p>
    <w:p w:rsidR="00E179D8" w:rsidRDefault="00E179D8" w:rsidP="00D724FC">
      <w:pPr>
        <w:spacing w:line="276" w:lineRule="auto"/>
        <w:jc w:val="both"/>
        <w:rPr>
          <w:rFonts w:ascii="Arial" w:hAnsi="Arial" w:cs="Arial"/>
        </w:rPr>
      </w:pPr>
    </w:p>
    <w:p w:rsidR="00492D12" w:rsidRPr="00F35F4D" w:rsidRDefault="00492D12" w:rsidP="00F35F4D">
      <w:pPr>
        <w:pStyle w:val="Ttulo2"/>
        <w:numPr>
          <w:ilvl w:val="0"/>
          <w:numId w:val="0"/>
        </w:numPr>
        <w:ind w:left="1428" w:hanging="360"/>
        <w:jc w:val="center"/>
        <w:rPr>
          <w:sz w:val="24"/>
          <w:szCs w:val="24"/>
        </w:rPr>
      </w:pPr>
      <w:bookmarkStart w:id="100" w:name="_Toc30774635"/>
      <w:r w:rsidRPr="00F35F4D">
        <w:rPr>
          <w:sz w:val="24"/>
          <w:szCs w:val="24"/>
        </w:rPr>
        <w:lastRenderedPageBreak/>
        <w:t>CAPITULO 8. GESTIÓN DEL DESARROLLO URBANO</w:t>
      </w:r>
      <w:bookmarkEnd w:id="100"/>
    </w:p>
    <w:p w:rsidR="00B649C1" w:rsidRDefault="00B649C1" w:rsidP="00E11CE0">
      <w:pPr>
        <w:spacing w:line="276" w:lineRule="auto"/>
        <w:jc w:val="center"/>
        <w:rPr>
          <w:rFonts w:ascii="Arial" w:hAnsi="Arial" w:cs="Arial"/>
          <w:b/>
          <w:bCs/>
          <w:sz w:val="24"/>
          <w:szCs w:val="24"/>
        </w:rPr>
      </w:pPr>
    </w:p>
    <w:p w:rsidR="00492D12" w:rsidRDefault="00E11CE0" w:rsidP="00D724FC">
      <w:pPr>
        <w:spacing w:line="276" w:lineRule="auto"/>
        <w:jc w:val="both"/>
        <w:rPr>
          <w:rFonts w:ascii="Arial" w:hAnsi="Arial" w:cs="Arial"/>
          <w:b/>
        </w:rPr>
      </w:pPr>
      <w:r w:rsidRPr="00E11CE0">
        <w:rPr>
          <w:rFonts w:ascii="Arial" w:hAnsi="Arial" w:cs="Arial"/>
          <w:b/>
        </w:rPr>
        <w:t xml:space="preserve">8.1 </w:t>
      </w:r>
      <w:bookmarkStart w:id="101" w:name="_Toc27665251"/>
      <w:r w:rsidRPr="00E11CE0">
        <w:rPr>
          <w:rFonts w:ascii="Arial" w:hAnsi="Arial" w:cs="Arial"/>
          <w:b/>
        </w:rPr>
        <w:t>INNOVACIÓN Y GESTIÓN DEL CONOCIMIENTO</w:t>
      </w:r>
      <w:bookmarkEnd w:id="101"/>
    </w:p>
    <w:p w:rsidR="00B649C1" w:rsidRPr="00B649C1" w:rsidRDefault="00B649C1" w:rsidP="00B649C1">
      <w:pPr>
        <w:spacing w:line="276" w:lineRule="auto"/>
        <w:jc w:val="both"/>
        <w:rPr>
          <w:rFonts w:ascii="Arial" w:hAnsi="Arial" w:cs="Arial"/>
        </w:rPr>
      </w:pPr>
      <w:r w:rsidRPr="00B649C1">
        <w:rPr>
          <w:rFonts w:ascii="Arial" w:hAnsi="Arial" w:cs="Arial"/>
        </w:rPr>
        <w:t xml:space="preserve">La incorporación de buenas prácticas ambientales en los proyectos viales y de espacio público redunda en enormes beneficios económicos, ambientales y sociales para todos los habitantes de Bogotá. En esta administración, el IDU hizo un esfuerzo enorme por incluir dentro de su quehacer importantes innovaciones de tipo técnico que, necesariamente, tienen un impacto positivo en el medio ambiente y, por ende, en la dependencia e interacción de los ciudadanos con su entorno. </w:t>
      </w:r>
    </w:p>
    <w:p w:rsidR="00B649C1" w:rsidRPr="00B649C1" w:rsidRDefault="00B649C1" w:rsidP="00B649C1">
      <w:pPr>
        <w:spacing w:line="276" w:lineRule="auto"/>
        <w:jc w:val="both"/>
        <w:rPr>
          <w:rFonts w:ascii="Arial" w:hAnsi="Arial" w:cs="Arial"/>
        </w:rPr>
      </w:pPr>
    </w:p>
    <w:p w:rsidR="00B649C1" w:rsidRPr="00B649C1" w:rsidRDefault="00B649C1" w:rsidP="00B649C1">
      <w:pPr>
        <w:spacing w:line="276" w:lineRule="auto"/>
        <w:jc w:val="both"/>
        <w:rPr>
          <w:rFonts w:ascii="Arial" w:hAnsi="Arial" w:cs="Arial"/>
        </w:rPr>
      </w:pPr>
      <w:r w:rsidRPr="00B649C1">
        <w:rPr>
          <w:rFonts w:ascii="Arial" w:hAnsi="Arial" w:cs="Arial"/>
        </w:rPr>
        <w:t>El legado más importante desde su perspectiva es haber inventariado y diagnosticado por primera vez la totalidad de la infraestructura del sistema de movilidad de la ciudad: espacio público urbano, ciclorrutas urbanas, la totalidad de la malla vial rural y urbana, así como los puentes rurales y urbanos tanto vehiculares como peatonales. Esto permitió entregarle a Bogotá información actualizada sobre la magnitud y estado real de su infraestructura total, lo que según la funcionaria, hará tomar mejores decisiones y planear de forma precisa y eficiente la ejecución de sus actividades de conservación y prevención de riesgos inminentes, de ser el caso.</w:t>
      </w:r>
    </w:p>
    <w:p w:rsidR="00B649C1" w:rsidRPr="00B649C1" w:rsidRDefault="00B649C1" w:rsidP="00B649C1">
      <w:pPr>
        <w:spacing w:line="276" w:lineRule="auto"/>
        <w:jc w:val="both"/>
        <w:rPr>
          <w:rFonts w:ascii="Arial" w:hAnsi="Arial" w:cs="Arial"/>
        </w:rPr>
      </w:pPr>
    </w:p>
    <w:p w:rsidR="00B649C1" w:rsidRPr="00B649C1" w:rsidRDefault="00B649C1" w:rsidP="00B649C1">
      <w:pPr>
        <w:spacing w:line="276" w:lineRule="auto"/>
        <w:jc w:val="both"/>
        <w:rPr>
          <w:rFonts w:ascii="Arial" w:hAnsi="Arial" w:cs="Arial"/>
          <w:lang w:eastAsia="es-CO"/>
        </w:rPr>
      </w:pPr>
      <w:r w:rsidRPr="00B649C1">
        <w:rPr>
          <w:rFonts w:ascii="Arial" w:hAnsi="Arial" w:cs="Arial"/>
        </w:rPr>
        <w:t>Lo anterior en el marco del</w:t>
      </w:r>
      <w:r w:rsidRPr="00B649C1">
        <w:rPr>
          <w:rFonts w:ascii="Arial" w:hAnsi="Arial" w:cs="Arial"/>
          <w:lang w:eastAsia="es-CO"/>
        </w:rPr>
        <w:t xml:space="preserve"> Sistema de Información Integral para la Planeación y Seguimiento de la Infraestructura Vial y el Espacio Público –SIIPVIALES</w:t>
      </w:r>
      <w:r>
        <w:rPr>
          <w:rFonts w:ascii="Arial" w:hAnsi="Arial" w:cs="Arial"/>
          <w:lang w:eastAsia="es-CO"/>
        </w:rPr>
        <w:t>.</w:t>
      </w:r>
    </w:p>
    <w:p w:rsidR="00B649C1" w:rsidRDefault="00B649C1" w:rsidP="00B649C1">
      <w:pPr>
        <w:spacing w:line="276" w:lineRule="auto"/>
        <w:jc w:val="both"/>
        <w:rPr>
          <w:rFonts w:ascii="Arial" w:hAnsi="Arial" w:cs="Arial"/>
          <w:lang w:eastAsia="es-CO"/>
        </w:rPr>
      </w:pPr>
    </w:p>
    <w:p w:rsidR="00E179D8" w:rsidRPr="00B649C1" w:rsidRDefault="00E179D8" w:rsidP="00B649C1">
      <w:pPr>
        <w:spacing w:line="276" w:lineRule="auto"/>
        <w:jc w:val="both"/>
        <w:rPr>
          <w:rFonts w:ascii="Arial" w:hAnsi="Arial" w:cs="Arial"/>
          <w:lang w:eastAsia="es-CO"/>
        </w:rPr>
      </w:pPr>
    </w:p>
    <w:p w:rsidR="00B649C1" w:rsidRPr="00B649C1" w:rsidRDefault="00B649C1" w:rsidP="00B649C1">
      <w:pPr>
        <w:spacing w:line="276" w:lineRule="auto"/>
        <w:jc w:val="both"/>
        <w:rPr>
          <w:rFonts w:ascii="Arial" w:hAnsi="Arial" w:cs="Arial"/>
          <w:b/>
        </w:rPr>
      </w:pPr>
      <w:r w:rsidRPr="00B649C1">
        <w:rPr>
          <w:rFonts w:ascii="Arial" w:hAnsi="Arial" w:cs="Arial"/>
          <w:b/>
        </w:rPr>
        <w:t xml:space="preserve"> </w:t>
      </w:r>
      <w:bookmarkStart w:id="102" w:name="_Toc27665252"/>
      <w:r>
        <w:rPr>
          <w:rFonts w:ascii="Arial" w:hAnsi="Arial" w:cs="Arial"/>
          <w:b/>
        </w:rPr>
        <w:t xml:space="preserve">8.1.1. </w:t>
      </w:r>
      <w:r w:rsidRPr="00B649C1">
        <w:rPr>
          <w:rFonts w:ascii="Arial" w:hAnsi="Arial" w:cs="Arial"/>
          <w:b/>
        </w:rPr>
        <w:t>SISTEMA SIIPVIALES.</w:t>
      </w:r>
      <w:bookmarkEnd w:id="102"/>
    </w:p>
    <w:p w:rsidR="00B649C1" w:rsidRPr="00B649C1" w:rsidRDefault="00B649C1" w:rsidP="00B649C1">
      <w:pPr>
        <w:spacing w:line="276" w:lineRule="auto"/>
        <w:jc w:val="both"/>
        <w:rPr>
          <w:rFonts w:ascii="Arial" w:hAnsi="Arial" w:cs="Arial"/>
          <w:lang w:eastAsia="es-CO"/>
        </w:rPr>
      </w:pPr>
    </w:p>
    <w:p w:rsidR="00B649C1" w:rsidRPr="00B649C1" w:rsidRDefault="00B649C1" w:rsidP="00B649C1">
      <w:pPr>
        <w:spacing w:line="276" w:lineRule="auto"/>
        <w:jc w:val="both"/>
        <w:rPr>
          <w:rFonts w:ascii="Arial" w:hAnsi="Arial" w:cs="Arial"/>
          <w:lang w:eastAsia="es-CO"/>
        </w:rPr>
      </w:pPr>
      <w:r w:rsidRPr="00B649C1">
        <w:rPr>
          <w:rFonts w:ascii="Arial" w:hAnsi="Arial" w:cs="Arial"/>
          <w:lang w:eastAsia="es-CO"/>
        </w:rPr>
        <w:t xml:space="preserve">El Sistema de Información Integral para la Planeación y Seguimiento de la Infraestructura Vial y el Espacio Público –SIIPVIALES se define como un proceso sistemático que provee, integra, compila, analiza y sintetiza información relacionada con la infraestructura vial y del espacio público que administra el Instituto en un marco conceptual y estadístico riguroso que provee información estandarizada, oportuna, confiable y certera. </w:t>
      </w:r>
    </w:p>
    <w:p w:rsidR="00B649C1" w:rsidRPr="00B649C1" w:rsidRDefault="00B649C1" w:rsidP="00B649C1">
      <w:pPr>
        <w:spacing w:line="276" w:lineRule="auto"/>
        <w:jc w:val="both"/>
        <w:rPr>
          <w:rFonts w:ascii="Arial" w:hAnsi="Arial" w:cs="Arial"/>
          <w:highlight w:val="yellow"/>
        </w:rPr>
      </w:pPr>
    </w:p>
    <w:p w:rsidR="00B649C1" w:rsidRPr="00B649C1" w:rsidRDefault="00B649C1" w:rsidP="00B649C1">
      <w:pPr>
        <w:spacing w:line="276" w:lineRule="auto"/>
        <w:jc w:val="both"/>
        <w:rPr>
          <w:rFonts w:ascii="Arial" w:hAnsi="Arial" w:cs="Arial"/>
          <w:szCs w:val="24"/>
          <w:lang w:eastAsia="es-CO"/>
        </w:rPr>
      </w:pPr>
      <w:r w:rsidRPr="00B649C1">
        <w:rPr>
          <w:rFonts w:ascii="Arial" w:hAnsi="Arial" w:cs="Arial"/>
          <w:szCs w:val="24"/>
          <w:lang w:eastAsia="es-CO"/>
        </w:rPr>
        <w:t>El sistema cuenta con cuatro componentes que se interrelacionan y se complementan entre sí, nutriéndose cada uno de sus procesos propios y generando insumos para las demás áreas funcionales del IDU.</w:t>
      </w:r>
    </w:p>
    <w:p w:rsidR="00B649C1" w:rsidRPr="00B649C1" w:rsidRDefault="00B649C1" w:rsidP="00B649C1">
      <w:pPr>
        <w:spacing w:line="276" w:lineRule="auto"/>
        <w:jc w:val="both"/>
        <w:rPr>
          <w:rFonts w:ascii="Arial" w:hAnsi="Arial" w:cs="Arial"/>
          <w:szCs w:val="24"/>
          <w:lang w:eastAsia="es-CO"/>
        </w:rPr>
      </w:pPr>
    </w:p>
    <w:p w:rsidR="00B649C1" w:rsidRDefault="00B649C1" w:rsidP="00B649C1">
      <w:pPr>
        <w:pStyle w:val="Descripcin"/>
        <w:spacing w:after="0"/>
        <w:rPr>
          <w:rFonts w:ascii="Arial" w:hAnsi="Arial" w:cs="Arial"/>
          <w:color w:val="auto"/>
          <w:szCs w:val="24"/>
        </w:rPr>
      </w:pPr>
      <w:bookmarkStart w:id="103" w:name="_Toc27665764"/>
      <w:r w:rsidRPr="00B649C1">
        <w:rPr>
          <w:rFonts w:ascii="Arial" w:hAnsi="Arial" w:cs="Arial"/>
          <w:color w:val="auto"/>
          <w:szCs w:val="24"/>
        </w:rPr>
        <w:lastRenderedPageBreak/>
        <w:t>Estructura SIIPVIALES</w:t>
      </w:r>
      <w:bookmarkEnd w:id="103"/>
    </w:p>
    <w:p w:rsidR="00E179D8" w:rsidRPr="00E179D8" w:rsidRDefault="00E179D8" w:rsidP="00E179D8"/>
    <w:p w:rsidR="00B649C1" w:rsidRPr="00B649C1" w:rsidRDefault="00B649C1" w:rsidP="00E179D8">
      <w:pPr>
        <w:spacing w:line="276" w:lineRule="auto"/>
        <w:jc w:val="center"/>
        <w:rPr>
          <w:rFonts w:ascii="Arial" w:hAnsi="Arial" w:cs="Arial"/>
          <w:szCs w:val="24"/>
          <w:lang w:eastAsia="es-CO"/>
        </w:rPr>
      </w:pPr>
      <w:r w:rsidRPr="00B649C1">
        <w:rPr>
          <w:rFonts w:ascii="Arial" w:hAnsi="Arial" w:cs="Arial"/>
          <w:noProof/>
          <w:szCs w:val="24"/>
          <w:lang w:eastAsia="es-CO"/>
        </w:rPr>
        <w:drawing>
          <wp:inline distT="0" distB="0" distL="0" distR="0" wp14:anchorId="7EA7F214" wp14:editId="0BFEF3F6">
            <wp:extent cx="4427220" cy="2233352"/>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430057" cy="2234783"/>
                    </a:xfrm>
                    <a:prstGeom prst="rect">
                      <a:avLst/>
                    </a:prstGeom>
                  </pic:spPr>
                </pic:pic>
              </a:graphicData>
            </a:graphic>
          </wp:inline>
        </w:drawing>
      </w:r>
    </w:p>
    <w:p w:rsidR="00B649C1" w:rsidRPr="00B649C1" w:rsidRDefault="00B649C1" w:rsidP="00B649C1">
      <w:pPr>
        <w:spacing w:line="276" w:lineRule="auto"/>
        <w:jc w:val="both"/>
        <w:rPr>
          <w:rFonts w:ascii="Arial" w:hAnsi="Arial" w:cs="Arial"/>
          <w:sz w:val="20"/>
          <w:szCs w:val="24"/>
        </w:rPr>
      </w:pPr>
      <w:r w:rsidRPr="00B649C1">
        <w:rPr>
          <w:rFonts w:ascii="Arial" w:hAnsi="Arial" w:cs="Arial"/>
          <w:sz w:val="20"/>
          <w:szCs w:val="24"/>
        </w:rPr>
        <w:t>Fuente: Dirección Técnica Estratégica</w:t>
      </w:r>
    </w:p>
    <w:p w:rsidR="00B649C1" w:rsidRPr="00B649C1" w:rsidRDefault="00B649C1" w:rsidP="00B649C1">
      <w:pPr>
        <w:spacing w:line="276" w:lineRule="auto"/>
        <w:jc w:val="both"/>
        <w:rPr>
          <w:rFonts w:ascii="Arial" w:hAnsi="Arial" w:cs="Arial"/>
          <w:szCs w:val="24"/>
          <w:lang w:eastAsia="es-CO"/>
        </w:rPr>
      </w:pPr>
    </w:p>
    <w:p w:rsidR="00B649C1" w:rsidRPr="00B649C1" w:rsidRDefault="00B649C1" w:rsidP="00D0183B">
      <w:pPr>
        <w:pStyle w:val="Ttulo4"/>
        <w:keepNext w:val="0"/>
        <w:keepLines w:val="0"/>
        <w:numPr>
          <w:ilvl w:val="2"/>
          <w:numId w:val="52"/>
        </w:numPr>
        <w:spacing w:before="0" w:line="276" w:lineRule="auto"/>
        <w:jc w:val="both"/>
        <w:rPr>
          <w:rFonts w:ascii="Arial" w:hAnsi="Arial" w:cs="Arial"/>
          <w:b/>
          <w:i w:val="0"/>
          <w:color w:val="auto"/>
        </w:rPr>
      </w:pPr>
      <w:bookmarkStart w:id="104" w:name="_Toc26881537"/>
      <w:bookmarkStart w:id="105" w:name="_Toc27054984"/>
      <w:r w:rsidRPr="00B649C1">
        <w:rPr>
          <w:rFonts w:ascii="Arial" w:hAnsi="Arial" w:cs="Arial"/>
          <w:b/>
          <w:i w:val="0"/>
          <w:color w:val="auto"/>
        </w:rPr>
        <w:t>Componente de Innovación</w:t>
      </w:r>
      <w:bookmarkEnd w:id="104"/>
      <w:bookmarkEnd w:id="105"/>
    </w:p>
    <w:p w:rsidR="00B649C1" w:rsidRPr="00B649C1" w:rsidRDefault="00B649C1" w:rsidP="00B649C1">
      <w:pPr>
        <w:spacing w:line="276" w:lineRule="auto"/>
        <w:jc w:val="both"/>
        <w:rPr>
          <w:rFonts w:ascii="Arial" w:hAnsi="Arial" w:cs="Arial"/>
          <w:szCs w:val="24"/>
          <w:lang w:eastAsia="es-CO"/>
        </w:rPr>
      </w:pPr>
    </w:p>
    <w:p w:rsidR="00B649C1" w:rsidRPr="00B649C1" w:rsidRDefault="00B649C1" w:rsidP="00B649C1">
      <w:pPr>
        <w:spacing w:line="276" w:lineRule="auto"/>
        <w:jc w:val="both"/>
        <w:rPr>
          <w:rFonts w:ascii="Arial" w:hAnsi="Arial" w:cs="Arial"/>
          <w:szCs w:val="24"/>
          <w:lang w:eastAsia="es-CO"/>
        </w:rPr>
      </w:pPr>
      <w:r w:rsidRPr="00B649C1">
        <w:rPr>
          <w:rFonts w:ascii="Arial" w:hAnsi="Arial" w:cs="Arial"/>
          <w:szCs w:val="24"/>
          <w:lang w:eastAsia="es-CO"/>
        </w:rPr>
        <w:t xml:space="preserve">Las principales tareas del componente de innovación se enmarcan dentro de la misión del instituto en relación con la infraestructura de los sistemas de movilidad y espacio público, atendiendo los siguientes subcomponentes: I) Especificaciones Técnicas, II) Alternativas innovadores, III) Gestión de infraestructura, y IV) Procesos transversales, que buscan incrementar la calidad de los proyectos, impulsar la innovación tecnológica y aumentar la eficacia y eficiencia de las inversiones. </w:t>
      </w:r>
    </w:p>
    <w:p w:rsidR="00B649C1" w:rsidRPr="00B649C1" w:rsidRDefault="00B649C1" w:rsidP="00B649C1">
      <w:pPr>
        <w:spacing w:line="276" w:lineRule="auto"/>
        <w:jc w:val="both"/>
        <w:rPr>
          <w:rFonts w:ascii="Arial" w:hAnsi="Arial" w:cs="Arial"/>
          <w:i/>
          <w:szCs w:val="24"/>
          <w:lang w:eastAsia="es-CO"/>
        </w:rPr>
      </w:pPr>
    </w:p>
    <w:p w:rsidR="00B649C1" w:rsidRPr="00B649C1" w:rsidRDefault="00B649C1" w:rsidP="00B649C1">
      <w:pPr>
        <w:pStyle w:val="Descripcin"/>
        <w:spacing w:after="0"/>
        <w:rPr>
          <w:rFonts w:ascii="Arial" w:hAnsi="Arial" w:cs="Arial"/>
          <w:szCs w:val="24"/>
        </w:rPr>
      </w:pPr>
      <w:bookmarkStart w:id="106" w:name="_Toc27665765"/>
      <w:r w:rsidRPr="00B649C1">
        <w:rPr>
          <w:rFonts w:ascii="Arial" w:hAnsi="Arial" w:cs="Arial"/>
          <w:color w:val="auto"/>
          <w:szCs w:val="24"/>
        </w:rPr>
        <w:t>Componentes Innovación - SIIPVIALES</w:t>
      </w:r>
      <w:bookmarkEnd w:id="106"/>
    </w:p>
    <w:p w:rsidR="00B649C1" w:rsidRPr="00B649C1" w:rsidRDefault="00B649C1" w:rsidP="00B649C1">
      <w:pPr>
        <w:spacing w:line="276" w:lineRule="auto"/>
        <w:jc w:val="both"/>
        <w:rPr>
          <w:rFonts w:ascii="Arial" w:hAnsi="Arial" w:cs="Arial"/>
          <w:szCs w:val="24"/>
          <w:lang w:eastAsia="es-CO"/>
        </w:rPr>
      </w:pPr>
      <w:r w:rsidRPr="00B649C1">
        <w:rPr>
          <w:rFonts w:ascii="Arial" w:hAnsi="Arial" w:cs="Arial"/>
          <w:noProof/>
          <w:szCs w:val="24"/>
          <w:lang w:eastAsia="es-CO"/>
        </w:rPr>
        <w:drawing>
          <wp:inline distT="0" distB="0" distL="0" distR="0" wp14:anchorId="4EE1E03C" wp14:editId="4A643CA8">
            <wp:extent cx="5135880" cy="2194560"/>
            <wp:effectExtent l="0" t="0" r="762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135880" cy="2194560"/>
                    </a:xfrm>
                    <a:prstGeom prst="rect">
                      <a:avLst/>
                    </a:prstGeom>
                  </pic:spPr>
                </pic:pic>
              </a:graphicData>
            </a:graphic>
          </wp:inline>
        </w:drawing>
      </w:r>
    </w:p>
    <w:p w:rsidR="00B649C1" w:rsidRPr="00B649C1" w:rsidRDefault="00B649C1" w:rsidP="00B649C1">
      <w:pPr>
        <w:spacing w:line="276" w:lineRule="auto"/>
        <w:jc w:val="both"/>
        <w:rPr>
          <w:rFonts w:ascii="Arial" w:hAnsi="Arial" w:cs="Arial"/>
          <w:sz w:val="20"/>
          <w:szCs w:val="24"/>
        </w:rPr>
      </w:pPr>
      <w:r w:rsidRPr="00B649C1">
        <w:rPr>
          <w:rFonts w:ascii="Arial" w:hAnsi="Arial" w:cs="Arial"/>
          <w:sz w:val="20"/>
          <w:szCs w:val="24"/>
        </w:rPr>
        <w:t>Fuente: Dirección Técnica Estratégica</w:t>
      </w:r>
    </w:p>
    <w:p w:rsidR="00B649C1" w:rsidRPr="00B649C1" w:rsidRDefault="00B649C1" w:rsidP="00B649C1">
      <w:pPr>
        <w:spacing w:line="276" w:lineRule="auto"/>
        <w:jc w:val="both"/>
        <w:rPr>
          <w:rFonts w:ascii="Arial" w:hAnsi="Arial" w:cs="Arial"/>
          <w:szCs w:val="24"/>
          <w:lang w:eastAsia="es-CO"/>
        </w:rPr>
      </w:pPr>
    </w:p>
    <w:p w:rsidR="00B649C1" w:rsidRPr="00B649C1" w:rsidRDefault="00B649C1" w:rsidP="00B649C1">
      <w:pPr>
        <w:spacing w:line="276" w:lineRule="auto"/>
        <w:jc w:val="both"/>
        <w:rPr>
          <w:rFonts w:ascii="Arial" w:hAnsi="Arial" w:cs="Arial"/>
          <w:szCs w:val="24"/>
          <w:lang w:eastAsia="es-CO"/>
        </w:rPr>
      </w:pPr>
      <w:r w:rsidRPr="00B649C1">
        <w:rPr>
          <w:rFonts w:ascii="Arial" w:hAnsi="Arial" w:cs="Arial"/>
          <w:szCs w:val="24"/>
          <w:lang w:eastAsia="es-CO"/>
        </w:rPr>
        <w:t>A continuación, se relacionan los procesos realizados por el componente durante el periodo de este informe:</w:t>
      </w:r>
    </w:p>
    <w:p w:rsidR="00B649C1" w:rsidRPr="00B649C1" w:rsidRDefault="00B649C1" w:rsidP="00B649C1">
      <w:pPr>
        <w:spacing w:line="276" w:lineRule="auto"/>
        <w:jc w:val="both"/>
        <w:rPr>
          <w:rFonts w:ascii="Arial" w:hAnsi="Arial" w:cs="Arial"/>
          <w:szCs w:val="24"/>
          <w:lang w:eastAsia="es-CO"/>
        </w:rPr>
      </w:pPr>
    </w:p>
    <w:p w:rsidR="00B649C1" w:rsidRPr="00B649C1" w:rsidRDefault="00B649C1" w:rsidP="00B649C1">
      <w:pPr>
        <w:spacing w:line="276" w:lineRule="auto"/>
        <w:jc w:val="both"/>
        <w:rPr>
          <w:rFonts w:ascii="Arial" w:hAnsi="Arial" w:cs="Arial"/>
          <w:b/>
          <w:szCs w:val="24"/>
          <w:u w:val="single"/>
        </w:rPr>
      </w:pPr>
      <w:bookmarkStart w:id="107" w:name="_Toc26881540"/>
      <w:r w:rsidRPr="00B649C1">
        <w:rPr>
          <w:rFonts w:ascii="Arial" w:hAnsi="Arial" w:cs="Arial"/>
          <w:b/>
          <w:szCs w:val="24"/>
          <w:u w:val="single"/>
        </w:rPr>
        <w:t>Atención y evaluación del instructivo IN-IC-19</w:t>
      </w:r>
      <w:bookmarkEnd w:id="107"/>
    </w:p>
    <w:p w:rsidR="00B649C1" w:rsidRPr="00B649C1" w:rsidRDefault="00B649C1" w:rsidP="00B649C1">
      <w:pPr>
        <w:spacing w:line="276" w:lineRule="auto"/>
        <w:jc w:val="both"/>
        <w:rPr>
          <w:rFonts w:ascii="Arial" w:hAnsi="Arial" w:cs="Arial"/>
          <w:szCs w:val="24"/>
          <w:lang w:eastAsia="es-CO"/>
        </w:rPr>
      </w:pPr>
    </w:p>
    <w:p w:rsidR="00B649C1" w:rsidRPr="00B649C1" w:rsidRDefault="00B649C1" w:rsidP="00B649C1">
      <w:pPr>
        <w:spacing w:line="276" w:lineRule="auto"/>
        <w:jc w:val="both"/>
        <w:rPr>
          <w:rFonts w:ascii="Arial" w:hAnsi="Arial" w:cs="Arial"/>
          <w:szCs w:val="24"/>
          <w:lang w:eastAsia="es-CO"/>
        </w:rPr>
      </w:pPr>
      <w:r w:rsidRPr="00B649C1">
        <w:rPr>
          <w:rFonts w:ascii="Arial" w:hAnsi="Arial" w:cs="Arial"/>
          <w:szCs w:val="24"/>
          <w:lang w:eastAsia="es-CO"/>
        </w:rPr>
        <w:t>Protocolo para la presentación de productos, técnicas o tecnologías innovadoras para el desarrollo de la infraestructura vial o espacio público a cargo del IDU.</w:t>
      </w:r>
    </w:p>
    <w:p w:rsidR="00B649C1" w:rsidRPr="00B649C1" w:rsidRDefault="00B649C1" w:rsidP="00B649C1">
      <w:pPr>
        <w:spacing w:line="276" w:lineRule="auto"/>
        <w:jc w:val="both"/>
        <w:rPr>
          <w:rFonts w:ascii="Arial" w:hAnsi="Arial" w:cs="Arial"/>
          <w:szCs w:val="24"/>
          <w:lang w:eastAsia="es-CO"/>
        </w:rPr>
      </w:pPr>
    </w:p>
    <w:p w:rsidR="00B649C1" w:rsidRPr="00B649C1" w:rsidRDefault="00B649C1" w:rsidP="00B649C1">
      <w:pPr>
        <w:spacing w:line="276" w:lineRule="auto"/>
        <w:jc w:val="both"/>
        <w:rPr>
          <w:rFonts w:ascii="Arial" w:hAnsi="Arial" w:cs="Arial"/>
          <w:szCs w:val="24"/>
          <w:lang w:eastAsia="es-CO"/>
        </w:rPr>
      </w:pPr>
      <w:r w:rsidRPr="00B649C1">
        <w:rPr>
          <w:rFonts w:ascii="Arial" w:hAnsi="Arial" w:cs="Arial"/>
          <w:szCs w:val="24"/>
          <w:lang w:eastAsia="es-CO"/>
        </w:rPr>
        <w:t>Este protocolo establece los lineamientos y procedimientos para la presentación de nuevos productos, técnicas y tecnologías al IDU por interesados ofrecer y del IDU evaluar. Esto con el fin de llevar a cabo un proceso ya sea de divulgación o de estudio para incorporación de nuevos productos, técnicas o tecnologías a los proyectos a cargo del IDU.</w:t>
      </w:r>
    </w:p>
    <w:p w:rsidR="00B649C1" w:rsidRPr="00B649C1" w:rsidRDefault="00B649C1" w:rsidP="00B649C1">
      <w:pPr>
        <w:spacing w:line="276" w:lineRule="auto"/>
        <w:jc w:val="both"/>
        <w:rPr>
          <w:rFonts w:ascii="Arial" w:hAnsi="Arial" w:cs="Arial"/>
          <w:szCs w:val="24"/>
          <w:lang w:eastAsia="es-CO"/>
        </w:rPr>
      </w:pPr>
    </w:p>
    <w:p w:rsidR="00B649C1" w:rsidRPr="00B649C1" w:rsidRDefault="00B649C1" w:rsidP="00B649C1">
      <w:pPr>
        <w:spacing w:line="276" w:lineRule="auto"/>
        <w:jc w:val="both"/>
        <w:rPr>
          <w:rFonts w:ascii="Arial" w:hAnsi="Arial" w:cs="Arial"/>
          <w:b/>
          <w:szCs w:val="24"/>
          <w:u w:val="single"/>
        </w:rPr>
      </w:pPr>
      <w:bookmarkStart w:id="108" w:name="_Toc26881543"/>
      <w:r w:rsidRPr="00B649C1">
        <w:rPr>
          <w:rFonts w:ascii="Arial" w:hAnsi="Arial" w:cs="Arial"/>
          <w:b/>
          <w:szCs w:val="24"/>
          <w:u w:val="single"/>
        </w:rPr>
        <w:t>Generación y actualización de estudios, especificaciones y documentos técnicos</w:t>
      </w:r>
      <w:bookmarkEnd w:id="108"/>
      <w:r w:rsidRPr="00B649C1">
        <w:rPr>
          <w:rFonts w:ascii="Arial" w:hAnsi="Arial" w:cs="Arial"/>
          <w:b/>
          <w:szCs w:val="24"/>
          <w:u w:val="single"/>
        </w:rPr>
        <w:t xml:space="preserve"> </w:t>
      </w:r>
    </w:p>
    <w:p w:rsidR="00B649C1" w:rsidRPr="00B649C1" w:rsidRDefault="00B649C1" w:rsidP="00B649C1">
      <w:pPr>
        <w:spacing w:line="276" w:lineRule="auto"/>
        <w:jc w:val="both"/>
        <w:rPr>
          <w:rFonts w:ascii="Arial" w:hAnsi="Arial" w:cs="Arial"/>
          <w:szCs w:val="24"/>
          <w:lang w:eastAsia="es-CO"/>
        </w:rPr>
      </w:pPr>
    </w:p>
    <w:p w:rsidR="00B649C1" w:rsidRPr="00B649C1" w:rsidRDefault="00B649C1" w:rsidP="00B649C1">
      <w:pPr>
        <w:spacing w:line="276" w:lineRule="auto"/>
        <w:jc w:val="both"/>
        <w:rPr>
          <w:rFonts w:ascii="Arial" w:hAnsi="Arial" w:cs="Arial"/>
          <w:szCs w:val="24"/>
          <w:lang w:eastAsia="es-CO"/>
        </w:rPr>
      </w:pPr>
      <w:r w:rsidRPr="00B649C1">
        <w:rPr>
          <w:rFonts w:ascii="Arial" w:hAnsi="Arial" w:cs="Arial"/>
          <w:szCs w:val="24"/>
          <w:lang w:eastAsia="es-CO"/>
        </w:rPr>
        <w:t>Se elaboraron o actualizaron 107 documentos técnicos relacionados con especificaciones técnicas, gestión de infraestructura y alternativas innovadoras.</w:t>
      </w:r>
    </w:p>
    <w:p w:rsidR="00B649C1" w:rsidRPr="00B649C1" w:rsidRDefault="00B649C1" w:rsidP="00B649C1">
      <w:pPr>
        <w:spacing w:line="276" w:lineRule="auto"/>
        <w:jc w:val="both"/>
        <w:rPr>
          <w:rFonts w:ascii="Arial" w:hAnsi="Arial" w:cs="Arial"/>
          <w:b/>
          <w:szCs w:val="24"/>
        </w:rPr>
      </w:pPr>
    </w:p>
    <w:p w:rsidR="00B649C1" w:rsidRPr="00B649C1" w:rsidRDefault="00B649C1" w:rsidP="00B649C1">
      <w:pPr>
        <w:spacing w:line="276" w:lineRule="auto"/>
        <w:jc w:val="both"/>
        <w:rPr>
          <w:rFonts w:ascii="Arial" w:hAnsi="Arial" w:cs="Arial"/>
          <w:b/>
          <w:szCs w:val="24"/>
        </w:rPr>
      </w:pPr>
    </w:p>
    <w:p w:rsidR="00B649C1" w:rsidRPr="00B649C1" w:rsidRDefault="00B649C1" w:rsidP="00B649C1">
      <w:pPr>
        <w:spacing w:line="276" w:lineRule="auto"/>
        <w:jc w:val="both"/>
        <w:rPr>
          <w:rFonts w:ascii="Arial" w:hAnsi="Arial" w:cs="Arial"/>
          <w:b/>
          <w:szCs w:val="24"/>
        </w:rPr>
      </w:pPr>
    </w:p>
    <w:p w:rsidR="00B649C1" w:rsidRPr="00B649C1" w:rsidRDefault="00B649C1" w:rsidP="00B649C1">
      <w:pPr>
        <w:spacing w:line="276" w:lineRule="auto"/>
        <w:jc w:val="both"/>
        <w:rPr>
          <w:rFonts w:ascii="Arial" w:hAnsi="Arial" w:cs="Arial"/>
          <w:b/>
          <w:szCs w:val="24"/>
          <w:u w:val="single"/>
        </w:rPr>
      </w:pPr>
      <w:r w:rsidRPr="00B649C1">
        <w:rPr>
          <w:rFonts w:ascii="Arial" w:hAnsi="Arial" w:cs="Arial"/>
          <w:b/>
          <w:szCs w:val="24"/>
          <w:u w:val="single"/>
        </w:rPr>
        <w:t xml:space="preserve">Transferencias de conocimiento </w:t>
      </w:r>
    </w:p>
    <w:p w:rsidR="00B649C1" w:rsidRPr="00B649C1" w:rsidRDefault="00B649C1" w:rsidP="00B649C1">
      <w:pPr>
        <w:spacing w:line="276" w:lineRule="auto"/>
        <w:jc w:val="both"/>
        <w:rPr>
          <w:rFonts w:ascii="Arial" w:hAnsi="Arial" w:cs="Arial"/>
          <w:szCs w:val="24"/>
          <w:lang w:eastAsia="es-CO"/>
        </w:rPr>
      </w:pPr>
    </w:p>
    <w:p w:rsidR="00B649C1" w:rsidRPr="00B649C1" w:rsidRDefault="00B649C1" w:rsidP="00B649C1">
      <w:pPr>
        <w:spacing w:line="276" w:lineRule="auto"/>
        <w:jc w:val="both"/>
        <w:rPr>
          <w:rFonts w:ascii="Arial" w:hAnsi="Arial" w:cs="Arial"/>
          <w:szCs w:val="24"/>
          <w:lang w:eastAsia="es-CO"/>
        </w:rPr>
      </w:pPr>
      <w:r w:rsidRPr="00B649C1">
        <w:rPr>
          <w:rFonts w:ascii="Arial" w:hAnsi="Arial" w:cs="Arial"/>
          <w:szCs w:val="24"/>
          <w:lang w:eastAsia="es-CO"/>
        </w:rPr>
        <w:t>Se realizaron socializaciones de las actividades y productos generados por Innovación. Adicionalmente, se realizaron eventos internos y externos (6) y se publicaron cuatro (4) boletines</w:t>
      </w:r>
    </w:p>
    <w:p w:rsidR="00B649C1" w:rsidRPr="00B649C1" w:rsidRDefault="00B649C1" w:rsidP="00B649C1">
      <w:pPr>
        <w:spacing w:line="276" w:lineRule="auto"/>
        <w:jc w:val="both"/>
        <w:rPr>
          <w:rFonts w:ascii="Arial" w:hAnsi="Arial" w:cs="Arial"/>
          <w:szCs w:val="24"/>
        </w:rPr>
      </w:pPr>
    </w:p>
    <w:p w:rsidR="00B649C1" w:rsidRPr="00B649C1" w:rsidRDefault="00B649C1" w:rsidP="00B649C1">
      <w:pPr>
        <w:spacing w:line="276" w:lineRule="auto"/>
        <w:jc w:val="both"/>
        <w:rPr>
          <w:rFonts w:ascii="Arial" w:hAnsi="Arial" w:cs="Arial"/>
          <w:b/>
          <w:szCs w:val="24"/>
          <w:u w:val="single"/>
        </w:rPr>
      </w:pPr>
      <w:bookmarkStart w:id="109" w:name="_Toc26881546"/>
      <w:r w:rsidRPr="00B649C1">
        <w:rPr>
          <w:rFonts w:ascii="Arial" w:hAnsi="Arial" w:cs="Arial"/>
          <w:b/>
          <w:szCs w:val="24"/>
          <w:u w:val="single"/>
        </w:rPr>
        <w:t>Consolidación de un Sistema de Información de Especificaciones Técnicas</w:t>
      </w:r>
      <w:bookmarkEnd w:id="109"/>
    </w:p>
    <w:p w:rsidR="00B649C1" w:rsidRPr="00B649C1" w:rsidRDefault="00B649C1" w:rsidP="00B649C1">
      <w:pPr>
        <w:spacing w:line="276" w:lineRule="auto"/>
        <w:jc w:val="both"/>
        <w:rPr>
          <w:rFonts w:ascii="Arial" w:hAnsi="Arial" w:cs="Arial"/>
          <w:szCs w:val="24"/>
        </w:rPr>
      </w:pPr>
    </w:p>
    <w:p w:rsidR="00B649C1" w:rsidRPr="00B649C1" w:rsidRDefault="00B649C1" w:rsidP="00D0183B">
      <w:pPr>
        <w:pStyle w:val="Prrafodelista"/>
        <w:numPr>
          <w:ilvl w:val="0"/>
          <w:numId w:val="45"/>
        </w:numPr>
        <w:tabs>
          <w:tab w:val="clear" w:pos="720"/>
          <w:tab w:val="num" w:pos="567"/>
        </w:tabs>
        <w:spacing w:after="0" w:line="276" w:lineRule="auto"/>
        <w:ind w:left="567" w:hanging="283"/>
        <w:jc w:val="both"/>
        <w:rPr>
          <w:rFonts w:ascii="Arial" w:hAnsi="Arial" w:cs="Arial"/>
          <w:szCs w:val="24"/>
        </w:rPr>
      </w:pPr>
      <w:r w:rsidRPr="00B649C1">
        <w:rPr>
          <w:rFonts w:ascii="Arial" w:hAnsi="Arial" w:cs="Arial"/>
          <w:szCs w:val="24"/>
        </w:rPr>
        <w:t>Recibo, acopio y análisis de especificaciones particulares y ensayos de campo y laboratorio del IDU.</w:t>
      </w:r>
    </w:p>
    <w:p w:rsidR="00B649C1" w:rsidRPr="00B649C1" w:rsidRDefault="00B649C1" w:rsidP="00D0183B">
      <w:pPr>
        <w:pStyle w:val="Prrafodelista"/>
        <w:numPr>
          <w:ilvl w:val="0"/>
          <w:numId w:val="45"/>
        </w:numPr>
        <w:tabs>
          <w:tab w:val="clear" w:pos="720"/>
          <w:tab w:val="num" w:pos="567"/>
        </w:tabs>
        <w:spacing w:after="0" w:line="276" w:lineRule="auto"/>
        <w:ind w:left="567" w:hanging="283"/>
        <w:jc w:val="both"/>
        <w:rPr>
          <w:rFonts w:ascii="Arial" w:hAnsi="Arial" w:cs="Arial"/>
          <w:szCs w:val="24"/>
        </w:rPr>
      </w:pPr>
      <w:r w:rsidRPr="00B649C1">
        <w:rPr>
          <w:rFonts w:ascii="Arial" w:hAnsi="Arial" w:cs="Arial"/>
          <w:szCs w:val="24"/>
        </w:rPr>
        <w:lastRenderedPageBreak/>
        <w:t>Seguimiento de la normativa nacional e internacional de ensayos y especificaciones.</w:t>
      </w:r>
    </w:p>
    <w:p w:rsidR="00B649C1" w:rsidRPr="00B649C1" w:rsidRDefault="00B649C1" w:rsidP="00D0183B">
      <w:pPr>
        <w:pStyle w:val="Prrafodelista"/>
        <w:numPr>
          <w:ilvl w:val="0"/>
          <w:numId w:val="45"/>
        </w:numPr>
        <w:tabs>
          <w:tab w:val="clear" w:pos="720"/>
          <w:tab w:val="num" w:pos="567"/>
        </w:tabs>
        <w:spacing w:after="0" w:line="276" w:lineRule="auto"/>
        <w:ind w:left="567" w:hanging="283"/>
        <w:jc w:val="both"/>
        <w:rPr>
          <w:rFonts w:ascii="Arial" w:hAnsi="Arial" w:cs="Arial"/>
          <w:szCs w:val="24"/>
        </w:rPr>
      </w:pPr>
      <w:r w:rsidRPr="00B649C1">
        <w:rPr>
          <w:rFonts w:ascii="Arial" w:hAnsi="Arial" w:cs="Arial"/>
          <w:szCs w:val="24"/>
        </w:rPr>
        <w:t>Brindar soporte técnico sobre documentos técnicos normalizados.</w:t>
      </w:r>
    </w:p>
    <w:p w:rsidR="00B649C1" w:rsidRPr="00B649C1" w:rsidRDefault="00B649C1" w:rsidP="00D0183B">
      <w:pPr>
        <w:pStyle w:val="Prrafodelista"/>
        <w:numPr>
          <w:ilvl w:val="0"/>
          <w:numId w:val="45"/>
        </w:numPr>
        <w:tabs>
          <w:tab w:val="clear" w:pos="720"/>
          <w:tab w:val="num" w:pos="567"/>
        </w:tabs>
        <w:spacing w:after="0" w:line="276" w:lineRule="auto"/>
        <w:ind w:left="567" w:hanging="283"/>
        <w:jc w:val="both"/>
        <w:rPr>
          <w:rFonts w:ascii="Arial" w:hAnsi="Arial" w:cs="Arial"/>
          <w:szCs w:val="24"/>
        </w:rPr>
      </w:pPr>
      <w:r w:rsidRPr="00B649C1">
        <w:rPr>
          <w:rFonts w:ascii="Arial" w:hAnsi="Arial" w:cs="Arial"/>
          <w:szCs w:val="24"/>
        </w:rPr>
        <w:t xml:space="preserve">Adopción (Resolución), capacitación e implementación de actualización especificaciones generales. </w:t>
      </w:r>
    </w:p>
    <w:p w:rsidR="00B649C1" w:rsidRPr="00B649C1" w:rsidRDefault="00B649C1" w:rsidP="00D0183B">
      <w:pPr>
        <w:pStyle w:val="Prrafodelista"/>
        <w:numPr>
          <w:ilvl w:val="0"/>
          <w:numId w:val="45"/>
        </w:numPr>
        <w:tabs>
          <w:tab w:val="clear" w:pos="720"/>
          <w:tab w:val="num" w:pos="567"/>
        </w:tabs>
        <w:spacing w:after="0" w:line="276" w:lineRule="auto"/>
        <w:ind w:left="567" w:hanging="283"/>
        <w:jc w:val="both"/>
        <w:rPr>
          <w:rFonts w:ascii="Arial" w:hAnsi="Arial" w:cs="Arial"/>
          <w:szCs w:val="24"/>
        </w:rPr>
      </w:pPr>
      <w:r w:rsidRPr="00B649C1">
        <w:rPr>
          <w:rFonts w:ascii="Arial" w:hAnsi="Arial" w:cs="Arial"/>
          <w:szCs w:val="24"/>
        </w:rPr>
        <w:t>Interacción con el Sistema de Precios de Referencia (Insumos, ensayos y actividades de obra) relacionados con las especificaciones técnicas generales del IDU.</w:t>
      </w:r>
    </w:p>
    <w:p w:rsidR="00B649C1" w:rsidRPr="00B649C1" w:rsidRDefault="00B649C1" w:rsidP="00D0183B">
      <w:pPr>
        <w:pStyle w:val="Prrafodelista"/>
        <w:numPr>
          <w:ilvl w:val="0"/>
          <w:numId w:val="45"/>
        </w:numPr>
        <w:tabs>
          <w:tab w:val="clear" w:pos="720"/>
          <w:tab w:val="num" w:pos="567"/>
        </w:tabs>
        <w:spacing w:after="0" w:line="276" w:lineRule="auto"/>
        <w:ind w:left="567" w:hanging="283"/>
        <w:jc w:val="both"/>
        <w:rPr>
          <w:rFonts w:ascii="Arial" w:hAnsi="Arial" w:cs="Arial"/>
          <w:szCs w:val="24"/>
        </w:rPr>
      </w:pPr>
      <w:r w:rsidRPr="00B649C1">
        <w:rPr>
          <w:rFonts w:ascii="Arial" w:hAnsi="Arial" w:cs="Arial"/>
          <w:szCs w:val="24"/>
        </w:rPr>
        <w:t>Marco legal para normalizar documentos técnicos (Lineamientos) para el diseño, construcción y conservación de la Infraestructura (Artículo POT).</w:t>
      </w:r>
    </w:p>
    <w:p w:rsidR="00B649C1" w:rsidRPr="00B649C1" w:rsidRDefault="00B649C1" w:rsidP="00B649C1">
      <w:pPr>
        <w:spacing w:line="276" w:lineRule="auto"/>
        <w:jc w:val="both"/>
        <w:rPr>
          <w:rFonts w:ascii="Arial" w:hAnsi="Arial" w:cs="Arial"/>
          <w:szCs w:val="24"/>
        </w:rPr>
      </w:pPr>
    </w:p>
    <w:p w:rsidR="00B649C1" w:rsidRPr="00B649C1" w:rsidRDefault="00B649C1" w:rsidP="00B649C1">
      <w:pPr>
        <w:spacing w:line="276" w:lineRule="auto"/>
        <w:jc w:val="both"/>
        <w:rPr>
          <w:rFonts w:ascii="Arial" w:hAnsi="Arial" w:cs="Arial"/>
          <w:b/>
          <w:szCs w:val="24"/>
          <w:u w:val="single"/>
        </w:rPr>
      </w:pPr>
      <w:bookmarkStart w:id="110" w:name="_Toc26881547"/>
      <w:r w:rsidRPr="00B649C1">
        <w:rPr>
          <w:rFonts w:ascii="Arial" w:hAnsi="Arial" w:cs="Arial"/>
          <w:b/>
          <w:szCs w:val="24"/>
          <w:u w:val="single"/>
        </w:rPr>
        <w:t xml:space="preserve">Consolidación de un </w:t>
      </w:r>
      <w:bookmarkEnd w:id="110"/>
      <w:r w:rsidRPr="00B649C1">
        <w:rPr>
          <w:rFonts w:ascii="Arial" w:hAnsi="Arial" w:cs="Arial"/>
          <w:b/>
          <w:szCs w:val="24"/>
          <w:u w:val="single"/>
        </w:rPr>
        <w:t>Sistema de Gestión para la conservación de infraestructura</w:t>
      </w:r>
    </w:p>
    <w:p w:rsidR="00B649C1" w:rsidRPr="00B649C1" w:rsidRDefault="00B649C1" w:rsidP="00B649C1">
      <w:pPr>
        <w:spacing w:line="276" w:lineRule="auto"/>
        <w:jc w:val="both"/>
        <w:rPr>
          <w:rFonts w:ascii="Arial" w:hAnsi="Arial" w:cs="Arial"/>
          <w:b/>
          <w:szCs w:val="24"/>
        </w:rPr>
      </w:pPr>
    </w:p>
    <w:p w:rsidR="00B649C1" w:rsidRPr="00B649C1" w:rsidRDefault="00B649C1" w:rsidP="00D0183B">
      <w:pPr>
        <w:pStyle w:val="Prrafodelista"/>
        <w:numPr>
          <w:ilvl w:val="0"/>
          <w:numId w:val="45"/>
        </w:numPr>
        <w:spacing w:after="0" w:line="276" w:lineRule="auto"/>
        <w:ind w:left="567" w:hanging="283"/>
        <w:jc w:val="both"/>
        <w:rPr>
          <w:rFonts w:ascii="Arial" w:hAnsi="Arial" w:cs="Arial"/>
          <w:szCs w:val="24"/>
        </w:rPr>
      </w:pPr>
      <w:r w:rsidRPr="00B649C1">
        <w:rPr>
          <w:rFonts w:ascii="Arial" w:hAnsi="Arial" w:cs="Arial"/>
          <w:szCs w:val="24"/>
        </w:rPr>
        <w:t>Toma permanente de información para el diagnóstico de la infraestructura y determinación de su estado.</w:t>
      </w:r>
    </w:p>
    <w:p w:rsidR="00B649C1" w:rsidRPr="00B649C1" w:rsidRDefault="00B649C1" w:rsidP="00D0183B">
      <w:pPr>
        <w:pStyle w:val="Prrafodelista"/>
        <w:numPr>
          <w:ilvl w:val="0"/>
          <w:numId w:val="45"/>
        </w:numPr>
        <w:spacing w:after="0" w:line="276" w:lineRule="auto"/>
        <w:ind w:left="567" w:hanging="283"/>
        <w:jc w:val="both"/>
        <w:rPr>
          <w:rFonts w:ascii="Arial" w:hAnsi="Arial" w:cs="Arial"/>
          <w:szCs w:val="24"/>
        </w:rPr>
      </w:pPr>
      <w:r w:rsidRPr="00B649C1">
        <w:rPr>
          <w:rFonts w:ascii="Arial" w:hAnsi="Arial" w:cs="Arial"/>
          <w:szCs w:val="24"/>
        </w:rPr>
        <w:t>Análisis de estado a través procesos y software especializado.</w:t>
      </w:r>
    </w:p>
    <w:p w:rsidR="00B649C1" w:rsidRPr="00B649C1" w:rsidRDefault="00B649C1" w:rsidP="00D0183B">
      <w:pPr>
        <w:pStyle w:val="Prrafodelista"/>
        <w:numPr>
          <w:ilvl w:val="0"/>
          <w:numId w:val="45"/>
        </w:numPr>
        <w:spacing w:after="0" w:line="276" w:lineRule="auto"/>
        <w:ind w:left="567" w:hanging="283"/>
        <w:jc w:val="both"/>
        <w:rPr>
          <w:rFonts w:ascii="Arial" w:hAnsi="Arial" w:cs="Arial"/>
          <w:szCs w:val="24"/>
        </w:rPr>
      </w:pPr>
      <w:r w:rsidRPr="00B649C1">
        <w:rPr>
          <w:rFonts w:ascii="Arial" w:hAnsi="Arial" w:cs="Arial"/>
          <w:szCs w:val="24"/>
        </w:rPr>
        <w:t>Identificación de necesidades económicas y estrategias para la conservación.</w:t>
      </w:r>
    </w:p>
    <w:p w:rsidR="00B649C1" w:rsidRPr="00B649C1" w:rsidRDefault="00B649C1" w:rsidP="00D0183B">
      <w:pPr>
        <w:pStyle w:val="Prrafodelista"/>
        <w:numPr>
          <w:ilvl w:val="0"/>
          <w:numId w:val="45"/>
        </w:numPr>
        <w:spacing w:after="0" w:line="276" w:lineRule="auto"/>
        <w:ind w:left="567" w:hanging="283"/>
        <w:jc w:val="both"/>
        <w:rPr>
          <w:rFonts w:ascii="Arial" w:hAnsi="Arial" w:cs="Arial"/>
          <w:szCs w:val="24"/>
        </w:rPr>
      </w:pPr>
      <w:r w:rsidRPr="00B649C1">
        <w:rPr>
          <w:rFonts w:ascii="Arial" w:hAnsi="Arial" w:cs="Arial"/>
          <w:szCs w:val="24"/>
        </w:rPr>
        <w:t>Marco legal para la adopción del Sistema Distrital de Gestión para la Conservación de la Infraestructura (Artículo POT).</w:t>
      </w:r>
    </w:p>
    <w:p w:rsidR="00B649C1" w:rsidRPr="00B649C1" w:rsidRDefault="00B649C1" w:rsidP="00B649C1">
      <w:pPr>
        <w:spacing w:line="276" w:lineRule="auto"/>
        <w:jc w:val="both"/>
        <w:rPr>
          <w:rFonts w:ascii="Arial" w:hAnsi="Arial" w:cs="Arial"/>
          <w:szCs w:val="24"/>
        </w:rPr>
      </w:pPr>
    </w:p>
    <w:p w:rsidR="00B649C1" w:rsidRPr="00B649C1" w:rsidRDefault="00B649C1" w:rsidP="00B649C1">
      <w:pPr>
        <w:spacing w:line="276" w:lineRule="auto"/>
        <w:jc w:val="both"/>
        <w:rPr>
          <w:rFonts w:ascii="Arial" w:hAnsi="Arial" w:cs="Arial"/>
          <w:b/>
          <w:szCs w:val="24"/>
          <w:u w:val="single"/>
        </w:rPr>
      </w:pPr>
      <w:bookmarkStart w:id="111" w:name="_Toc26881548"/>
      <w:r w:rsidRPr="00B649C1">
        <w:rPr>
          <w:rFonts w:ascii="Arial" w:hAnsi="Arial" w:cs="Arial"/>
          <w:b/>
          <w:szCs w:val="24"/>
          <w:u w:val="single"/>
        </w:rPr>
        <w:t xml:space="preserve">Fortalecimiento </w:t>
      </w:r>
      <w:bookmarkEnd w:id="111"/>
      <w:r w:rsidRPr="00B649C1">
        <w:rPr>
          <w:rFonts w:ascii="Arial" w:hAnsi="Arial" w:cs="Arial"/>
          <w:b/>
          <w:szCs w:val="24"/>
          <w:u w:val="single"/>
        </w:rPr>
        <w:t>del proceso para inclusión de alternativas innovadoras en la Infraestructura</w:t>
      </w:r>
    </w:p>
    <w:p w:rsidR="00B649C1" w:rsidRPr="00B649C1" w:rsidRDefault="00B649C1" w:rsidP="00B649C1">
      <w:pPr>
        <w:spacing w:line="276" w:lineRule="auto"/>
        <w:jc w:val="both"/>
        <w:rPr>
          <w:rFonts w:ascii="Arial" w:hAnsi="Arial" w:cs="Arial"/>
          <w:b/>
          <w:szCs w:val="24"/>
          <w:u w:val="single"/>
        </w:rPr>
      </w:pPr>
    </w:p>
    <w:p w:rsidR="00B649C1" w:rsidRPr="00B649C1" w:rsidRDefault="00B649C1" w:rsidP="00D0183B">
      <w:pPr>
        <w:pStyle w:val="Prrafodelista"/>
        <w:numPr>
          <w:ilvl w:val="0"/>
          <w:numId w:val="45"/>
        </w:numPr>
        <w:spacing w:after="0" w:line="276" w:lineRule="auto"/>
        <w:ind w:left="567" w:hanging="283"/>
        <w:jc w:val="both"/>
        <w:rPr>
          <w:rFonts w:ascii="Arial" w:hAnsi="Arial" w:cs="Arial"/>
          <w:szCs w:val="24"/>
        </w:rPr>
      </w:pPr>
      <w:r w:rsidRPr="00B649C1">
        <w:rPr>
          <w:rFonts w:ascii="Arial" w:hAnsi="Arial" w:cs="Arial"/>
          <w:szCs w:val="24"/>
        </w:rPr>
        <w:t>A través de protocolos (IN-IC-19) presentados por oferentes interesados en realizar transferencia de conocimiento o aplicación de tramo de prueba.</w:t>
      </w:r>
    </w:p>
    <w:p w:rsidR="00B649C1" w:rsidRPr="00B649C1" w:rsidRDefault="00B649C1" w:rsidP="00D0183B">
      <w:pPr>
        <w:pStyle w:val="Prrafodelista"/>
        <w:numPr>
          <w:ilvl w:val="0"/>
          <w:numId w:val="45"/>
        </w:numPr>
        <w:spacing w:after="0" w:line="276" w:lineRule="auto"/>
        <w:ind w:left="567" w:hanging="283"/>
        <w:jc w:val="both"/>
        <w:rPr>
          <w:rFonts w:ascii="Arial" w:hAnsi="Arial" w:cs="Arial"/>
          <w:szCs w:val="24"/>
        </w:rPr>
      </w:pPr>
      <w:r w:rsidRPr="00B649C1">
        <w:rPr>
          <w:rFonts w:ascii="Arial" w:hAnsi="Arial" w:cs="Arial"/>
          <w:szCs w:val="24"/>
        </w:rPr>
        <w:t>Aplicaciones en proyectos del IDU.</w:t>
      </w:r>
    </w:p>
    <w:p w:rsidR="00B649C1" w:rsidRPr="00B649C1" w:rsidRDefault="00B649C1" w:rsidP="00D0183B">
      <w:pPr>
        <w:pStyle w:val="Prrafodelista"/>
        <w:numPr>
          <w:ilvl w:val="0"/>
          <w:numId w:val="45"/>
        </w:numPr>
        <w:spacing w:after="0" w:line="276" w:lineRule="auto"/>
        <w:ind w:left="567" w:hanging="283"/>
        <w:jc w:val="both"/>
        <w:rPr>
          <w:rFonts w:ascii="Arial" w:hAnsi="Arial" w:cs="Arial"/>
          <w:szCs w:val="24"/>
        </w:rPr>
      </w:pPr>
      <w:r w:rsidRPr="00B649C1">
        <w:rPr>
          <w:rFonts w:ascii="Arial" w:hAnsi="Arial" w:cs="Arial"/>
          <w:szCs w:val="24"/>
        </w:rPr>
        <w:t>Evaluación y estudio permanente para diversificar el uso de materiales.</w:t>
      </w:r>
    </w:p>
    <w:p w:rsidR="00B649C1" w:rsidRPr="00B649C1" w:rsidRDefault="00B649C1" w:rsidP="00D0183B">
      <w:pPr>
        <w:pStyle w:val="Prrafodelista"/>
        <w:numPr>
          <w:ilvl w:val="0"/>
          <w:numId w:val="45"/>
        </w:numPr>
        <w:spacing w:after="0" w:line="276" w:lineRule="auto"/>
        <w:ind w:left="567" w:hanging="283"/>
        <w:jc w:val="both"/>
        <w:rPr>
          <w:rFonts w:ascii="Arial" w:hAnsi="Arial" w:cs="Arial"/>
          <w:szCs w:val="24"/>
        </w:rPr>
      </w:pPr>
      <w:r w:rsidRPr="00B649C1">
        <w:rPr>
          <w:rFonts w:ascii="Arial" w:hAnsi="Arial" w:cs="Arial"/>
          <w:szCs w:val="24"/>
        </w:rPr>
        <w:t>Marco legal para promover la inclusión de alternativas innovadoras (Artículo POT).</w:t>
      </w:r>
    </w:p>
    <w:p w:rsidR="00B649C1" w:rsidRPr="00B649C1" w:rsidRDefault="00B649C1" w:rsidP="00B649C1">
      <w:pPr>
        <w:spacing w:line="276" w:lineRule="auto"/>
        <w:jc w:val="both"/>
        <w:rPr>
          <w:rFonts w:ascii="Arial" w:hAnsi="Arial" w:cs="Arial"/>
          <w:szCs w:val="24"/>
        </w:rPr>
      </w:pPr>
    </w:p>
    <w:p w:rsidR="00B649C1" w:rsidRPr="00B649C1" w:rsidRDefault="00B649C1" w:rsidP="00B649C1">
      <w:pPr>
        <w:spacing w:line="276" w:lineRule="auto"/>
        <w:jc w:val="both"/>
        <w:rPr>
          <w:rFonts w:ascii="Arial" w:hAnsi="Arial" w:cs="Arial"/>
          <w:b/>
          <w:szCs w:val="24"/>
          <w:u w:val="single"/>
        </w:rPr>
      </w:pPr>
      <w:bookmarkStart w:id="112" w:name="_Toc26881552"/>
      <w:r w:rsidRPr="00B649C1">
        <w:rPr>
          <w:rFonts w:ascii="Arial" w:hAnsi="Arial" w:cs="Arial"/>
          <w:b/>
          <w:szCs w:val="24"/>
          <w:u w:val="single"/>
        </w:rPr>
        <w:t>Estudios Técnicos</w:t>
      </w:r>
      <w:bookmarkEnd w:id="112"/>
    </w:p>
    <w:p w:rsidR="00B649C1" w:rsidRPr="00B649C1" w:rsidRDefault="00B649C1" w:rsidP="00B649C1">
      <w:pPr>
        <w:spacing w:line="276" w:lineRule="auto"/>
        <w:jc w:val="both"/>
        <w:rPr>
          <w:rFonts w:ascii="Arial" w:hAnsi="Arial" w:cs="Arial"/>
          <w:szCs w:val="24"/>
        </w:rPr>
      </w:pPr>
    </w:p>
    <w:p w:rsidR="00B649C1" w:rsidRPr="00B649C1" w:rsidRDefault="00B649C1" w:rsidP="00B649C1">
      <w:pPr>
        <w:spacing w:line="276" w:lineRule="auto"/>
        <w:jc w:val="both"/>
        <w:rPr>
          <w:rFonts w:ascii="Arial" w:hAnsi="Arial" w:cs="Arial"/>
          <w:szCs w:val="24"/>
        </w:rPr>
      </w:pPr>
      <w:r w:rsidRPr="00B649C1">
        <w:rPr>
          <w:rFonts w:ascii="Arial" w:hAnsi="Arial" w:cs="Arial"/>
          <w:szCs w:val="24"/>
        </w:rPr>
        <w:t>Se realizaron los siguientes estudios técnicos, los cuales están relacionados con las consultorías supervisadas, con tramos testigos y protocolo de nuevas tecnologías (8).</w:t>
      </w:r>
    </w:p>
    <w:p w:rsidR="00B649C1" w:rsidRPr="00B649C1" w:rsidRDefault="00B649C1" w:rsidP="00B649C1">
      <w:pPr>
        <w:spacing w:line="276" w:lineRule="auto"/>
        <w:jc w:val="both"/>
        <w:rPr>
          <w:rFonts w:ascii="Arial" w:hAnsi="Arial" w:cs="Arial"/>
          <w:szCs w:val="24"/>
        </w:rPr>
      </w:pPr>
    </w:p>
    <w:p w:rsidR="00B649C1" w:rsidRPr="00B649C1" w:rsidRDefault="00B649C1" w:rsidP="00B649C1">
      <w:pPr>
        <w:spacing w:line="276" w:lineRule="auto"/>
        <w:jc w:val="both"/>
        <w:rPr>
          <w:rFonts w:ascii="Arial" w:hAnsi="Arial" w:cs="Arial"/>
          <w:b/>
          <w:szCs w:val="24"/>
          <w:u w:val="single"/>
        </w:rPr>
      </w:pPr>
      <w:bookmarkStart w:id="113" w:name="_Toc26881553"/>
      <w:r w:rsidRPr="00B649C1">
        <w:rPr>
          <w:rFonts w:ascii="Arial" w:hAnsi="Arial" w:cs="Arial"/>
          <w:b/>
          <w:szCs w:val="24"/>
          <w:u w:val="single"/>
        </w:rPr>
        <w:t>Especificaciones y documentos técnicos</w:t>
      </w:r>
      <w:bookmarkEnd w:id="113"/>
    </w:p>
    <w:p w:rsidR="00B649C1" w:rsidRPr="00B649C1" w:rsidRDefault="00B649C1" w:rsidP="00B649C1">
      <w:pPr>
        <w:spacing w:line="276" w:lineRule="auto"/>
        <w:jc w:val="both"/>
        <w:rPr>
          <w:rFonts w:ascii="Arial" w:hAnsi="Arial" w:cs="Arial"/>
          <w:szCs w:val="24"/>
        </w:rPr>
      </w:pPr>
    </w:p>
    <w:p w:rsidR="00B649C1" w:rsidRPr="00B649C1" w:rsidRDefault="00B649C1" w:rsidP="00B649C1">
      <w:pPr>
        <w:spacing w:line="276" w:lineRule="auto"/>
        <w:jc w:val="both"/>
        <w:rPr>
          <w:rFonts w:ascii="Arial" w:hAnsi="Arial" w:cs="Arial"/>
          <w:szCs w:val="24"/>
        </w:rPr>
      </w:pPr>
      <w:r w:rsidRPr="00B649C1">
        <w:rPr>
          <w:rFonts w:ascii="Arial" w:hAnsi="Arial" w:cs="Arial"/>
          <w:szCs w:val="24"/>
        </w:rPr>
        <w:t>Se generaron o actualizaron los siguientes documentos (99)</w:t>
      </w:r>
    </w:p>
    <w:p w:rsidR="00B649C1" w:rsidRPr="00B649C1" w:rsidRDefault="00B649C1" w:rsidP="00B649C1">
      <w:pPr>
        <w:spacing w:line="276" w:lineRule="auto"/>
        <w:jc w:val="both"/>
        <w:rPr>
          <w:rFonts w:ascii="Arial" w:hAnsi="Arial" w:cs="Arial"/>
          <w:szCs w:val="24"/>
        </w:rPr>
      </w:pPr>
    </w:p>
    <w:p w:rsidR="00B649C1" w:rsidRPr="00B649C1" w:rsidRDefault="00B649C1" w:rsidP="00D0183B">
      <w:pPr>
        <w:pStyle w:val="Prrafodelista"/>
        <w:numPr>
          <w:ilvl w:val="0"/>
          <w:numId w:val="45"/>
        </w:numPr>
        <w:tabs>
          <w:tab w:val="clear" w:pos="720"/>
        </w:tabs>
        <w:spacing w:after="0" w:line="276" w:lineRule="auto"/>
        <w:ind w:left="567" w:hanging="283"/>
        <w:jc w:val="both"/>
        <w:rPr>
          <w:rFonts w:ascii="Arial" w:hAnsi="Arial" w:cs="Arial"/>
          <w:szCs w:val="24"/>
        </w:rPr>
      </w:pPr>
      <w:r w:rsidRPr="00B649C1">
        <w:rPr>
          <w:rFonts w:ascii="Arial" w:hAnsi="Arial" w:cs="Arial"/>
          <w:szCs w:val="24"/>
        </w:rPr>
        <w:t>Especificaciones Técnicas actualizadas (91). En trámite suscripción de Resolución para adopción.</w:t>
      </w:r>
    </w:p>
    <w:p w:rsidR="00B649C1" w:rsidRPr="00B649C1" w:rsidRDefault="00B649C1" w:rsidP="00D0183B">
      <w:pPr>
        <w:pStyle w:val="Prrafodelista"/>
        <w:numPr>
          <w:ilvl w:val="0"/>
          <w:numId w:val="45"/>
        </w:numPr>
        <w:tabs>
          <w:tab w:val="clear" w:pos="720"/>
        </w:tabs>
        <w:spacing w:after="0" w:line="276" w:lineRule="auto"/>
        <w:ind w:left="567" w:hanging="283"/>
        <w:jc w:val="both"/>
        <w:rPr>
          <w:rFonts w:ascii="Arial" w:hAnsi="Arial" w:cs="Arial"/>
          <w:szCs w:val="24"/>
        </w:rPr>
      </w:pPr>
      <w:r w:rsidRPr="00B649C1">
        <w:rPr>
          <w:rFonts w:ascii="Arial" w:hAnsi="Arial" w:cs="Arial"/>
          <w:szCs w:val="24"/>
        </w:rPr>
        <w:t>Instructivo (IN-IC-019) Protocolo para la presentación de productos técnicas o tecnologías innovadoras para el desarrollo de la infraestructura vial o espacio público a cargo del IDU. (1)</w:t>
      </w:r>
    </w:p>
    <w:p w:rsidR="00B649C1" w:rsidRPr="00B649C1" w:rsidRDefault="00B649C1" w:rsidP="00D0183B">
      <w:pPr>
        <w:pStyle w:val="Prrafodelista"/>
        <w:numPr>
          <w:ilvl w:val="0"/>
          <w:numId w:val="45"/>
        </w:numPr>
        <w:tabs>
          <w:tab w:val="clear" w:pos="720"/>
        </w:tabs>
        <w:spacing w:after="0" w:line="276" w:lineRule="auto"/>
        <w:ind w:left="567" w:hanging="283"/>
        <w:jc w:val="both"/>
        <w:rPr>
          <w:rFonts w:ascii="Arial" w:hAnsi="Arial" w:cs="Arial"/>
          <w:szCs w:val="24"/>
        </w:rPr>
      </w:pPr>
      <w:r w:rsidRPr="00B649C1">
        <w:rPr>
          <w:rFonts w:ascii="Arial" w:hAnsi="Arial" w:cs="Arial"/>
          <w:szCs w:val="24"/>
        </w:rPr>
        <w:t>Instructivo (IN-IC-06) Inspección básica de puentes (1)</w:t>
      </w:r>
    </w:p>
    <w:p w:rsidR="00B649C1" w:rsidRPr="00B649C1" w:rsidRDefault="00B649C1" w:rsidP="00D0183B">
      <w:pPr>
        <w:pStyle w:val="Prrafodelista"/>
        <w:numPr>
          <w:ilvl w:val="0"/>
          <w:numId w:val="45"/>
        </w:numPr>
        <w:tabs>
          <w:tab w:val="clear" w:pos="720"/>
        </w:tabs>
        <w:spacing w:after="0" w:line="276" w:lineRule="auto"/>
        <w:ind w:left="567" w:hanging="283"/>
        <w:jc w:val="both"/>
        <w:rPr>
          <w:rFonts w:ascii="Arial" w:hAnsi="Arial" w:cs="Arial"/>
          <w:szCs w:val="24"/>
        </w:rPr>
      </w:pPr>
      <w:r w:rsidRPr="00B649C1">
        <w:rPr>
          <w:rFonts w:ascii="Arial" w:hAnsi="Arial" w:cs="Arial"/>
          <w:szCs w:val="24"/>
        </w:rPr>
        <w:t>Instructivo (IN-IC-05) Metodología para el cálculo del indicador de condición del espacio público. Desarrollo transversal en el área (1)</w:t>
      </w:r>
    </w:p>
    <w:p w:rsidR="00B649C1" w:rsidRPr="00B649C1" w:rsidRDefault="00B649C1" w:rsidP="00D0183B">
      <w:pPr>
        <w:pStyle w:val="Prrafodelista"/>
        <w:numPr>
          <w:ilvl w:val="0"/>
          <w:numId w:val="45"/>
        </w:numPr>
        <w:tabs>
          <w:tab w:val="clear" w:pos="720"/>
        </w:tabs>
        <w:spacing w:after="0" w:line="276" w:lineRule="auto"/>
        <w:ind w:left="567" w:hanging="283"/>
        <w:jc w:val="both"/>
        <w:rPr>
          <w:rFonts w:ascii="Arial" w:hAnsi="Arial" w:cs="Arial"/>
          <w:szCs w:val="24"/>
        </w:rPr>
      </w:pPr>
      <w:r w:rsidRPr="00B649C1">
        <w:rPr>
          <w:rFonts w:ascii="Arial" w:hAnsi="Arial" w:cs="Arial"/>
          <w:szCs w:val="24"/>
        </w:rPr>
        <w:t>Instructivo (IN-IC-10) Levantamiento geométrico y caracterización estructural de puentes (1)</w:t>
      </w:r>
    </w:p>
    <w:p w:rsidR="00B649C1" w:rsidRPr="00B649C1" w:rsidRDefault="00B649C1" w:rsidP="00D0183B">
      <w:pPr>
        <w:pStyle w:val="Prrafodelista"/>
        <w:numPr>
          <w:ilvl w:val="0"/>
          <w:numId w:val="45"/>
        </w:numPr>
        <w:tabs>
          <w:tab w:val="clear" w:pos="720"/>
        </w:tabs>
        <w:spacing w:after="0" w:line="276" w:lineRule="auto"/>
        <w:ind w:left="567" w:hanging="283"/>
        <w:jc w:val="both"/>
        <w:rPr>
          <w:rFonts w:ascii="Arial" w:hAnsi="Arial" w:cs="Arial"/>
          <w:szCs w:val="24"/>
        </w:rPr>
      </w:pPr>
      <w:r w:rsidRPr="00B649C1">
        <w:rPr>
          <w:rFonts w:ascii="Arial" w:hAnsi="Arial" w:cs="Arial"/>
          <w:szCs w:val="24"/>
        </w:rPr>
        <w:t>Guía (GU-IC-08) Diagnostico básico espacio público e inventario elementos para la accesibilidad. Desarrollo transversal en el área (1)</w:t>
      </w:r>
    </w:p>
    <w:p w:rsidR="00B649C1" w:rsidRPr="00B649C1" w:rsidRDefault="00B649C1" w:rsidP="00D0183B">
      <w:pPr>
        <w:pStyle w:val="Prrafodelista"/>
        <w:numPr>
          <w:ilvl w:val="0"/>
          <w:numId w:val="45"/>
        </w:numPr>
        <w:tabs>
          <w:tab w:val="clear" w:pos="720"/>
        </w:tabs>
        <w:spacing w:after="0" w:line="276" w:lineRule="auto"/>
        <w:ind w:left="567" w:hanging="283"/>
        <w:jc w:val="both"/>
        <w:rPr>
          <w:rFonts w:ascii="Arial" w:hAnsi="Arial" w:cs="Arial"/>
          <w:szCs w:val="24"/>
        </w:rPr>
      </w:pPr>
      <w:r w:rsidRPr="00B649C1">
        <w:rPr>
          <w:rFonts w:ascii="Arial" w:hAnsi="Arial" w:cs="Arial"/>
          <w:szCs w:val="24"/>
        </w:rPr>
        <w:t>Documento técnico de soporte y anexo técnico de diagnóstico para conservación de infraestructura vial para Bogotá D.C. (1)</w:t>
      </w:r>
    </w:p>
    <w:p w:rsidR="00B649C1" w:rsidRPr="00B649C1" w:rsidRDefault="00B649C1" w:rsidP="00D0183B">
      <w:pPr>
        <w:pStyle w:val="Prrafodelista"/>
        <w:numPr>
          <w:ilvl w:val="0"/>
          <w:numId w:val="45"/>
        </w:numPr>
        <w:spacing w:after="0" w:line="276" w:lineRule="auto"/>
        <w:ind w:left="567" w:hanging="283"/>
        <w:jc w:val="both"/>
        <w:rPr>
          <w:rFonts w:ascii="Arial" w:hAnsi="Arial" w:cs="Arial"/>
          <w:szCs w:val="24"/>
        </w:rPr>
      </w:pPr>
      <w:r w:rsidRPr="00B649C1">
        <w:rPr>
          <w:rFonts w:ascii="Arial" w:hAnsi="Arial" w:cs="Arial"/>
          <w:szCs w:val="24"/>
        </w:rPr>
        <w:t>Guía (G</w:t>
      </w:r>
      <w:r w:rsidRPr="00B649C1">
        <w:rPr>
          <w:rFonts w:ascii="Arial" w:hAnsi="Arial" w:cs="Arial"/>
          <w:szCs w:val="24"/>
        </w:rPr>
        <w:fldChar w:fldCharType="begin"/>
      </w:r>
      <w:r w:rsidRPr="00B649C1">
        <w:rPr>
          <w:rFonts w:ascii="Arial" w:hAnsi="Arial" w:cs="Arial"/>
          <w:szCs w:val="24"/>
        </w:rPr>
        <w:instrText xml:space="preserve"> HYPERLINK "http://intranet/manualProcesos/Innovacion_y_Gestion_Conocimiento/04_Instructivos_Guias_Cartillas/GUIC09_PRESENTACION_Y_REPORTE_DE_ESPECIFICACIONES_TECNICA_PARTICULARES_V_1.pdf" \t "nueva" </w:instrText>
      </w:r>
      <w:r w:rsidRPr="00B649C1">
        <w:rPr>
          <w:rFonts w:ascii="Arial" w:hAnsi="Arial" w:cs="Arial"/>
          <w:szCs w:val="24"/>
        </w:rPr>
        <w:fldChar w:fldCharType="separate"/>
      </w:r>
      <w:r w:rsidRPr="00B649C1">
        <w:rPr>
          <w:rFonts w:ascii="Arial" w:hAnsi="Arial" w:cs="Arial"/>
          <w:szCs w:val="24"/>
        </w:rPr>
        <w:t>U-IC-09) Presentación y reporte de especificaciones técnica particulares. (1)</w:t>
      </w:r>
    </w:p>
    <w:p w:rsidR="00B649C1" w:rsidRPr="00B649C1" w:rsidRDefault="00B649C1" w:rsidP="00D0183B">
      <w:pPr>
        <w:pStyle w:val="Prrafodelista"/>
        <w:numPr>
          <w:ilvl w:val="0"/>
          <w:numId w:val="45"/>
        </w:numPr>
        <w:spacing w:after="0" w:line="276" w:lineRule="auto"/>
        <w:ind w:left="567" w:hanging="283"/>
        <w:jc w:val="both"/>
        <w:rPr>
          <w:rFonts w:ascii="Arial" w:hAnsi="Arial" w:cs="Arial"/>
          <w:szCs w:val="24"/>
        </w:rPr>
      </w:pPr>
      <w:r w:rsidRPr="00B649C1">
        <w:rPr>
          <w:rFonts w:ascii="Arial" w:hAnsi="Arial" w:cs="Arial"/>
          <w:szCs w:val="24"/>
        </w:rPr>
        <w:fldChar w:fldCharType="end"/>
      </w:r>
      <w:r w:rsidRPr="00B649C1">
        <w:rPr>
          <w:rFonts w:ascii="Arial" w:hAnsi="Arial" w:cs="Arial"/>
          <w:szCs w:val="24"/>
        </w:rPr>
        <w:t>Guía (GU-IC-10</w:t>
      </w:r>
      <w:hyperlink r:id="rId36" w:tgtFrame="nueva" w:history="1">
        <w:r w:rsidRPr="00B649C1">
          <w:rPr>
            <w:rFonts w:ascii="Arial" w:hAnsi="Arial" w:cs="Arial"/>
            <w:szCs w:val="24"/>
          </w:rPr>
          <w:t xml:space="preserve"> Presentación y reportes de información de ensayos</w:t>
        </w:r>
      </w:hyperlink>
      <w:r w:rsidRPr="00B649C1">
        <w:rPr>
          <w:rFonts w:ascii="Arial" w:hAnsi="Arial" w:cs="Arial"/>
          <w:szCs w:val="24"/>
        </w:rPr>
        <w:t>. (1)}</w:t>
      </w:r>
    </w:p>
    <w:p w:rsidR="00B649C1" w:rsidRPr="00B649C1" w:rsidRDefault="00B649C1" w:rsidP="00B649C1">
      <w:pPr>
        <w:pStyle w:val="Prrafodelista"/>
        <w:spacing w:line="276" w:lineRule="auto"/>
        <w:ind w:left="567"/>
        <w:jc w:val="both"/>
        <w:rPr>
          <w:rFonts w:ascii="Arial" w:hAnsi="Arial" w:cs="Arial"/>
          <w:szCs w:val="24"/>
        </w:rPr>
      </w:pPr>
    </w:p>
    <w:p w:rsidR="00B649C1" w:rsidRPr="00B649C1" w:rsidRDefault="00B649C1" w:rsidP="00D0183B">
      <w:pPr>
        <w:pStyle w:val="Ttulo4"/>
        <w:keepNext w:val="0"/>
        <w:keepLines w:val="0"/>
        <w:numPr>
          <w:ilvl w:val="2"/>
          <w:numId w:val="52"/>
        </w:numPr>
        <w:spacing w:before="0" w:line="360" w:lineRule="auto"/>
        <w:jc w:val="both"/>
        <w:rPr>
          <w:rFonts w:ascii="Arial" w:hAnsi="Arial" w:cs="Arial"/>
          <w:b/>
          <w:i w:val="0"/>
          <w:color w:val="auto"/>
        </w:rPr>
      </w:pPr>
      <w:bookmarkStart w:id="114" w:name="_Toc26881554"/>
      <w:bookmarkStart w:id="115" w:name="_Toc27054991"/>
      <w:r w:rsidRPr="00B649C1">
        <w:rPr>
          <w:rFonts w:ascii="Arial" w:hAnsi="Arial" w:cs="Arial"/>
          <w:b/>
          <w:i w:val="0"/>
          <w:color w:val="auto"/>
        </w:rPr>
        <w:t>Componente Económico</w:t>
      </w:r>
      <w:bookmarkEnd w:id="114"/>
      <w:bookmarkEnd w:id="115"/>
    </w:p>
    <w:p w:rsidR="00B649C1" w:rsidRPr="00B649C1" w:rsidRDefault="00B649C1" w:rsidP="00B649C1">
      <w:pPr>
        <w:spacing w:line="276" w:lineRule="auto"/>
        <w:jc w:val="both"/>
        <w:rPr>
          <w:rFonts w:ascii="Arial" w:hAnsi="Arial" w:cs="Arial"/>
          <w:szCs w:val="24"/>
        </w:rPr>
      </w:pPr>
    </w:p>
    <w:p w:rsidR="00B649C1" w:rsidRPr="00B649C1" w:rsidRDefault="00B649C1" w:rsidP="00B649C1">
      <w:pPr>
        <w:spacing w:line="276" w:lineRule="auto"/>
        <w:jc w:val="both"/>
        <w:rPr>
          <w:rFonts w:ascii="Arial" w:hAnsi="Arial" w:cs="Arial"/>
          <w:szCs w:val="24"/>
          <w:lang w:eastAsia="es-CO"/>
        </w:rPr>
      </w:pPr>
      <w:r w:rsidRPr="00B649C1">
        <w:rPr>
          <w:rFonts w:ascii="Arial" w:hAnsi="Arial" w:cs="Arial"/>
          <w:szCs w:val="24"/>
          <w:lang w:eastAsia="es-CO"/>
        </w:rPr>
        <w:t xml:space="preserve">El Sistema de Información de Precios Unitarios tiene como eje principal la Base de Precios de Referencia y cuatro productos estratégicos: Canasta de Insumos y APUs, Valores estimativos de referencia, Sistema Experto, Proveedores y Fuentes de Información. A continuación, el siguiente diagrama muestra la conformación del Sistema.   </w:t>
      </w:r>
    </w:p>
    <w:p w:rsidR="00B649C1" w:rsidRPr="00B649C1" w:rsidRDefault="00B649C1" w:rsidP="00B649C1">
      <w:pPr>
        <w:pStyle w:val="Descripcin"/>
        <w:spacing w:after="0"/>
        <w:rPr>
          <w:rFonts w:ascii="Arial" w:hAnsi="Arial" w:cs="Arial"/>
          <w:szCs w:val="24"/>
        </w:rPr>
      </w:pPr>
      <w:bookmarkStart w:id="116" w:name="_Toc27665766"/>
      <w:r w:rsidRPr="00B649C1">
        <w:rPr>
          <w:rFonts w:ascii="Arial" w:hAnsi="Arial" w:cs="Arial"/>
        </w:rPr>
        <w:t xml:space="preserve">Figura </w:t>
      </w:r>
      <w:r w:rsidRPr="00B649C1">
        <w:rPr>
          <w:rFonts w:ascii="Arial" w:hAnsi="Arial" w:cs="Arial"/>
        </w:rPr>
        <w:fldChar w:fldCharType="begin"/>
      </w:r>
      <w:r w:rsidRPr="00B649C1">
        <w:rPr>
          <w:rFonts w:ascii="Arial" w:hAnsi="Arial" w:cs="Arial"/>
        </w:rPr>
        <w:instrText xml:space="preserve"> SEQ Figura \* ARABIC </w:instrText>
      </w:r>
      <w:r w:rsidRPr="00B649C1">
        <w:rPr>
          <w:rFonts w:ascii="Arial" w:hAnsi="Arial" w:cs="Arial"/>
        </w:rPr>
        <w:fldChar w:fldCharType="separate"/>
      </w:r>
      <w:r w:rsidR="002D104F">
        <w:rPr>
          <w:rFonts w:ascii="Arial" w:hAnsi="Arial" w:cs="Arial"/>
          <w:noProof/>
        </w:rPr>
        <w:t>2</w:t>
      </w:r>
      <w:r w:rsidRPr="00B649C1">
        <w:rPr>
          <w:rFonts w:ascii="Arial" w:hAnsi="Arial" w:cs="Arial"/>
          <w:noProof/>
        </w:rPr>
        <w:fldChar w:fldCharType="end"/>
      </w:r>
      <w:r w:rsidRPr="00B649C1">
        <w:rPr>
          <w:rFonts w:ascii="Arial" w:hAnsi="Arial" w:cs="Arial"/>
        </w:rPr>
        <w:t xml:space="preserve">. </w:t>
      </w:r>
      <w:r w:rsidRPr="00B649C1">
        <w:rPr>
          <w:rFonts w:ascii="Arial" w:hAnsi="Arial" w:cs="Arial"/>
          <w:szCs w:val="24"/>
        </w:rPr>
        <w:t>Componentes del Sistema de Precios Unitarios</w:t>
      </w:r>
      <w:bookmarkEnd w:id="116"/>
    </w:p>
    <w:p w:rsidR="00B649C1" w:rsidRPr="00B649C1" w:rsidRDefault="00B649C1" w:rsidP="00E179D8">
      <w:pPr>
        <w:spacing w:line="276" w:lineRule="auto"/>
        <w:jc w:val="center"/>
        <w:rPr>
          <w:rFonts w:ascii="Arial" w:hAnsi="Arial" w:cs="Arial"/>
          <w:szCs w:val="24"/>
        </w:rPr>
      </w:pPr>
      <w:r w:rsidRPr="00B649C1">
        <w:rPr>
          <w:rFonts w:ascii="Arial" w:hAnsi="Arial" w:cs="Arial"/>
          <w:noProof/>
          <w:szCs w:val="24"/>
          <w:lang w:eastAsia="es-CO"/>
        </w:rPr>
        <w:drawing>
          <wp:inline distT="0" distB="0" distL="0" distR="0" wp14:anchorId="0277D13A" wp14:editId="49A24987">
            <wp:extent cx="2118594" cy="1988820"/>
            <wp:effectExtent l="0" t="0" r="0" b="0"/>
            <wp:docPr id="7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37"/>
                    <a:stretch>
                      <a:fillRect/>
                    </a:stretch>
                  </pic:blipFill>
                  <pic:spPr>
                    <a:xfrm>
                      <a:off x="0" y="0"/>
                      <a:ext cx="2119864" cy="1990013"/>
                    </a:xfrm>
                    <a:prstGeom prst="rect">
                      <a:avLst/>
                    </a:prstGeom>
                  </pic:spPr>
                </pic:pic>
              </a:graphicData>
            </a:graphic>
          </wp:inline>
        </w:drawing>
      </w:r>
    </w:p>
    <w:p w:rsidR="00B649C1" w:rsidRPr="00B649C1" w:rsidRDefault="00B649C1" w:rsidP="00E179D8">
      <w:pPr>
        <w:spacing w:line="276" w:lineRule="auto"/>
        <w:jc w:val="center"/>
        <w:rPr>
          <w:rFonts w:ascii="Arial" w:hAnsi="Arial" w:cs="Arial"/>
          <w:sz w:val="20"/>
          <w:szCs w:val="24"/>
        </w:rPr>
      </w:pPr>
      <w:r w:rsidRPr="00B649C1">
        <w:rPr>
          <w:rFonts w:ascii="Arial" w:hAnsi="Arial" w:cs="Arial"/>
          <w:sz w:val="20"/>
          <w:szCs w:val="24"/>
        </w:rPr>
        <w:t>Fuente: Dirección Técnica Estratégica</w:t>
      </w:r>
    </w:p>
    <w:p w:rsidR="00B649C1" w:rsidRPr="00B649C1" w:rsidRDefault="00B649C1" w:rsidP="00B649C1">
      <w:pPr>
        <w:spacing w:line="276" w:lineRule="auto"/>
        <w:jc w:val="both"/>
        <w:rPr>
          <w:rFonts w:ascii="Arial" w:hAnsi="Arial" w:cs="Arial"/>
          <w:szCs w:val="24"/>
        </w:rPr>
      </w:pPr>
    </w:p>
    <w:p w:rsidR="00B649C1" w:rsidRDefault="00B649C1" w:rsidP="00B649C1">
      <w:pPr>
        <w:spacing w:line="276" w:lineRule="auto"/>
        <w:jc w:val="both"/>
        <w:rPr>
          <w:rFonts w:ascii="Arial" w:hAnsi="Arial" w:cs="Arial"/>
          <w:szCs w:val="24"/>
          <w:lang w:eastAsia="es-CO"/>
        </w:rPr>
      </w:pPr>
      <w:r w:rsidRPr="00B649C1">
        <w:rPr>
          <w:rFonts w:ascii="Arial" w:hAnsi="Arial" w:cs="Arial"/>
          <w:szCs w:val="24"/>
          <w:lang w:eastAsia="es-CO"/>
        </w:rPr>
        <w:lastRenderedPageBreak/>
        <w:t xml:space="preserve">Es de resaltar que la base de Precios de Referencia es objeto de permanente administración, mantenimiento y actualización. Lo anterior, para contar con estándares de calidad, cobertura y oportunidad que le permita, cumplir su objetivo principal, servir de referente para la estructuración de proyectos de intervención en materia de infraestructura vial y espacio </w:t>
      </w:r>
      <w:bookmarkStart w:id="117" w:name="_Toc26881555"/>
      <w:r>
        <w:rPr>
          <w:rFonts w:ascii="Arial" w:hAnsi="Arial" w:cs="Arial"/>
          <w:szCs w:val="24"/>
          <w:lang w:eastAsia="es-CO"/>
        </w:rPr>
        <w:t>público en el Distrito Capital.</w:t>
      </w:r>
    </w:p>
    <w:p w:rsidR="00B649C1" w:rsidRPr="00B649C1" w:rsidRDefault="00B649C1" w:rsidP="00B649C1">
      <w:pPr>
        <w:spacing w:line="276" w:lineRule="auto"/>
        <w:jc w:val="both"/>
        <w:rPr>
          <w:rFonts w:ascii="Arial" w:hAnsi="Arial" w:cs="Arial"/>
          <w:szCs w:val="24"/>
          <w:lang w:eastAsia="es-CO"/>
        </w:rPr>
      </w:pPr>
    </w:p>
    <w:p w:rsidR="00B649C1" w:rsidRDefault="00B649C1" w:rsidP="00B649C1">
      <w:pPr>
        <w:spacing w:line="276" w:lineRule="auto"/>
        <w:jc w:val="both"/>
        <w:rPr>
          <w:rFonts w:ascii="Arial" w:hAnsi="Arial" w:cs="Arial"/>
          <w:szCs w:val="24"/>
          <w:lang w:eastAsia="es-CO"/>
        </w:rPr>
      </w:pPr>
      <w:r w:rsidRPr="00B649C1">
        <w:rPr>
          <w:rFonts w:ascii="Arial" w:hAnsi="Arial" w:cs="Arial"/>
          <w:szCs w:val="24"/>
          <w:lang w:eastAsia="es-CO"/>
        </w:rPr>
        <w:t>El Sistema de Información de Precios ha fortalecido su operación, a través de metodologías y documentos técnicos que permiten asegurar cobertura y calidad a los productos. A continuación, se relacionan</w:t>
      </w:r>
      <w:r>
        <w:rPr>
          <w:rFonts w:ascii="Arial" w:hAnsi="Arial" w:cs="Arial"/>
          <w:szCs w:val="24"/>
          <w:lang w:eastAsia="es-CO"/>
        </w:rPr>
        <w:t xml:space="preserve"> los registros de la gestión:  </w:t>
      </w:r>
    </w:p>
    <w:p w:rsidR="00B649C1" w:rsidRPr="00B649C1" w:rsidRDefault="00B649C1" w:rsidP="00B649C1">
      <w:pPr>
        <w:spacing w:line="276" w:lineRule="auto"/>
        <w:jc w:val="both"/>
        <w:rPr>
          <w:rFonts w:ascii="Arial" w:hAnsi="Arial" w:cs="Arial"/>
          <w:szCs w:val="24"/>
          <w:lang w:eastAsia="es-CO"/>
        </w:rPr>
      </w:pPr>
    </w:p>
    <w:p w:rsidR="00B649C1" w:rsidRDefault="00B649C1" w:rsidP="00D0183B">
      <w:pPr>
        <w:pStyle w:val="Prrafodelista"/>
        <w:numPr>
          <w:ilvl w:val="0"/>
          <w:numId w:val="47"/>
        </w:numPr>
        <w:spacing w:after="0" w:line="276" w:lineRule="auto"/>
        <w:ind w:left="567" w:hanging="283"/>
        <w:jc w:val="both"/>
        <w:rPr>
          <w:rFonts w:ascii="Arial" w:hAnsi="Arial" w:cs="Arial"/>
          <w:szCs w:val="24"/>
          <w:lang w:eastAsia="es-CO"/>
        </w:rPr>
      </w:pPr>
      <w:r w:rsidRPr="00B649C1">
        <w:rPr>
          <w:rFonts w:ascii="Arial" w:hAnsi="Arial" w:cs="Arial"/>
          <w:szCs w:val="24"/>
          <w:lang w:eastAsia="es-CO"/>
        </w:rPr>
        <w:t>Base de Precios de Referencia: 3.797 insumos y 4.181 APUs.</w:t>
      </w:r>
    </w:p>
    <w:p w:rsidR="00E179D8" w:rsidRPr="00B649C1" w:rsidRDefault="00E179D8" w:rsidP="00E179D8">
      <w:pPr>
        <w:pStyle w:val="Prrafodelista"/>
        <w:spacing w:after="0" w:line="276" w:lineRule="auto"/>
        <w:ind w:left="567"/>
        <w:jc w:val="both"/>
        <w:rPr>
          <w:rFonts w:ascii="Arial" w:hAnsi="Arial" w:cs="Arial"/>
          <w:szCs w:val="24"/>
          <w:lang w:eastAsia="es-CO"/>
        </w:rPr>
      </w:pPr>
    </w:p>
    <w:p w:rsidR="00B649C1" w:rsidRDefault="00B649C1" w:rsidP="00D0183B">
      <w:pPr>
        <w:pStyle w:val="Prrafodelista"/>
        <w:numPr>
          <w:ilvl w:val="0"/>
          <w:numId w:val="47"/>
        </w:numPr>
        <w:spacing w:after="0" w:line="276" w:lineRule="auto"/>
        <w:ind w:left="567" w:hanging="283"/>
        <w:jc w:val="both"/>
        <w:rPr>
          <w:rFonts w:ascii="Arial" w:hAnsi="Arial" w:cs="Arial"/>
          <w:szCs w:val="24"/>
          <w:lang w:eastAsia="es-CO"/>
        </w:rPr>
      </w:pPr>
      <w:r w:rsidRPr="00B649C1">
        <w:rPr>
          <w:rFonts w:ascii="Arial" w:hAnsi="Arial" w:cs="Arial"/>
          <w:szCs w:val="24"/>
          <w:lang w:eastAsia="es-CO"/>
        </w:rPr>
        <w:t>Sistema Experto: 162 contratos incluidos en el sistema.</w:t>
      </w:r>
    </w:p>
    <w:p w:rsidR="00E179D8" w:rsidRPr="00E179D8" w:rsidRDefault="00E179D8" w:rsidP="00E179D8">
      <w:pPr>
        <w:pStyle w:val="Prrafodelista"/>
        <w:rPr>
          <w:rFonts w:ascii="Arial" w:hAnsi="Arial" w:cs="Arial"/>
          <w:szCs w:val="24"/>
          <w:lang w:eastAsia="es-CO"/>
        </w:rPr>
      </w:pPr>
    </w:p>
    <w:p w:rsidR="00E179D8" w:rsidRPr="00B649C1" w:rsidRDefault="00E179D8" w:rsidP="00E179D8">
      <w:pPr>
        <w:pStyle w:val="Prrafodelista"/>
        <w:spacing w:after="0" w:line="276" w:lineRule="auto"/>
        <w:ind w:left="567"/>
        <w:jc w:val="both"/>
        <w:rPr>
          <w:rFonts w:ascii="Arial" w:hAnsi="Arial" w:cs="Arial"/>
          <w:szCs w:val="24"/>
          <w:lang w:eastAsia="es-CO"/>
        </w:rPr>
      </w:pPr>
    </w:p>
    <w:p w:rsidR="00B649C1" w:rsidRDefault="00B649C1" w:rsidP="00D0183B">
      <w:pPr>
        <w:pStyle w:val="Prrafodelista"/>
        <w:numPr>
          <w:ilvl w:val="0"/>
          <w:numId w:val="47"/>
        </w:numPr>
        <w:spacing w:after="0" w:line="276" w:lineRule="auto"/>
        <w:ind w:left="567" w:hanging="283"/>
        <w:jc w:val="both"/>
        <w:rPr>
          <w:rFonts w:ascii="Arial" w:hAnsi="Arial" w:cs="Arial"/>
          <w:szCs w:val="24"/>
          <w:lang w:eastAsia="es-CO"/>
        </w:rPr>
      </w:pPr>
      <w:r w:rsidRPr="00B649C1">
        <w:rPr>
          <w:rFonts w:ascii="Arial" w:hAnsi="Arial" w:cs="Arial"/>
          <w:szCs w:val="24"/>
          <w:lang w:eastAsia="es-CO"/>
        </w:rPr>
        <w:t xml:space="preserve">Valores estimativos de Referencia de construcción: 29 perfiles del Plan de Ordenamiento Territorial vigente y Valores estimativos de Referencia de conservación: 27 perfiles del Plan de Ordenamiento Territorial vigente (en proceso de revisión).  </w:t>
      </w:r>
    </w:p>
    <w:p w:rsidR="00E179D8" w:rsidRPr="00B649C1" w:rsidRDefault="00E179D8" w:rsidP="00E179D8">
      <w:pPr>
        <w:pStyle w:val="Prrafodelista"/>
        <w:spacing w:after="0" w:line="276" w:lineRule="auto"/>
        <w:ind w:left="567"/>
        <w:jc w:val="both"/>
        <w:rPr>
          <w:rFonts w:ascii="Arial" w:hAnsi="Arial" w:cs="Arial"/>
          <w:szCs w:val="24"/>
          <w:lang w:eastAsia="es-CO"/>
        </w:rPr>
      </w:pPr>
    </w:p>
    <w:p w:rsidR="00B649C1" w:rsidRDefault="00B649C1" w:rsidP="00D0183B">
      <w:pPr>
        <w:pStyle w:val="Prrafodelista"/>
        <w:numPr>
          <w:ilvl w:val="0"/>
          <w:numId w:val="47"/>
        </w:numPr>
        <w:spacing w:after="0" w:line="276" w:lineRule="auto"/>
        <w:ind w:left="567" w:hanging="283"/>
        <w:jc w:val="both"/>
        <w:rPr>
          <w:rFonts w:ascii="Arial" w:hAnsi="Arial" w:cs="Arial"/>
          <w:szCs w:val="24"/>
        </w:rPr>
      </w:pPr>
      <w:r w:rsidRPr="00B649C1">
        <w:rPr>
          <w:rFonts w:ascii="Arial" w:hAnsi="Arial" w:cs="Arial"/>
          <w:szCs w:val="24"/>
          <w:lang w:eastAsia="es-CO"/>
        </w:rPr>
        <w:t xml:space="preserve">Software para la administración de la Base de Precios: CivilData – IDU, el cual </w:t>
      </w:r>
      <w:r w:rsidRPr="00B649C1">
        <w:rPr>
          <w:rFonts w:ascii="Arial" w:hAnsi="Arial" w:cs="Arial"/>
          <w:szCs w:val="24"/>
        </w:rPr>
        <w:t xml:space="preserve">además de administrar integralmente la información de los precios de referencia, permite estructurar presupuestos y hacer seguimiento a los proyectos de infraestructura vial y espacio público de la ciudad (en proceso de implementación con la inclusión de información). </w:t>
      </w:r>
    </w:p>
    <w:p w:rsidR="00E179D8" w:rsidRPr="00B649C1" w:rsidRDefault="00E179D8" w:rsidP="00E179D8">
      <w:pPr>
        <w:pStyle w:val="Prrafodelista"/>
        <w:spacing w:after="0" w:line="276" w:lineRule="auto"/>
        <w:ind w:left="567"/>
        <w:jc w:val="both"/>
        <w:rPr>
          <w:rFonts w:ascii="Arial" w:hAnsi="Arial" w:cs="Arial"/>
          <w:szCs w:val="24"/>
        </w:rPr>
      </w:pPr>
    </w:p>
    <w:p w:rsidR="00B649C1" w:rsidRPr="00B649C1" w:rsidRDefault="00B649C1" w:rsidP="00D0183B">
      <w:pPr>
        <w:pStyle w:val="Prrafodelista"/>
        <w:numPr>
          <w:ilvl w:val="0"/>
          <w:numId w:val="47"/>
        </w:numPr>
        <w:spacing w:after="0" w:line="276" w:lineRule="auto"/>
        <w:ind w:left="567" w:hanging="283"/>
        <w:jc w:val="both"/>
        <w:rPr>
          <w:rFonts w:ascii="Arial" w:hAnsi="Arial" w:cs="Arial"/>
          <w:szCs w:val="24"/>
        </w:rPr>
      </w:pPr>
      <w:r w:rsidRPr="00B649C1">
        <w:rPr>
          <w:rFonts w:ascii="Arial" w:hAnsi="Arial" w:cs="Arial"/>
          <w:szCs w:val="24"/>
        </w:rPr>
        <w:t xml:space="preserve">Documentación técnica: </w:t>
      </w:r>
    </w:p>
    <w:p w:rsidR="00B649C1" w:rsidRPr="00B649C1" w:rsidRDefault="00B649C1" w:rsidP="00D0183B">
      <w:pPr>
        <w:pStyle w:val="Prrafodelista"/>
        <w:numPr>
          <w:ilvl w:val="1"/>
          <w:numId w:val="47"/>
        </w:numPr>
        <w:spacing w:after="0" w:line="276" w:lineRule="auto"/>
        <w:jc w:val="both"/>
        <w:rPr>
          <w:rFonts w:ascii="Arial" w:hAnsi="Arial" w:cs="Arial"/>
          <w:szCs w:val="24"/>
        </w:rPr>
      </w:pPr>
      <w:r w:rsidRPr="00B649C1">
        <w:rPr>
          <w:rFonts w:ascii="Arial" w:hAnsi="Arial" w:cs="Arial"/>
          <w:szCs w:val="24"/>
        </w:rPr>
        <w:t>Documento proceso de recolección IDU</w:t>
      </w:r>
    </w:p>
    <w:p w:rsidR="00B649C1" w:rsidRPr="00B649C1" w:rsidRDefault="00B649C1" w:rsidP="00D0183B">
      <w:pPr>
        <w:pStyle w:val="Prrafodelista"/>
        <w:numPr>
          <w:ilvl w:val="1"/>
          <w:numId w:val="47"/>
        </w:numPr>
        <w:spacing w:after="0" w:line="276" w:lineRule="auto"/>
        <w:jc w:val="both"/>
        <w:rPr>
          <w:rFonts w:ascii="Arial" w:hAnsi="Arial" w:cs="Arial"/>
          <w:szCs w:val="24"/>
        </w:rPr>
      </w:pPr>
      <w:r w:rsidRPr="00B649C1">
        <w:rPr>
          <w:rFonts w:ascii="Arial" w:hAnsi="Arial" w:cs="Arial"/>
          <w:szCs w:val="24"/>
        </w:rPr>
        <w:t>Lineamientos para la elaboración de APUs</w:t>
      </w:r>
    </w:p>
    <w:p w:rsidR="00B649C1" w:rsidRPr="00B649C1" w:rsidRDefault="00B649C1" w:rsidP="00D0183B">
      <w:pPr>
        <w:pStyle w:val="Prrafodelista"/>
        <w:numPr>
          <w:ilvl w:val="1"/>
          <w:numId w:val="47"/>
        </w:numPr>
        <w:spacing w:after="0" w:line="276" w:lineRule="auto"/>
        <w:jc w:val="both"/>
        <w:rPr>
          <w:rFonts w:ascii="Arial" w:hAnsi="Arial" w:cs="Arial"/>
          <w:szCs w:val="24"/>
        </w:rPr>
      </w:pPr>
      <w:r w:rsidRPr="00B649C1">
        <w:rPr>
          <w:rFonts w:ascii="Arial" w:hAnsi="Arial" w:cs="Arial"/>
          <w:szCs w:val="24"/>
        </w:rPr>
        <w:t>Análisis de Precios Unitarios (Especificaciones Técnicas 2018)</w:t>
      </w:r>
    </w:p>
    <w:p w:rsidR="00B649C1" w:rsidRPr="00B649C1" w:rsidRDefault="00B649C1" w:rsidP="00D0183B">
      <w:pPr>
        <w:pStyle w:val="Prrafodelista"/>
        <w:numPr>
          <w:ilvl w:val="1"/>
          <w:numId w:val="47"/>
        </w:numPr>
        <w:spacing w:after="0" w:line="276" w:lineRule="auto"/>
        <w:jc w:val="both"/>
        <w:rPr>
          <w:rFonts w:ascii="Arial" w:hAnsi="Arial" w:cs="Arial"/>
          <w:szCs w:val="24"/>
        </w:rPr>
      </w:pPr>
      <w:r w:rsidRPr="00B649C1">
        <w:rPr>
          <w:rFonts w:ascii="Arial" w:hAnsi="Arial" w:cs="Arial"/>
          <w:szCs w:val="24"/>
        </w:rPr>
        <w:t xml:space="preserve">Análisis del comportamiento presupuestal en el Sistema Experto (2018 y 2019) </w:t>
      </w:r>
    </w:p>
    <w:p w:rsidR="00B649C1" w:rsidRDefault="00B649C1" w:rsidP="00D0183B">
      <w:pPr>
        <w:pStyle w:val="Prrafodelista"/>
        <w:numPr>
          <w:ilvl w:val="1"/>
          <w:numId w:val="47"/>
        </w:numPr>
        <w:spacing w:after="0" w:line="276" w:lineRule="auto"/>
        <w:jc w:val="both"/>
        <w:rPr>
          <w:rFonts w:ascii="Arial" w:hAnsi="Arial" w:cs="Arial"/>
          <w:szCs w:val="24"/>
        </w:rPr>
      </w:pPr>
      <w:r w:rsidRPr="00B649C1">
        <w:rPr>
          <w:rFonts w:ascii="Arial" w:hAnsi="Arial" w:cs="Arial"/>
          <w:szCs w:val="24"/>
        </w:rPr>
        <w:t>Fichas técnicas de insumos IDU (descripciones, normas técnicas, unidades de medida, rendimientos, etc.)</w:t>
      </w:r>
    </w:p>
    <w:p w:rsidR="00B649C1" w:rsidRDefault="00B649C1" w:rsidP="00B649C1">
      <w:pPr>
        <w:pStyle w:val="Prrafodelista"/>
        <w:spacing w:after="0" w:line="276" w:lineRule="auto"/>
        <w:ind w:left="1440"/>
        <w:jc w:val="both"/>
        <w:rPr>
          <w:rFonts w:ascii="Arial" w:hAnsi="Arial" w:cs="Arial"/>
          <w:szCs w:val="24"/>
        </w:rPr>
      </w:pPr>
    </w:p>
    <w:p w:rsidR="00B649C1" w:rsidRDefault="00B649C1" w:rsidP="00B649C1">
      <w:pPr>
        <w:pStyle w:val="Prrafodelista"/>
        <w:spacing w:after="0" w:line="276" w:lineRule="auto"/>
        <w:ind w:left="1440"/>
        <w:jc w:val="both"/>
        <w:rPr>
          <w:rFonts w:ascii="Arial" w:hAnsi="Arial" w:cs="Arial"/>
          <w:szCs w:val="24"/>
        </w:rPr>
      </w:pPr>
    </w:p>
    <w:p w:rsidR="00B649C1" w:rsidRDefault="00B649C1" w:rsidP="00B649C1">
      <w:pPr>
        <w:pStyle w:val="Prrafodelista"/>
        <w:spacing w:after="0" w:line="276" w:lineRule="auto"/>
        <w:ind w:left="1440"/>
        <w:jc w:val="both"/>
        <w:rPr>
          <w:rFonts w:ascii="Arial" w:hAnsi="Arial" w:cs="Arial"/>
          <w:szCs w:val="24"/>
        </w:rPr>
      </w:pPr>
    </w:p>
    <w:p w:rsidR="00B649C1" w:rsidRDefault="00B649C1" w:rsidP="00B649C1">
      <w:pPr>
        <w:pStyle w:val="Prrafodelista"/>
        <w:spacing w:after="0" w:line="276" w:lineRule="auto"/>
        <w:ind w:left="1440"/>
        <w:jc w:val="both"/>
        <w:rPr>
          <w:rFonts w:ascii="Arial" w:hAnsi="Arial" w:cs="Arial"/>
          <w:szCs w:val="24"/>
        </w:rPr>
      </w:pPr>
    </w:p>
    <w:p w:rsidR="00B649C1" w:rsidRDefault="00B649C1" w:rsidP="00B649C1">
      <w:pPr>
        <w:pStyle w:val="Prrafodelista"/>
        <w:spacing w:after="0" w:line="276" w:lineRule="auto"/>
        <w:ind w:left="1440"/>
        <w:jc w:val="both"/>
        <w:rPr>
          <w:rFonts w:ascii="Arial" w:hAnsi="Arial" w:cs="Arial"/>
          <w:szCs w:val="24"/>
        </w:rPr>
      </w:pPr>
    </w:p>
    <w:p w:rsidR="00B649C1" w:rsidRDefault="00B649C1" w:rsidP="00B649C1">
      <w:pPr>
        <w:pStyle w:val="Prrafodelista"/>
        <w:spacing w:after="0" w:line="276" w:lineRule="auto"/>
        <w:ind w:left="1440"/>
        <w:jc w:val="both"/>
        <w:rPr>
          <w:rFonts w:ascii="Arial" w:hAnsi="Arial" w:cs="Arial"/>
          <w:szCs w:val="24"/>
        </w:rPr>
      </w:pPr>
    </w:p>
    <w:p w:rsidR="00B649C1" w:rsidRDefault="00B649C1" w:rsidP="00B649C1">
      <w:pPr>
        <w:pStyle w:val="Prrafodelista"/>
        <w:spacing w:after="0" w:line="276" w:lineRule="auto"/>
        <w:ind w:left="1440"/>
        <w:jc w:val="both"/>
        <w:rPr>
          <w:rFonts w:ascii="Arial" w:hAnsi="Arial" w:cs="Arial"/>
          <w:szCs w:val="24"/>
        </w:rPr>
      </w:pPr>
    </w:p>
    <w:p w:rsidR="00B649C1" w:rsidRDefault="00B649C1" w:rsidP="00B649C1">
      <w:pPr>
        <w:pStyle w:val="Prrafodelista"/>
        <w:spacing w:after="0" w:line="276" w:lineRule="auto"/>
        <w:ind w:left="1440"/>
        <w:jc w:val="both"/>
        <w:rPr>
          <w:rFonts w:ascii="Arial" w:hAnsi="Arial" w:cs="Arial"/>
          <w:szCs w:val="24"/>
        </w:rPr>
      </w:pPr>
    </w:p>
    <w:p w:rsidR="00B649C1" w:rsidRPr="00B649C1" w:rsidRDefault="00B649C1" w:rsidP="00B649C1">
      <w:pPr>
        <w:pStyle w:val="Descripcin"/>
        <w:spacing w:after="0"/>
        <w:rPr>
          <w:rFonts w:ascii="Arial" w:hAnsi="Arial" w:cs="Arial"/>
          <w:color w:val="auto"/>
          <w:szCs w:val="24"/>
        </w:rPr>
      </w:pPr>
      <w:bookmarkStart w:id="118" w:name="_Toc27665767"/>
      <w:r w:rsidRPr="00B649C1">
        <w:rPr>
          <w:rFonts w:ascii="Arial" w:hAnsi="Arial" w:cs="Arial"/>
          <w:bCs/>
          <w:color w:val="auto"/>
          <w:szCs w:val="24"/>
        </w:rPr>
        <w:t>CivilData - IDU</w:t>
      </w:r>
      <w:bookmarkEnd w:id="118"/>
    </w:p>
    <w:p w:rsidR="00B649C1" w:rsidRPr="00B649C1" w:rsidRDefault="00B649C1" w:rsidP="00B649C1">
      <w:pPr>
        <w:spacing w:line="276" w:lineRule="auto"/>
        <w:jc w:val="both"/>
        <w:rPr>
          <w:rFonts w:ascii="Arial" w:hAnsi="Arial" w:cs="Arial"/>
          <w:szCs w:val="24"/>
        </w:rPr>
      </w:pPr>
      <w:r w:rsidRPr="00B649C1">
        <w:rPr>
          <w:rFonts w:ascii="Arial" w:hAnsi="Arial" w:cs="Arial"/>
          <w:noProof/>
          <w:szCs w:val="24"/>
          <w:lang w:eastAsia="es-CO"/>
        </w:rPr>
        <w:drawing>
          <wp:inline distT="0" distB="0" distL="0" distR="0" wp14:anchorId="71EBA75E" wp14:editId="7880C47F">
            <wp:extent cx="5524500" cy="4328160"/>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40247" cy="4340497"/>
                    </a:xfrm>
                    <a:prstGeom prst="rect">
                      <a:avLst/>
                    </a:prstGeom>
                    <a:noFill/>
                  </pic:spPr>
                </pic:pic>
              </a:graphicData>
            </a:graphic>
          </wp:inline>
        </w:drawing>
      </w:r>
    </w:p>
    <w:p w:rsidR="00B649C1" w:rsidRPr="00B649C1" w:rsidRDefault="00B649C1" w:rsidP="00B649C1">
      <w:pPr>
        <w:spacing w:line="276" w:lineRule="auto"/>
        <w:jc w:val="both"/>
        <w:rPr>
          <w:rFonts w:ascii="Arial" w:hAnsi="Arial" w:cs="Arial"/>
          <w:sz w:val="20"/>
          <w:szCs w:val="24"/>
        </w:rPr>
      </w:pPr>
      <w:r w:rsidRPr="00B649C1">
        <w:rPr>
          <w:rFonts w:ascii="Arial" w:hAnsi="Arial" w:cs="Arial"/>
          <w:sz w:val="20"/>
          <w:szCs w:val="24"/>
        </w:rPr>
        <w:t>Fuente: Dirección Técnica Estratégica</w:t>
      </w:r>
    </w:p>
    <w:p w:rsidR="00B649C1" w:rsidRPr="00B649C1" w:rsidRDefault="00B649C1" w:rsidP="00B649C1">
      <w:pPr>
        <w:spacing w:line="276" w:lineRule="auto"/>
        <w:jc w:val="both"/>
        <w:rPr>
          <w:rFonts w:ascii="Arial" w:hAnsi="Arial" w:cs="Arial"/>
          <w:szCs w:val="24"/>
        </w:rPr>
      </w:pPr>
    </w:p>
    <w:p w:rsidR="00B649C1" w:rsidRPr="00B649C1" w:rsidRDefault="00B649C1" w:rsidP="00D0183B">
      <w:pPr>
        <w:pStyle w:val="Ttulo4"/>
        <w:keepNext w:val="0"/>
        <w:keepLines w:val="0"/>
        <w:numPr>
          <w:ilvl w:val="2"/>
          <w:numId w:val="52"/>
        </w:numPr>
        <w:spacing w:before="0" w:line="276" w:lineRule="auto"/>
        <w:ind w:left="709"/>
        <w:jc w:val="both"/>
        <w:rPr>
          <w:rFonts w:ascii="Arial" w:hAnsi="Arial" w:cs="Arial"/>
          <w:b/>
          <w:i w:val="0"/>
          <w:color w:val="auto"/>
        </w:rPr>
      </w:pPr>
      <w:bookmarkStart w:id="119" w:name="_Toc27054999"/>
      <w:r w:rsidRPr="00B649C1">
        <w:rPr>
          <w:rFonts w:ascii="Arial" w:hAnsi="Arial" w:cs="Arial"/>
          <w:b/>
          <w:i w:val="0"/>
          <w:color w:val="auto"/>
        </w:rPr>
        <w:t>Componente Ambiental</w:t>
      </w:r>
      <w:bookmarkEnd w:id="117"/>
      <w:bookmarkEnd w:id="119"/>
    </w:p>
    <w:p w:rsidR="00B649C1" w:rsidRPr="00B649C1" w:rsidRDefault="00B649C1" w:rsidP="00B649C1">
      <w:pPr>
        <w:spacing w:line="276" w:lineRule="auto"/>
        <w:jc w:val="both"/>
        <w:rPr>
          <w:rFonts w:ascii="Arial" w:hAnsi="Arial" w:cs="Arial"/>
          <w:szCs w:val="24"/>
        </w:rPr>
      </w:pPr>
    </w:p>
    <w:p w:rsidR="00B649C1" w:rsidRPr="00B649C1" w:rsidRDefault="00B649C1" w:rsidP="00B649C1">
      <w:pPr>
        <w:spacing w:line="276" w:lineRule="auto"/>
        <w:jc w:val="both"/>
        <w:rPr>
          <w:rFonts w:ascii="Arial" w:hAnsi="Arial" w:cs="Arial"/>
          <w:szCs w:val="24"/>
        </w:rPr>
      </w:pPr>
      <w:r w:rsidRPr="00B649C1">
        <w:rPr>
          <w:rFonts w:ascii="Arial" w:hAnsi="Arial" w:cs="Arial"/>
          <w:szCs w:val="24"/>
        </w:rPr>
        <w:t>El Directorio Ambiental de Proveedores es un instrumento de carácter informativo donde figuran los proveedores de materiales de construcción y sitios de disposición final, transformación y aprovechamiento de Residuos de Construcción y Demolición -RDC, que cumplen los requisitos establecidos en el ordenamiento jurídico colombiano.</w:t>
      </w:r>
    </w:p>
    <w:p w:rsidR="00B649C1" w:rsidRPr="00B649C1" w:rsidRDefault="00B649C1" w:rsidP="00B649C1">
      <w:pPr>
        <w:spacing w:line="276" w:lineRule="auto"/>
        <w:jc w:val="both"/>
        <w:rPr>
          <w:rFonts w:ascii="Arial" w:hAnsi="Arial" w:cs="Arial"/>
          <w:szCs w:val="24"/>
        </w:rPr>
      </w:pPr>
    </w:p>
    <w:p w:rsidR="00B649C1" w:rsidRPr="00B649C1" w:rsidRDefault="00B649C1" w:rsidP="00B649C1">
      <w:pPr>
        <w:spacing w:line="276" w:lineRule="auto"/>
        <w:jc w:val="both"/>
        <w:rPr>
          <w:rFonts w:ascii="Arial" w:hAnsi="Arial" w:cs="Arial"/>
          <w:szCs w:val="24"/>
        </w:rPr>
      </w:pPr>
      <w:r w:rsidRPr="00B649C1">
        <w:rPr>
          <w:rFonts w:ascii="Arial" w:hAnsi="Arial" w:cs="Arial"/>
          <w:szCs w:val="24"/>
        </w:rPr>
        <w:t>Su objetivo está encaminado en mantener actualizada la información sobre los proveedores que se encuentran activos y que cumplen con los parámetros establecidos en la Resolución número 001330 del 01 de abril de 2019; lo anterior con el propósito de hacer ágil, eficiente y objetiva la toma de decisiones en la selección de proveedores para la ejecución de las obras a cargo del IDU.</w:t>
      </w:r>
    </w:p>
    <w:p w:rsidR="00B649C1" w:rsidRPr="00B649C1" w:rsidRDefault="00B649C1" w:rsidP="00B649C1">
      <w:pPr>
        <w:pStyle w:val="Sinespaciado"/>
        <w:spacing w:line="276" w:lineRule="auto"/>
        <w:jc w:val="both"/>
        <w:rPr>
          <w:rFonts w:ascii="Arial" w:eastAsia="SimSun" w:hAnsi="Arial" w:cs="Arial"/>
          <w:sz w:val="24"/>
          <w:szCs w:val="24"/>
          <w:lang w:eastAsia="zh-CN" w:bidi="hi-IN"/>
        </w:rPr>
      </w:pPr>
    </w:p>
    <w:p w:rsidR="00B649C1" w:rsidRPr="00B649C1" w:rsidRDefault="00B649C1" w:rsidP="00B649C1">
      <w:pPr>
        <w:pStyle w:val="Sinespaciado"/>
        <w:spacing w:line="276" w:lineRule="auto"/>
        <w:jc w:val="both"/>
        <w:rPr>
          <w:rFonts w:ascii="Arial" w:hAnsi="Arial" w:cs="Arial"/>
          <w:sz w:val="24"/>
          <w:szCs w:val="24"/>
        </w:rPr>
      </w:pPr>
      <w:r w:rsidRPr="00B649C1">
        <w:rPr>
          <w:rFonts w:ascii="Arial" w:hAnsi="Arial" w:cs="Arial"/>
          <w:sz w:val="24"/>
          <w:szCs w:val="24"/>
        </w:rPr>
        <w:t>Constituye once (11) categorías para la inscripción de las empresas interesadas en suministrar materiales de construcción y prestar servicios de gestión integral de RCD a las obras ejecutadas por el IDU, las cuales se referencian a continuación:</w:t>
      </w:r>
    </w:p>
    <w:p w:rsidR="00B649C1" w:rsidRDefault="00B649C1" w:rsidP="00B649C1">
      <w:pPr>
        <w:pStyle w:val="Sinespaciado"/>
        <w:spacing w:line="276" w:lineRule="auto"/>
        <w:jc w:val="both"/>
        <w:rPr>
          <w:rFonts w:ascii="Arial" w:hAnsi="Arial" w:cs="Arial"/>
          <w:sz w:val="24"/>
          <w:szCs w:val="24"/>
        </w:rPr>
      </w:pPr>
    </w:p>
    <w:p w:rsidR="00B649C1" w:rsidRPr="00B649C1" w:rsidRDefault="00B649C1" w:rsidP="00B649C1">
      <w:pPr>
        <w:pStyle w:val="Sinespaciado"/>
        <w:spacing w:line="276" w:lineRule="auto"/>
        <w:jc w:val="both"/>
        <w:rPr>
          <w:rFonts w:ascii="Arial" w:hAnsi="Arial" w:cs="Arial"/>
          <w:sz w:val="24"/>
          <w:szCs w:val="24"/>
        </w:rPr>
      </w:pPr>
    </w:p>
    <w:p w:rsidR="00B649C1" w:rsidRPr="00B649C1" w:rsidRDefault="00B649C1" w:rsidP="00E179D8">
      <w:pPr>
        <w:pStyle w:val="Descripcin"/>
        <w:spacing w:after="0"/>
        <w:jc w:val="center"/>
        <w:rPr>
          <w:rFonts w:ascii="Arial" w:hAnsi="Arial" w:cs="Arial"/>
        </w:rPr>
      </w:pPr>
      <w:bookmarkStart w:id="120" w:name="_Toc27665768"/>
      <w:r w:rsidRPr="00B649C1">
        <w:rPr>
          <w:rFonts w:ascii="Arial" w:hAnsi="Arial" w:cs="Arial"/>
          <w:color w:val="auto"/>
        </w:rPr>
        <w:t>Directorio ambiental de proveedores</w:t>
      </w:r>
      <w:bookmarkEnd w:id="120"/>
    </w:p>
    <w:p w:rsidR="00B649C1" w:rsidRPr="00B649C1" w:rsidRDefault="00B649C1" w:rsidP="00E179D8">
      <w:pPr>
        <w:spacing w:line="276" w:lineRule="auto"/>
        <w:jc w:val="center"/>
        <w:rPr>
          <w:rFonts w:ascii="Arial" w:hAnsi="Arial" w:cs="Arial"/>
          <w:lang w:eastAsia="es-CO"/>
        </w:rPr>
      </w:pPr>
      <w:r w:rsidRPr="00B649C1">
        <w:rPr>
          <w:rFonts w:ascii="Arial" w:hAnsi="Arial" w:cs="Arial"/>
          <w:noProof/>
          <w:lang w:eastAsia="es-CO"/>
        </w:rPr>
        <w:drawing>
          <wp:inline distT="0" distB="0" distL="0" distR="0" wp14:anchorId="7EFF2602" wp14:editId="1D620DE5">
            <wp:extent cx="4095750" cy="2660073"/>
            <wp:effectExtent l="0" t="0" r="0" b="0"/>
            <wp:docPr id="1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27175" cy="2680482"/>
                    </a:xfrm>
                    <a:prstGeom prst="rect">
                      <a:avLst/>
                    </a:prstGeom>
                    <a:noFill/>
                    <a:ln>
                      <a:noFill/>
                    </a:ln>
                    <a:effectLst/>
                    <a:extLst/>
                  </pic:spPr>
                </pic:pic>
              </a:graphicData>
            </a:graphic>
          </wp:inline>
        </w:drawing>
      </w:r>
    </w:p>
    <w:p w:rsidR="00B649C1" w:rsidRPr="00B649C1" w:rsidRDefault="00B649C1" w:rsidP="00E179D8">
      <w:pPr>
        <w:spacing w:line="276" w:lineRule="auto"/>
        <w:jc w:val="center"/>
        <w:rPr>
          <w:rFonts w:ascii="Arial" w:hAnsi="Arial" w:cs="Arial"/>
          <w:sz w:val="20"/>
          <w:szCs w:val="24"/>
        </w:rPr>
      </w:pPr>
      <w:r w:rsidRPr="00B649C1">
        <w:rPr>
          <w:rFonts w:ascii="Arial" w:hAnsi="Arial" w:cs="Arial"/>
          <w:sz w:val="20"/>
          <w:szCs w:val="24"/>
        </w:rPr>
        <w:t>Fuente: Dirección Técnica Estratégica</w:t>
      </w:r>
    </w:p>
    <w:p w:rsidR="00B649C1" w:rsidRDefault="00B649C1" w:rsidP="00B649C1">
      <w:pPr>
        <w:spacing w:line="276" w:lineRule="auto"/>
        <w:jc w:val="both"/>
        <w:rPr>
          <w:rFonts w:ascii="Arial" w:hAnsi="Arial" w:cs="Arial"/>
          <w:szCs w:val="24"/>
        </w:rPr>
      </w:pPr>
    </w:p>
    <w:p w:rsidR="00E179D8" w:rsidRDefault="00E179D8" w:rsidP="00B649C1">
      <w:pPr>
        <w:spacing w:line="276" w:lineRule="auto"/>
        <w:jc w:val="both"/>
        <w:rPr>
          <w:rFonts w:ascii="Arial" w:hAnsi="Arial" w:cs="Arial"/>
          <w:szCs w:val="24"/>
        </w:rPr>
      </w:pPr>
    </w:p>
    <w:p w:rsidR="00E179D8" w:rsidRPr="00B649C1" w:rsidRDefault="00E179D8" w:rsidP="00B649C1">
      <w:pPr>
        <w:spacing w:line="276" w:lineRule="auto"/>
        <w:jc w:val="both"/>
        <w:rPr>
          <w:rFonts w:ascii="Arial" w:hAnsi="Arial" w:cs="Arial"/>
          <w:szCs w:val="24"/>
        </w:rPr>
      </w:pPr>
    </w:p>
    <w:p w:rsidR="00B649C1" w:rsidRPr="00B649C1" w:rsidRDefault="00B649C1" w:rsidP="00D0183B">
      <w:pPr>
        <w:pStyle w:val="Ttulo4"/>
        <w:keepNext w:val="0"/>
        <w:keepLines w:val="0"/>
        <w:numPr>
          <w:ilvl w:val="2"/>
          <w:numId w:val="52"/>
        </w:numPr>
        <w:spacing w:before="0" w:line="276" w:lineRule="auto"/>
        <w:ind w:left="709"/>
        <w:jc w:val="both"/>
        <w:rPr>
          <w:rFonts w:ascii="Arial" w:hAnsi="Arial" w:cs="Arial"/>
          <w:b/>
          <w:i w:val="0"/>
          <w:color w:val="auto"/>
        </w:rPr>
      </w:pPr>
      <w:bookmarkStart w:id="121" w:name="_Toc26881556"/>
      <w:bookmarkStart w:id="122" w:name="_Toc27055006"/>
      <w:r w:rsidRPr="00B649C1">
        <w:rPr>
          <w:rFonts w:ascii="Arial" w:hAnsi="Arial" w:cs="Arial"/>
          <w:b/>
          <w:i w:val="0"/>
          <w:color w:val="auto"/>
        </w:rPr>
        <w:t>Componente Geomática</w:t>
      </w:r>
      <w:bookmarkEnd w:id="121"/>
      <w:bookmarkEnd w:id="122"/>
    </w:p>
    <w:p w:rsidR="00B649C1" w:rsidRPr="00B649C1" w:rsidRDefault="00B649C1" w:rsidP="00B649C1">
      <w:pPr>
        <w:spacing w:line="276" w:lineRule="auto"/>
        <w:jc w:val="both"/>
        <w:rPr>
          <w:rFonts w:ascii="Arial" w:hAnsi="Arial" w:cs="Arial"/>
          <w:szCs w:val="24"/>
        </w:rPr>
      </w:pPr>
    </w:p>
    <w:p w:rsidR="00B649C1" w:rsidRPr="00B649C1" w:rsidRDefault="00B649C1" w:rsidP="00B649C1">
      <w:pPr>
        <w:spacing w:line="276" w:lineRule="auto"/>
        <w:jc w:val="both"/>
        <w:rPr>
          <w:rFonts w:ascii="Arial" w:hAnsi="Arial" w:cs="Arial"/>
          <w:szCs w:val="24"/>
        </w:rPr>
      </w:pPr>
      <w:r w:rsidRPr="00B649C1">
        <w:rPr>
          <w:rFonts w:ascii="Arial" w:hAnsi="Arial" w:cs="Arial"/>
          <w:szCs w:val="24"/>
          <w:lang w:eastAsia="es-CO"/>
        </w:rPr>
        <w:t>Está conformado por los subcomponentes de: Geodatabase, Análisis Espacial, Información Geográfica y publicación de información.</w:t>
      </w:r>
    </w:p>
    <w:p w:rsidR="00B649C1" w:rsidRPr="00B649C1" w:rsidRDefault="00B649C1" w:rsidP="00B649C1">
      <w:pPr>
        <w:spacing w:line="276" w:lineRule="auto"/>
        <w:jc w:val="both"/>
        <w:rPr>
          <w:rFonts w:ascii="Arial" w:hAnsi="Arial" w:cs="Arial"/>
          <w:szCs w:val="24"/>
        </w:rPr>
      </w:pPr>
    </w:p>
    <w:p w:rsidR="00B649C1" w:rsidRPr="00B649C1" w:rsidRDefault="00B649C1" w:rsidP="00B649C1">
      <w:pPr>
        <w:pStyle w:val="Descripcin"/>
        <w:rPr>
          <w:rFonts w:ascii="Arial" w:hAnsi="Arial" w:cs="Arial"/>
          <w:noProof/>
          <w:color w:val="auto"/>
          <w:szCs w:val="24"/>
        </w:rPr>
      </w:pPr>
      <w:bookmarkStart w:id="123" w:name="_Toc27665769"/>
      <w:r w:rsidRPr="00B649C1">
        <w:rPr>
          <w:rFonts w:ascii="Arial" w:hAnsi="Arial" w:cs="Arial"/>
          <w:color w:val="auto"/>
          <w:szCs w:val="24"/>
        </w:rPr>
        <w:t>Subcomponentes Geomática – SIIPVIALES</w:t>
      </w:r>
      <w:bookmarkEnd w:id="123"/>
    </w:p>
    <w:p w:rsidR="00B649C1" w:rsidRPr="00B649C1" w:rsidRDefault="00B649C1" w:rsidP="00E179D8">
      <w:pPr>
        <w:spacing w:line="276" w:lineRule="auto"/>
        <w:jc w:val="center"/>
        <w:rPr>
          <w:rFonts w:ascii="Arial" w:hAnsi="Arial" w:cs="Arial"/>
          <w:lang w:eastAsia="es-CO"/>
        </w:rPr>
      </w:pPr>
      <w:r w:rsidRPr="00B649C1">
        <w:rPr>
          <w:rFonts w:ascii="Arial" w:hAnsi="Arial" w:cs="Arial"/>
          <w:noProof/>
          <w:szCs w:val="24"/>
          <w:lang w:eastAsia="es-CO"/>
        </w:rPr>
        <w:lastRenderedPageBreak/>
        <w:drawing>
          <wp:inline distT="0" distB="0" distL="0" distR="0" wp14:anchorId="55BBC4B6" wp14:editId="1F764EA3">
            <wp:extent cx="5017322" cy="2775172"/>
            <wp:effectExtent l="0" t="0" r="0" b="635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35217" cy="2785070"/>
                    </a:xfrm>
                    <a:prstGeom prst="rect">
                      <a:avLst/>
                    </a:prstGeom>
                  </pic:spPr>
                </pic:pic>
              </a:graphicData>
            </a:graphic>
          </wp:inline>
        </w:drawing>
      </w:r>
    </w:p>
    <w:p w:rsidR="00B649C1" w:rsidRPr="00B649C1" w:rsidRDefault="00B649C1" w:rsidP="00E179D8">
      <w:pPr>
        <w:spacing w:line="276" w:lineRule="auto"/>
        <w:jc w:val="center"/>
        <w:rPr>
          <w:rFonts w:ascii="Arial" w:hAnsi="Arial" w:cs="Arial"/>
          <w:sz w:val="20"/>
          <w:szCs w:val="24"/>
        </w:rPr>
      </w:pPr>
      <w:r w:rsidRPr="00B649C1">
        <w:rPr>
          <w:rFonts w:ascii="Arial" w:hAnsi="Arial" w:cs="Arial"/>
          <w:sz w:val="20"/>
          <w:szCs w:val="24"/>
        </w:rPr>
        <w:t>Fuente: Dirección Técnica Estratégica</w:t>
      </w:r>
    </w:p>
    <w:p w:rsidR="00B649C1" w:rsidRPr="00B649C1" w:rsidRDefault="00B649C1" w:rsidP="00B649C1">
      <w:pPr>
        <w:spacing w:line="276" w:lineRule="auto"/>
        <w:jc w:val="both"/>
        <w:rPr>
          <w:rFonts w:ascii="Arial" w:hAnsi="Arial" w:cs="Arial"/>
          <w:szCs w:val="24"/>
        </w:rPr>
      </w:pPr>
    </w:p>
    <w:p w:rsidR="00B649C1" w:rsidRPr="00B649C1" w:rsidRDefault="00B649C1" w:rsidP="00B649C1">
      <w:pPr>
        <w:spacing w:line="276" w:lineRule="auto"/>
        <w:jc w:val="both"/>
        <w:rPr>
          <w:rFonts w:ascii="Arial" w:hAnsi="Arial" w:cs="Arial"/>
          <w:szCs w:val="24"/>
        </w:rPr>
      </w:pPr>
      <w:r w:rsidRPr="00B649C1">
        <w:rPr>
          <w:rFonts w:ascii="Arial" w:hAnsi="Arial" w:cs="Arial"/>
          <w:szCs w:val="24"/>
        </w:rPr>
        <w:t>El sistema de Información Geográfica del IDU - SIGIDU, centraliza la información del inventario de la malla vial y espacio público del Distrito Capital, creándose según lo dispuesto en el Acuerdo 02 de 1999, por el cual se crea el sistema de información de la malla vial a cargo del Instituto de Desarrollo Urbano</w:t>
      </w:r>
    </w:p>
    <w:p w:rsidR="00B649C1" w:rsidRPr="0060218B" w:rsidRDefault="00B649C1" w:rsidP="00B649C1">
      <w:pPr>
        <w:pStyle w:val="Descripcin"/>
        <w:rPr>
          <w:rFonts w:ascii="Arial" w:hAnsi="Arial" w:cs="Arial"/>
          <w:color w:val="auto"/>
          <w:szCs w:val="24"/>
        </w:rPr>
      </w:pPr>
      <w:bookmarkStart w:id="124" w:name="_Toc27665770"/>
      <w:r w:rsidRPr="0060218B">
        <w:rPr>
          <w:rFonts w:ascii="Arial" w:hAnsi="Arial" w:cs="Arial"/>
          <w:color w:val="auto"/>
          <w:szCs w:val="24"/>
        </w:rPr>
        <w:t>Estructura del Sistema de Información Geográfica del IDU - SIGIDU</w:t>
      </w:r>
      <w:bookmarkEnd w:id="124"/>
    </w:p>
    <w:p w:rsidR="00B649C1" w:rsidRPr="00B649C1" w:rsidRDefault="00B649C1" w:rsidP="00E179D8">
      <w:pPr>
        <w:spacing w:line="276" w:lineRule="auto"/>
        <w:jc w:val="center"/>
        <w:rPr>
          <w:rFonts w:ascii="Arial" w:hAnsi="Arial" w:cs="Arial"/>
          <w:szCs w:val="24"/>
        </w:rPr>
      </w:pPr>
      <w:r w:rsidRPr="00B649C1">
        <w:rPr>
          <w:rFonts w:ascii="Arial" w:hAnsi="Arial" w:cs="Arial"/>
          <w:noProof/>
          <w:szCs w:val="24"/>
          <w:lang w:eastAsia="es-CO"/>
        </w:rPr>
        <w:drawing>
          <wp:inline distT="0" distB="0" distL="0" distR="0" wp14:anchorId="18B398DC" wp14:editId="3CFBFB00">
            <wp:extent cx="5165288" cy="2947821"/>
            <wp:effectExtent l="0" t="0" r="0" b="508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68602" cy="2949712"/>
                    </a:xfrm>
                    <a:prstGeom prst="rect">
                      <a:avLst/>
                    </a:prstGeom>
                    <a:noFill/>
                    <a:ln>
                      <a:noFill/>
                    </a:ln>
                  </pic:spPr>
                </pic:pic>
              </a:graphicData>
            </a:graphic>
          </wp:inline>
        </w:drawing>
      </w:r>
    </w:p>
    <w:p w:rsidR="00B649C1" w:rsidRPr="00B649C1" w:rsidRDefault="00B649C1" w:rsidP="00E179D8">
      <w:pPr>
        <w:spacing w:line="276" w:lineRule="auto"/>
        <w:jc w:val="center"/>
        <w:rPr>
          <w:rFonts w:ascii="Arial" w:hAnsi="Arial" w:cs="Arial"/>
          <w:sz w:val="20"/>
          <w:szCs w:val="24"/>
        </w:rPr>
      </w:pPr>
      <w:r w:rsidRPr="00B649C1">
        <w:rPr>
          <w:rFonts w:ascii="Arial" w:hAnsi="Arial" w:cs="Arial"/>
          <w:sz w:val="20"/>
          <w:szCs w:val="24"/>
        </w:rPr>
        <w:t>Fuente: Dirección Técnica Estratégica</w:t>
      </w:r>
    </w:p>
    <w:p w:rsidR="00B649C1" w:rsidRPr="00B649C1" w:rsidRDefault="00B649C1" w:rsidP="00B649C1">
      <w:pPr>
        <w:spacing w:line="276" w:lineRule="auto"/>
        <w:jc w:val="both"/>
        <w:rPr>
          <w:rFonts w:ascii="Arial" w:hAnsi="Arial" w:cs="Arial"/>
          <w:szCs w:val="24"/>
        </w:rPr>
      </w:pPr>
    </w:p>
    <w:p w:rsidR="00B649C1" w:rsidRPr="00B649C1" w:rsidRDefault="00B649C1" w:rsidP="00B649C1">
      <w:pPr>
        <w:spacing w:line="276" w:lineRule="auto"/>
        <w:jc w:val="both"/>
        <w:rPr>
          <w:rFonts w:ascii="Arial" w:hAnsi="Arial" w:cs="Arial"/>
          <w:b/>
          <w:u w:val="single"/>
        </w:rPr>
      </w:pPr>
      <w:bookmarkStart w:id="125" w:name="_Toc27055008"/>
      <w:r w:rsidRPr="00B649C1">
        <w:rPr>
          <w:rFonts w:ascii="Arial" w:hAnsi="Arial" w:cs="Arial"/>
          <w:b/>
          <w:u w:val="single"/>
        </w:rPr>
        <w:t>Procesos ejecutados</w:t>
      </w:r>
      <w:bookmarkEnd w:id="125"/>
    </w:p>
    <w:p w:rsidR="00B649C1" w:rsidRPr="00B649C1" w:rsidRDefault="00B649C1" w:rsidP="00B649C1">
      <w:pPr>
        <w:spacing w:line="276" w:lineRule="auto"/>
        <w:jc w:val="both"/>
        <w:rPr>
          <w:rFonts w:ascii="Arial" w:hAnsi="Arial" w:cs="Arial"/>
          <w:szCs w:val="24"/>
        </w:rPr>
      </w:pPr>
    </w:p>
    <w:p w:rsidR="00B649C1" w:rsidRPr="00B649C1" w:rsidRDefault="00B649C1" w:rsidP="00D0183B">
      <w:pPr>
        <w:pStyle w:val="Prrafodelista"/>
        <w:numPr>
          <w:ilvl w:val="0"/>
          <w:numId w:val="46"/>
        </w:numPr>
        <w:spacing w:after="0" w:line="276" w:lineRule="auto"/>
        <w:ind w:left="567" w:hanging="283"/>
        <w:jc w:val="both"/>
        <w:rPr>
          <w:rFonts w:ascii="Arial" w:hAnsi="Arial" w:cs="Arial"/>
          <w:szCs w:val="24"/>
        </w:rPr>
      </w:pPr>
      <w:r w:rsidRPr="00B649C1">
        <w:rPr>
          <w:rFonts w:ascii="Arial" w:hAnsi="Arial" w:cs="Arial"/>
          <w:szCs w:val="24"/>
          <w:lang w:val="es-ES"/>
        </w:rPr>
        <w:t>Mantenimiento de la información del SIGIDU: Migración de información y actualización periódica del inventario de la malla vial y espacio público, con la información suministrada por las áreas técnicas, contratistas del IDU y terceros, incorporando el seguimiento a los proyectos del plan de desarrollo y los frentes de obra de la entidad, soportando el componente geográfico del sistema de seguimientos de proyectos de la entidad a cargo de la Oficina Asesora de Planeación (ZIPA).</w:t>
      </w:r>
    </w:p>
    <w:p w:rsidR="00B649C1" w:rsidRPr="00B649C1" w:rsidRDefault="00B649C1" w:rsidP="00B649C1">
      <w:pPr>
        <w:pStyle w:val="Prrafodelista"/>
        <w:spacing w:line="276" w:lineRule="auto"/>
        <w:ind w:left="567" w:hanging="283"/>
        <w:jc w:val="both"/>
        <w:rPr>
          <w:rFonts w:ascii="Arial" w:hAnsi="Arial" w:cs="Arial"/>
          <w:szCs w:val="24"/>
        </w:rPr>
      </w:pPr>
    </w:p>
    <w:p w:rsidR="00B649C1" w:rsidRPr="00B649C1" w:rsidRDefault="00B649C1" w:rsidP="00D0183B">
      <w:pPr>
        <w:pStyle w:val="Prrafodelista"/>
        <w:numPr>
          <w:ilvl w:val="0"/>
          <w:numId w:val="46"/>
        </w:numPr>
        <w:spacing w:after="0" w:line="276" w:lineRule="auto"/>
        <w:ind w:left="567" w:hanging="283"/>
        <w:jc w:val="both"/>
        <w:rPr>
          <w:rFonts w:ascii="Arial" w:hAnsi="Arial" w:cs="Arial"/>
          <w:szCs w:val="24"/>
        </w:rPr>
      </w:pPr>
      <w:r w:rsidRPr="00B649C1">
        <w:rPr>
          <w:rFonts w:ascii="Arial" w:hAnsi="Arial" w:cs="Arial"/>
          <w:szCs w:val="24"/>
          <w:lang w:val="es-ES"/>
        </w:rPr>
        <w:t>Disposición de la información a través de aplicaciones geográficas Web: Con el fin de que más grupos funcionales accedan a la información geográfica de la entidad, l</w:t>
      </w:r>
      <w:r w:rsidRPr="00B649C1">
        <w:rPr>
          <w:rFonts w:ascii="Arial" w:hAnsi="Arial" w:cs="Arial"/>
          <w:szCs w:val="24"/>
          <w:lang w:val="es-MX"/>
        </w:rPr>
        <w:t>a información se publica a través de aplicaciones WEB dispuestas en la página IDU (Se han creado 16 aplicaciones, las cuales han sido actualizadas permanentemente de acuerdo con los requerimientos realizados), estas soluciones permiten llegar a usuarios específicos sin la necesidad de adquirir licenciamiento extra.</w:t>
      </w:r>
    </w:p>
    <w:p w:rsidR="00B649C1" w:rsidRPr="00B649C1" w:rsidRDefault="00B649C1" w:rsidP="00B649C1">
      <w:pPr>
        <w:pStyle w:val="Prrafodelista"/>
        <w:spacing w:line="276" w:lineRule="auto"/>
        <w:ind w:left="567" w:hanging="283"/>
        <w:jc w:val="both"/>
        <w:rPr>
          <w:rFonts w:ascii="Arial" w:hAnsi="Arial" w:cs="Arial"/>
          <w:szCs w:val="24"/>
        </w:rPr>
      </w:pPr>
    </w:p>
    <w:p w:rsidR="00B649C1" w:rsidRPr="00B649C1" w:rsidRDefault="00B649C1" w:rsidP="00D0183B">
      <w:pPr>
        <w:pStyle w:val="Prrafodelista"/>
        <w:numPr>
          <w:ilvl w:val="0"/>
          <w:numId w:val="46"/>
        </w:numPr>
        <w:spacing w:after="0" w:line="276" w:lineRule="auto"/>
        <w:ind w:left="567" w:hanging="283"/>
        <w:jc w:val="both"/>
        <w:rPr>
          <w:rFonts w:ascii="Arial" w:hAnsi="Arial" w:cs="Arial"/>
          <w:szCs w:val="24"/>
        </w:rPr>
      </w:pPr>
      <w:r w:rsidRPr="00B649C1">
        <w:rPr>
          <w:rFonts w:ascii="Arial" w:hAnsi="Arial" w:cs="Arial"/>
          <w:szCs w:val="24"/>
          <w:lang w:val="es-ES"/>
        </w:rPr>
        <w:t xml:space="preserve">Captura de información a través de soluciones móviles: </w:t>
      </w:r>
      <w:r w:rsidRPr="00B649C1">
        <w:rPr>
          <w:rFonts w:ascii="Arial" w:hAnsi="Arial" w:cs="Arial"/>
          <w:szCs w:val="24"/>
          <w:lang w:val="es-MX"/>
        </w:rPr>
        <w:t>Se generaron soluciones de captura de información utilizando dispositivos móviles como celulares y tabletas. Se desarrollaron 2 soluciones móviles, las cuales han permitido el seguimiento de los contratos de brigadas de mantenimiento reportando cada uno de los daños encontrados y reparados, la otra solución permito el inventario de daños sobre el espacio público, permitiendo la generación de un índice de estado.</w:t>
      </w:r>
    </w:p>
    <w:p w:rsidR="00B649C1" w:rsidRPr="00B649C1" w:rsidRDefault="00B649C1" w:rsidP="00B649C1">
      <w:pPr>
        <w:pStyle w:val="Prrafodelista"/>
        <w:spacing w:line="276" w:lineRule="auto"/>
        <w:ind w:left="567" w:hanging="283"/>
        <w:jc w:val="both"/>
        <w:rPr>
          <w:rFonts w:ascii="Arial" w:hAnsi="Arial" w:cs="Arial"/>
          <w:szCs w:val="24"/>
        </w:rPr>
      </w:pPr>
    </w:p>
    <w:p w:rsidR="00B649C1" w:rsidRPr="00B649C1" w:rsidRDefault="00B649C1" w:rsidP="00D0183B">
      <w:pPr>
        <w:pStyle w:val="Prrafodelista"/>
        <w:numPr>
          <w:ilvl w:val="0"/>
          <w:numId w:val="46"/>
        </w:numPr>
        <w:spacing w:after="0" w:line="276" w:lineRule="auto"/>
        <w:ind w:left="567" w:hanging="283"/>
        <w:jc w:val="both"/>
        <w:rPr>
          <w:rFonts w:ascii="Arial" w:hAnsi="Arial" w:cs="Arial"/>
          <w:szCs w:val="24"/>
        </w:rPr>
      </w:pPr>
      <w:r w:rsidRPr="00B649C1">
        <w:rPr>
          <w:rFonts w:ascii="Arial" w:hAnsi="Arial" w:cs="Arial"/>
          <w:szCs w:val="24"/>
          <w:lang w:val="es-ES"/>
        </w:rPr>
        <w:t xml:space="preserve">Análisis de la malla vial: Elaboración de las estadísticas y análisis conjuntamente con el componente de innovación, sobre el comportamiento de estado de condición del pavimento de las vías que conforman la Malla Vial de la ciudad y el espacio público. (Estado malla vial 2016-I y II, Estado malla vial 2017- I y II, Estado malla vial 2018-I y II y Estado malla vial 2019-I) </w:t>
      </w:r>
    </w:p>
    <w:p w:rsidR="00B649C1" w:rsidRPr="00B649C1" w:rsidRDefault="00B649C1" w:rsidP="00B649C1">
      <w:pPr>
        <w:pStyle w:val="Prrafodelista"/>
        <w:spacing w:line="276" w:lineRule="auto"/>
        <w:ind w:left="567" w:hanging="283"/>
        <w:jc w:val="both"/>
        <w:rPr>
          <w:rFonts w:ascii="Arial" w:hAnsi="Arial" w:cs="Arial"/>
          <w:szCs w:val="24"/>
        </w:rPr>
      </w:pPr>
    </w:p>
    <w:p w:rsidR="00B649C1" w:rsidRPr="00B649C1" w:rsidRDefault="00B649C1" w:rsidP="00D0183B">
      <w:pPr>
        <w:pStyle w:val="Prrafodelista"/>
        <w:numPr>
          <w:ilvl w:val="0"/>
          <w:numId w:val="46"/>
        </w:numPr>
        <w:spacing w:after="0" w:line="276" w:lineRule="auto"/>
        <w:ind w:left="567" w:hanging="283"/>
        <w:jc w:val="both"/>
        <w:rPr>
          <w:rFonts w:ascii="Arial" w:hAnsi="Arial" w:cs="Arial"/>
          <w:szCs w:val="24"/>
        </w:rPr>
      </w:pPr>
      <w:r w:rsidRPr="00B649C1">
        <w:rPr>
          <w:rFonts w:ascii="Arial" w:hAnsi="Arial" w:cs="Arial"/>
          <w:szCs w:val="24"/>
          <w:lang w:val="es-ES"/>
        </w:rPr>
        <w:t xml:space="preserve">Información Mapa de referencia del Distrito </w:t>
      </w:r>
      <w:r w:rsidRPr="00B649C1">
        <w:rPr>
          <w:rFonts w:ascii="Arial" w:hAnsi="Arial" w:cs="Arial"/>
          <w:szCs w:val="24"/>
        </w:rPr>
        <w:t>IDEC@</w:t>
      </w:r>
      <w:r w:rsidRPr="00B649C1">
        <w:rPr>
          <w:rFonts w:ascii="Arial" w:hAnsi="Arial" w:cs="Arial"/>
          <w:szCs w:val="24"/>
          <w:lang w:val="es-ES"/>
        </w:rPr>
        <w:t>: El Mapa de Referencia para el Distrito Capital contiene el conjunto organizado de datos espaciales BÁSICOS requeridos por la mayoría de entidades de Bogotá, útil para la toma de decisiones en beneficio de la ciudad y sus habitantes y para la generación de objetos geográficos temáticos. La DTE efectúa la entrega de información al Mapa de Referencia para Bogotá y participa en la generación de políticas corporativas de manejo y administración de información geográfica. (Los reportes se realizan trimestralmente).</w:t>
      </w:r>
    </w:p>
    <w:p w:rsidR="00B649C1" w:rsidRPr="00B649C1" w:rsidRDefault="00B649C1" w:rsidP="00B649C1">
      <w:pPr>
        <w:pStyle w:val="Prrafodelista"/>
        <w:spacing w:line="276" w:lineRule="auto"/>
        <w:ind w:left="567" w:hanging="283"/>
        <w:jc w:val="both"/>
        <w:rPr>
          <w:rFonts w:ascii="Arial" w:hAnsi="Arial" w:cs="Arial"/>
          <w:szCs w:val="24"/>
        </w:rPr>
      </w:pPr>
    </w:p>
    <w:p w:rsidR="00B649C1" w:rsidRPr="00B649C1" w:rsidRDefault="00B649C1" w:rsidP="00D0183B">
      <w:pPr>
        <w:numPr>
          <w:ilvl w:val="0"/>
          <w:numId w:val="46"/>
        </w:numPr>
        <w:spacing w:after="0" w:line="276" w:lineRule="auto"/>
        <w:ind w:left="567" w:hanging="283"/>
        <w:jc w:val="both"/>
        <w:rPr>
          <w:rFonts w:ascii="Arial" w:hAnsi="Arial" w:cs="Arial"/>
          <w:szCs w:val="24"/>
        </w:rPr>
      </w:pPr>
      <w:r w:rsidRPr="00B649C1">
        <w:rPr>
          <w:rFonts w:ascii="Arial" w:hAnsi="Arial" w:cs="Arial"/>
          <w:szCs w:val="24"/>
          <w:lang w:val="es-ES"/>
        </w:rPr>
        <w:t xml:space="preserve">Reserva de elementos viales: Es el proceso mediante el cual se incorpora información de ejecución al inventario de la malla vial de Bogotá en el SIGIDU, para centralizar la </w:t>
      </w:r>
      <w:r w:rsidRPr="00B649C1">
        <w:rPr>
          <w:rFonts w:ascii="Arial" w:hAnsi="Arial" w:cs="Arial"/>
          <w:szCs w:val="24"/>
          <w:lang w:val="es-ES"/>
        </w:rPr>
        <w:lastRenderedPageBreak/>
        <w:t>información acerca de las acciones programadas en el desarrollo de las diferentes etapas de los proyectos sobre la malla vial y el espacio público (Prefactibilidad, factibilidad, estudios y Diseños, Construcción y Conservación) y que sean adelantadas por las entidades con la respectiva competencia, de acuerdo con las solicitudes realizadas por entidades distritales y empresas de servicios públicos. (78,812 elementos viales reservados).</w:t>
      </w:r>
    </w:p>
    <w:p w:rsidR="00B649C1" w:rsidRPr="00B649C1" w:rsidRDefault="00B649C1" w:rsidP="00B649C1">
      <w:pPr>
        <w:pStyle w:val="Prrafodelista"/>
        <w:spacing w:line="276" w:lineRule="auto"/>
        <w:ind w:left="567" w:hanging="283"/>
        <w:jc w:val="both"/>
        <w:rPr>
          <w:rFonts w:ascii="Arial" w:hAnsi="Arial" w:cs="Arial"/>
          <w:szCs w:val="24"/>
        </w:rPr>
      </w:pPr>
    </w:p>
    <w:p w:rsidR="00B649C1" w:rsidRPr="00B649C1" w:rsidRDefault="00B649C1" w:rsidP="00D0183B">
      <w:pPr>
        <w:numPr>
          <w:ilvl w:val="0"/>
          <w:numId w:val="46"/>
        </w:numPr>
        <w:spacing w:after="0" w:line="276" w:lineRule="auto"/>
        <w:ind w:left="567" w:hanging="283"/>
        <w:jc w:val="both"/>
        <w:rPr>
          <w:rFonts w:ascii="Arial" w:hAnsi="Arial" w:cs="Arial"/>
          <w:szCs w:val="24"/>
        </w:rPr>
      </w:pPr>
      <w:r w:rsidRPr="00B649C1">
        <w:rPr>
          <w:rFonts w:ascii="Arial" w:hAnsi="Arial" w:cs="Arial"/>
          <w:szCs w:val="24"/>
          <w:lang w:val="es-ES"/>
        </w:rPr>
        <w:t xml:space="preserve">Inventario de elementos de la infraestructura vial: </w:t>
      </w:r>
      <w:r w:rsidRPr="00B649C1">
        <w:rPr>
          <w:rFonts w:ascii="Arial" w:hAnsi="Arial" w:cs="Arial"/>
          <w:szCs w:val="24"/>
        </w:rPr>
        <w:t>Inventarios y diagnósticos realizados en forma tradicional y con aplicaciones móviles y equipos con tecnología de punta. Mobiliario Urbano (208,276 elementos) Espacio Público (184,923 elementos).</w:t>
      </w:r>
    </w:p>
    <w:p w:rsidR="00B649C1" w:rsidRPr="00B649C1" w:rsidRDefault="00B649C1" w:rsidP="00B649C1">
      <w:pPr>
        <w:pStyle w:val="Prrafodelista"/>
        <w:spacing w:line="276" w:lineRule="auto"/>
        <w:ind w:left="567" w:hanging="283"/>
        <w:jc w:val="both"/>
        <w:rPr>
          <w:rFonts w:ascii="Arial" w:hAnsi="Arial" w:cs="Arial"/>
          <w:szCs w:val="24"/>
        </w:rPr>
      </w:pPr>
    </w:p>
    <w:p w:rsidR="00B649C1" w:rsidRPr="00B649C1" w:rsidRDefault="00B649C1" w:rsidP="00D0183B">
      <w:pPr>
        <w:numPr>
          <w:ilvl w:val="0"/>
          <w:numId w:val="46"/>
        </w:numPr>
        <w:spacing w:after="0" w:line="276" w:lineRule="auto"/>
        <w:ind w:left="567" w:hanging="283"/>
        <w:jc w:val="both"/>
        <w:rPr>
          <w:rFonts w:ascii="Arial" w:hAnsi="Arial" w:cs="Arial"/>
          <w:szCs w:val="24"/>
        </w:rPr>
      </w:pPr>
      <w:r w:rsidRPr="00B649C1">
        <w:rPr>
          <w:rFonts w:ascii="Arial" w:hAnsi="Arial" w:cs="Arial"/>
          <w:szCs w:val="24"/>
        </w:rPr>
        <w:t>Se incorporó la actualización del inventario de la malla vial rural con su diagnóstico, completando la totalidad de la malla vial diagnosticada correspondiente a las metodologías PCI y URCI, lo que permite dar un dato de estado más preciso para la red vial de la ciudad.</w:t>
      </w:r>
    </w:p>
    <w:p w:rsidR="00B649C1" w:rsidRDefault="00B649C1" w:rsidP="00D724FC">
      <w:pPr>
        <w:spacing w:line="276" w:lineRule="auto"/>
        <w:jc w:val="both"/>
        <w:rPr>
          <w:rFonts w:ascii="Arial" w:hAnsi="Arial" w:cs="Arial"/>
          <w:b/>
        </w:rPr>
      </w:pPr>
    </w:p>
    <w:p w:rsidR="004E1BEC" w:rsidRDefault="004E1BEC" w:rsidP="00D0183B">
      <w:pPr>
        <w:pStyle w:val="Ttulo2"/>
        <w:numPr>
          <w:ilvl w:val="1"/>
          <w:numId w:val="52"/>
        </w:numPr>
        <w:spacing w:line="276" w:lineRule="auto"/>
        <w:rPr>
          <w:sz w:val="24"/>
          <w:szCs w:val="24"/>
        </w:rPr>
      </w:pPr>
      <w:bookmarkStart w:id="126" w:name="_Toc27665253"/>
      <w:bookmarkStart w:id="127" w:name="_Toc30774636"/>
      <w:r w:rsidRPr="004E1BEC">
        <w:rPr>
          <w:sz w:val="24"/>
          <w:szCs w:val="24"/>
        </w:rPr>
        <w:t>ADMINISTRACIÓN DE LA INFRAESTRUCTURA</w:t>
      </w:r>
      <w:bookmarkEnd w:id="126"/>
      <w:bookmarkEnd w:id="127"/>
    </w:p>
    <w:p w:rsidR="004E1BEC" w:rsidRDefault="004E1BEC" w:rsidP="004E1BEC"/>
    <w:p w:rsidR="00A6180B" w:rsidRDefault="00A6180B" w:rsidP="00A6180B">
      <w:pPr>
        <w:pStyle w:val="Ttulo3"/>
        <w:keepNext w:val="0"/>
        <w:keepLines w:val="0"/>
        <w:tabs>
          <w:tab w:val="left" w:pos="851"/>
        </w:tabs>
        <w:spacing w:before="0" w:line="360" w:lineRule="auto"/>
        <w:jc w:val="both"/>
        <w:rPr>
          <w:rFonts w:ascii="Arial" w:hAnsi="Arial" w:cs="Arial"/>
          <w:b/>
          <w:color w:val="auto"/>
          <w:sz w:val="22"/>
          <w:szCs w:val="22"/>
        </w:rPr>
      </w:pPr>
      <w:bookmarkStart w:id="128" w:name="_Toc27665254"/>
      <w:bookmarkStart w:id="129" w:name="_Toc30774637"/>
      <w:r w:rsidRPr="00A6180B">
        <w:rPr>
          <w:rFonts w:ascii="Arial" w:hAnsi="Arial" w:cs="Arial"/>
          <w:b/>
          <w:color w:val="auto"/>
          <w:sz w:val="22"/>
          <w:szCs w:val="22"/>
        </w:rPr>
        <w:t>8.2.1. SEGUIMIENTO A LA ESTABILIDAD Y CALIDAD DE LAS OBRAS CON PÓLIZA VIGENTE</w:t>
      </w:r>
      <w:bookmarkEnd w:id="128"/>
      <w:bookmarkEnd w:id="129"/>
    </w:p>
    <w:p w:rsidR="00A6180B" w:rsidRPr="003B01CD" w:rsidRDefault="00A6180B" w:rsidP="00AF75AF">
      <w:pPr>
        <w:spacing w:line="276" w:lineRule="auto"/>
        <w:jc w:val="both"/>
        <w:rPr>
          <w:rFonts w:ascii="Arial" w:eastAsia="Arial Unicode MS" w:hAnsi="Arial" w:cs="Arial"/>
          <w:highlight w:val="yellow"/>
        </w:rPr>
      </w:pPr>
      <w:r w:rsidRPr="003B01CD">
        <w:rPr>
          <w:rFonts w:ascii="Arial" w:eastAsia="Arial Unicode MS" w:hAnsi="Arial" w:cs="Arial"/>
        </w:rPr>
        <w:t>Con base en las revisiones periódicas ordenadas por la ley, la DTAI adelanta el seguimiento a la estabilidad mediante una auscultación visual, verificando el estado de las metas físicas de los contratos ejecutados por el IDU, convenios y/o urbanizadores; y en caso de evidenciar daños, la DTAI requiere al contratista de la obra, al interventor de la misma y a la compañía aseguradora para gestionar las reparaciones a que haya lugar, o en su defecto aplicar la respectiva póliza. Así mismo, se emprenden acciones frente a las empresas de servicios públicos, otras entidades y terceros, en caso de que los daños sean de su imputabilidad.</w:t>
      </w:r>
    </w:p>
    <w:p w:rsidR="00A6180B" w:rsidRPr="003B01CD" w:rsidRDefault="00A6180B" w:rsidP="00AF75AF">
      <w:pPr>
        <w:spacing w:line="276" w:lineRule="auto"/>
        <w:jc w:val="both"/>
        <w:rPr>
          <w:rFonts w:ascii="Arial" w:eastAsia="Times New Roman" w:hAnsi="Arial" w:cs="Arial"/>
          <w:b/>
        </w:rPr>
      </w:pPr>
    </w:p>
    <w:p w:rsidR="00A6180B" w:rsidRPr="003B01CD" w:rsidRDefault="00A6180B" w:rsidP="00AF75AF">
      <w:pPr>
        <w:spacing w:line="276" w:lineRule="auto"/>
        <w:jc w:val="both"/>
        <w:rPr>
          <w:rFonts w:ascii="Arial" w:hAnsi="Arial" w:cs="Arial"/>
        </w:rPr>
      </w:pPr>
      <w:r w:rsidRPr="003B01CD">
        <w:rPr>
          <w:rFonts w:ascii="Arial" w:hAnsi="Arial" w:cs="Arial"/>
        </w:rPr>
        <w:t>La tabla a continuación presenta el resumen de la gestión adelantada durante el periodo 2016 - 2019 en la función de seguimiento a obras con póliza de estabilidad, la cual garantiza la conservación y durabilidad de los proyectos IDU:</w:t>
      </w:r>
    </w:p>
    <w:p w:rsidR="00A6180B" w:rsidRPr="003B01CD" w:rsidRDefault="00A6180B" w:rsidP="00AF75AF">
      <w:pPr>
        <w:jc w:val="both"/>
        <w:rPr>
          <w:rFonts w:ascii="Arial" w:hAnsi="Arial" w:cs="Arial"/>
        </w:rPr>
      </w:pPr>
    </w:p>
    <w:p w:rsidR="00A6180B" w:rsidRPr="003B01CD" w:rsidRDefault="00A6180B" w:rsidP="00D0183B">
      <w:pPr>
        <w:pStyle w:val="Prrafodelista"/>
        <w:numPr>
          <w:ilvl w:val="0"/>
          <w:numId w:val="31"/>
        </w:numPr>
        <w:spacing w:after="0" w:line="240" w:lineRule="auto"/>
        <w:ind w:left="567"/>
        <w:contextualSpacing w:val="0"/>
        <w:jc w:val="both"/>
        <w:rPr>
          <w:rFonts w:ascii="Arial" w:hAnsi="Arial" w:cs="Arial"/>
          <w:szCs w:val="24"/>
        </w:rPr>
      </w:pPr>
      <w:r w:rsidRPr="003B01CD">
        <w:rPr>
          <w:rFonts w:ascii="Arial" w:hAnsi="Arial" w:cs="Arial"/>
          <w:szCs w:val="24"/>
        </w:rPr>
        <w:t>Contratos en seguimiento</w:t>
      </w:r>
      <w:r w:rsidRPr="003B01CD">
        <w:rPr>
          <w:rFonts w:ascii="Arial" w:hAnsi="Arial" w:cs="Arial"/>
          <w:szCs w:val="24"/>
        </w:rPr>
        <w:tab/>
      </w:r>
      <w:r w:rsidRPr="003B01CD">
        <w:rPr>
          <w:rFonts w:ascii="Arial" w:hAnsi="Arial" w:cs="Arial"/>
          <w:szCs w:val="24"/>
        </w:rPr>
        <w:tab/>
      </w:r>
      <w:r w:rsidRPr="003B01CD">
        <w:rPr>
          <w:rFonts w:ascii="Arial" w:hAnsi="Arial" w:cs="Arial"/>
          <w:b/>
          <w:szCs w:val="24"/>
        </w:rPr>
        <w:t>159</w:t>
      </w:r>
    </w:p>
    <w:p w:rsidR="00A6180B" w:rsidRPr="003B01CD" w:rsidRDefault="00A6180B" w:rsidP="00D0183B">
      <w:pPr>
        <w:pStyle w:val="Prrafodelista"/>
        <w:numPr>
          <w:ilvl w:val="0"/>
          <w:numId w:val="31"/>
        </w:numPr>
        <w:spacing w:after="0" w:line="240" w:lineRule="auto"/>
        <w:ind w:left="567"/>
        <w:contextualSpacing w:val="0"/>
        <w:jc w:val="both"/>
        <w:rPr>
          <w:rFonts w:ascii="Arial" w:hAnsi="Arial" w:cs="Arial"/>
          <w:szCs w:val="24"/>
        </w:rPr>
      </w:pPr>
      <w:r w:rsidRPr="003B01CD">
        <w:rPr>
          <w:rFonts w:ascii="Arial" w:hAnsi="Arial" w:cs="Arial"/>
          <w:szCs w:val="24"/>
        </w:rPr>
        <w:t>Área de contratos en seguimiento</w:t>
      </w:r>
      <w:r w:rsidRPr="003B01CD">
        <w:rPr>
          <w:rFonts w:ascii="Arial" w:hAnsi="Arial" w:cs="Arial"/>
          <w:szCs w:val="24"/>
        </w:rPr>
        <w:tab/>
      </w:r>
      <w:r w:rsidRPr="003B01CD">
        <w:rPr>
          <w:rFonts w:ascii="Arial" w:hAnsi="Arial" w:cs="Arial"/>
          <w:b/>
          <w:szCs w:val="24"/>
        </w:rPr>
        <w:t>2.789.406 m²</w:t>
      </w:r>
    </w:p>
    <w:p w:rsidR="00A6180B" w:rsidRPr="003B01CD" w:rsidRDefault="00A6180B" w:rsidP="00D0183B">
      <w:pPr>
        <w:pStyle w:val="Prrafodelista"/>
        <w:numPr>
          <w:ilvl w:val="0"/>
          <w:numId w:val="31"/>
        </w:numPr>
        <w:spacing w:after="0" w:line="240" w:lineRule="auto"/>
        <w:ind w:left="567"/>
        <w:contextualSpacing w:val="0"/>
        <w:jc w:val="both"/>
        <w:rPr>
          <w:rFonts w:ascii="Arial" w:hAnsi="Arial" w:cs="Arial"/>
          <w:szCs w:val="24"/>
        </w:rPr>
      </w:pPr>
      <w:r w:rsidRPr="003B01CD">
        <w:rPr>
          <w:rFonts w:ascii="Arial" w:hAnsi="Arial" w:cs="Arial"/>
          <w:szCs w:val="24"/>
        </w:rPr>
        <w:t>Total gestión de recursos pólizas</w:t>
      </w:r>
      <w:r w:rsidRPr="003B01CD">
        <w:rPr>
          <w:rFonts w:ascii="Arial" w:hAnsi="Arial" w:cs="Arial"/>
          <w:szCs w:val="24"/>
        </w:rPr>
        <w:tab/>
      </w:r>
      <w:r w:rsidRPr="003B01CD">
        <w:rPr>
          <w:rFonts w:ascii="Arial" w:hAnsi="Arial" w:cs="Arial"/>
          <w:b/>
          <w:szCs w:val="24"/>
        </w:rPr>
        <w:t>$</w:t>
      </w:r>
      <w:r w:rsidRPr="003B01CD">
        <w:rPr>
          <w:rFonts w:ascii="Arial" w:hAnsi="Arial" w:cs="Arial"/>
          <w:szCs w:val="24"/>
        </w:rPr>
        <w:t xml:space="preserve"> </w:t>
      </w:r>
      <w:r w:rsidRPr="003B01CD">
        <w:rPr>
          <w:rFonts w:ascii="Arial" w:hAnsi="Arial" w:cs="Arial"/>
          <w:b/>
          <w:bCs/>
          <w:szCs w:val="24"/>
        </w:rPr>
        <w:t>4.873’820.414</w:t>
      </w:r>
    </w:p>
    <w:p w:rsidR="00A6180B" w:rsidRPr="003B01CD" w:rsidRDefault="00A6180B" w:rsidP="00AF75AF">
      <w:pPr>
        <w:pStyle w:val="Prrafodelista"/>
        <w:spacing w:line="276" w:lineRule="auto"/>
        <w:ind w:left="567"/>
        <w:jc w:val="both"/>
        <w:rPr>
          <w:rFonts w:ascii="Arial" w:hAnsi="Arial" w:cs="Arial"/>
          <w:szCs w:val="24"/>
        </w:rPr>
      </w:pPr>
    </w:p>
    <w:p w:rsidR="00A6180B" w:rsidRPr="003B01CD" w:rsidRDefault="00A6180B" w:rsidP="00AF75AF">
      <w:pPr>
        <w:pStyle w:val="Descripcin"/>
        <w:spacing w:after="0"/>
        <w:rPr>
          <w:rFonts w:ascii="Arial" w:eastAsia="Arial Unicode MS" w:hAnsi="Arial" w:cs="Arial"/>
          <w:color w:val="auto"/>
          <w:szCs w:val="24"/>
        </w:rPr>
      </w:pPr>
      <w:bookmarkStart w:id="130" w:name="_Toc27665368"/>
      <w:r w:rsidRPr="003B01CD">
        <w:rPr>
          <w:rFonts w:ascii="Arial" w:eastAsia="Arial Unicode MS" w:hAnsi="Arial" w:cs="Arial"/>
          <w:color w:val="auto"/>
          <w:szCs w:val="24"/>
        </w:rPr>
        <w:lastRenderedPageBreak/>
        <w:t>Consolidado de gestión de seguimiento a pólizas de estabilidad</w:t>
      </w:r>
      <w:bookmarkEnd w:id="130"/>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600" w:firstRow="0" w:lastRow="0" w:firstColumn="0" w:lastColumn="0" w:noHBand="1" w:noVBand="1"/>
      </w:tblPr>
      <w:tblGrid>
        <w:gridCol w:w="3539"/>
        <w:gridCol w:w="1134"/>
        <w:gridCol w:w="1134"/>
        <w:gridCol w:w="1276"/>
        <w:gridCol w:w="992"/>
        <w:gridCol w:w="992"/>
      </w:tblGrid>
      <w:tr w:rsidR="00A6180B" w:rsidRPr="003B01CD" w:rsidTr="00B85448">
        <w:trPr>
          <w:trHeight w:val="162"/>
        </w:trPr>
        <w:tc>
          <w:tcPr>
            <w:tcW w:w="3539" w:type="dxa"/>
            <w:tcBorders>
              <w:top w:val="single" w:sz="4" w:space="0" w:color="auto"/>
              <w:left w:val="single" w:sz="4" w:space="0" w:color="auto"/>
              <w:bottom w:val="single" w:sz="4" w:space="0" w:color="auto"/>
              <w:right w:val="single" w:sz="4" w:space="0" w:color="auto"/>
            </w:tcBorders>
            <w:shd w:val="clear" w:color="auto" w:fill="BDD6EE" w:themeFill="accent1" w:themeFillTint="66"/>
            <w:tcMar>
              <w:top w:w="57" w:type="dxa"/>
              <w:left w:w="15" w:type="dxa"/>
              <w:bottom w:w="57" w:type="dxa"/>
              <w:right w:w="135" w:type="dxa"/>
            </w:tcMar>
            <w:vAlign w:val="center"/>
            <w:hideMark/>
          </w:tcPr>
          <w:p w:rsidR="00A6180B" w:rsidRPr="003B01CD" w:rsidRDefault="00A6180B" w:rsidP="00AF75AF">
            <w:pPr>
              <w:spacing w:line="240" w:lineRule="auto"/>
              <w:jc w:val="both"/>
              <w:rPr>
                <w:rFonts w:ascii="Arial" w:hAnsi="Arial" w:cs="Arial"/>
                <w:sz w:val="20"/>
                <w:lang w:eastAsia="es-ES"/>
              </w:rPr>
            </w:pPr>
            <w:r w:rsidRPr="003B01CD">
              <w:rPr>
                <w:rFonts w:ascii="Arial" w:hAnsi="Arial" w:cs="Arial"/>
                <w:b/>
                <w:bCs/>
                <w:sz w:val="20"/>
              </w:rPr>
              <w:t>GESTIÓN DE LEY</w:t>
            </w:r>
          </w:p>
        </w:tc>
        <w:tc>
          <w:tcPr>
            <w:tcW w:w="1134" w:type="dxa"/>
            <w:tcBorders>
              <w:top w:val="single" w:sz="4" w:space="0" w:color="auto"/>
              <w:left w:val="single" w:sz="4" w:space="0" w:color="auto"/>
              <w:bottom w:val="single" w:sz="4" w:space="0" w:color="auto"/>
              <w:right w:val="single" w:sz="4" w:space="0" w:color="auto"/>
            </w:tcBorders>
            <w:shd w:val="clear" w:color="auto" w:fill="BDD6EE" w:themeFill="accent1" w:themeFillTint="66"/>
            <w:tcMar>
              <w:top w:w="57" w:type="dxa"/>
              <w:left w:w="15" w:type="dxa"/>
              <w:bottom w:w="57" w:type="dxa"/>
              <w:right w:w="15" w:type="dxa"/>
            </w:tcMar>
            <w:vAlign w:val="center"/>
            <w:hideMark/>
          </w:tcPr>
          <w:p w:rsidR="00A6180B" w:rsidRPr="003B01CD" w:rsidRDefault="00A6180B" w:rsidP="00AF75AF">
            <w:pPr>
              <w:spacing w:line="240" w:lineRule="auto"/>
              <w:jc w:val="both"/>
              <w:rPr>
                <w:rFonts w:ascii="Arial" w:hAnsi="Arial" w:cs="Arial"/>
                <w:sz w:val="20"/>
                <w:lang w:eastAsia="es-ES"/>
              </w:rPr>
            </w:pPr>
            <w:r w:rsidRPr="003B01CD">
              <w:rPr>
                <w:rFonts w:ascii="Arial" w:hAnsi="Arial" w:cs="Arial"/>
                <w:b/>
                <w:bCs/>
                <w:sz w:val="20"/>
              </w:rPr>
              <w:t>2016</w:t>
            </w:r>
          </w:p>
        </w:tc>
        <w:tc>
          <w:tcPr>
            <w:tcW w:w="1134" w:type="dxa"/>
            <w:tcBorders>
              <w:top w:val="single" w:sz="4" w:space="0" w:color="auto"/>
              <w:left w:val="single" w:sz="4" w:space="0" w:color="auto"/>
              <w:bottom w:val="single" w:sz="4" w:space="0" w:color="auto"/>
              <w:right w:val="single" w:sz="4" w:space="0" w:color="auto"/>
            </w:tcBorders>
            <w:shd w:val="clear" w:color="auto" w:fill="BDD6EE" w:themeFill="accent1" w:themeFillTint="66"/>
            <w:tcMar>
              <w:top w:w="57" w:type="dxa"/>
              <w:left w:w="15" w:type="dxa"/>
              <w:bottom w:w="57" w:type="dxa"/>
              <w:right w:w="15" w:type="dxa"/>
            </w:tcMar>
            <w:vAlign w:val="center"/>
            <w:hideMark/>
          </w:tcPr>
          <w:p w:rsidR="00A6180B" w:rsidRPr="003B01CD" w:rsidRDefault="00A6180B" w:rsidP="00AF75AF">
            <w:pPr>
              <w:spacing w:line="240" w:lineRule="auto"/>
              <w:jc w:val="both"/>
              <w:rPr>
                <w:rFonts w:ascii="Arial" w:hAnsi="Arial" w:cs="Arial"/>
                <w:sz w:val="20"/>
                <w:lang w:eastAsia="es-ES"/>
              </w:rPr>
            </w:pPr>
            <w:r w:rsidRPr="003B01CD">
              <w:rPr>
                <w:rFonts w:ascii="Arial" w:hAnsi="Arial" w:cs="Arial"/>
                <w:b/>
                <w:bCs/>
                <w:sz w:val="20"/>
              </w:rPr>
              <w:t>2017</w:t>
            </w:r>
          </w:p>
        </w:tc>
        <w:tc>
          <w:tcPr>
            <w:tcW w:w="1276" w:type="dxa"/>
            <w:tcBorders>
              <w:top w:val="single" w:sz="4" w:space="0" w:color="auto"/>
              <w:left w:val="single" w:sz="4" w:space="0" w:color="auto"/>
              <w:bottom w:val="single" w:sz="4" w:space="0" w:color="auto"/>
              <w:right w:val="single" w:sz="4" w:space="0" w:color="auto"/>
            </w:tcBorders>
            <w:shd w:val="clear" w:color="auto" w:fill="BDD6EE" w:themeFill="accent1" w:themeFillTint="66"/>
            <w:tcMar>
              <w:top w:w="57" w:type="dxa"/>
              <w:left w:w="135" w:type="dxa"/>
              <w:bottom w:w="57" w:type="dxa"/>
              <w:right w:w="15" w:type="dxa"/>
            </w:tcMar>
            <w:vAlign w:val="center"/>
            <w:hideMark/>
          </w:tcPr>
          <w:p w:rsidR="00A6180B" w:rsidRPr="003B01CD" w:rsidRDefault="00A6180B" w:rsidP="00AF75AF">
            <w:pPr>
              <w:spacing w:line="240" w:lineRule="auto"/>
              <w:jc w:val="both"/>
              <w:rPr>
                <w:rFonts w:ascii="Arial" w:hAnsi="Arial" w:cs="Arial"/>
                <w:sz w:val="20"/>
                <w:lang w:eastAsia="es-ES"/>
              </w:rPr>
            </w:pPr>
            <w:r w:rsidRPr="003B01CD">
              <w:rPr>
                <w:rFonts w:ascii="Arial" w:hAnsi="Arial" w:cs="Arial"/>
                <w:b/>
                <w:bCs/>
                <w:sz w:val="20"/>
                <w:lang w:val="en-US"/>
              </w:rPr>
              <w:t>2018</w:t>
            </w:r>
          </w:p>
        </w:tc>
        <w:tc>
          <w:tcPr>
            <w:tcW w:w="992" w:type="dxa"/>
            <w:tcBorders>
              <w:top w:val="single" w:sz="4" w:space="0" w:color="auto"/>
              <w:left w:val="single" w:sz="4" w:space="0" w:color="auto"/>
              <w:bottom w:val="single" w:sz="4" w:space="0" w:color="auto"/>
              <w:right w:val="single" w:sz="4" w:space="0" w:color="auto"/>
            </w:tcBorders>
            <w:shd w:val="clear" w:color="auto" w:fill="BDD6EE" w:themeFill="accent1" w:themeFillTint="66"/>
            <w:tcMar>
              <w:top w:w="57" w:type="dxa"/>
              <w:left w:w="135" w:type="dxa"/>
              <w:bottom w:w="57" w:type="dxa"/>
              <w:right w:w="15" w:type="dxa"/>
            </w:tcMar>
            <w:vAlign w:val="center"/>
            <w:hideMark/>
          </w:tcPr>
          <w:p w:rsidR="00A6180B" w:rsidRPr="003B01CD" w:rsidRDefault="00A6180B" w:rsidP="00AF75AF">
            <w:pPr>
              <w:spacing w:line="240" w:lineRule="auto"/>
              <w:jc w:val="both"/>
              <w:rPr>
                <w:rFonts w:ascii="Arial" w:hAnsi="Arial" w:cs="Arial"/>
                <w:sz w:val="20"/>
                <w:lang w:eastAsia="es-ES"/>
              </w:rPr>
            </w:pPr>
            <w:r w:rsidRPr="003B01CD">
              <w:rPr>
                <w:rFonts w:ascii="Arial" w:hAnsi="Arial" w:cs="Arial"/>
                <w:b/>
                <w:bCs/>
                <w:sz w:val="20"/>
                <w:lang w:val="en-US"/>
              </w:rPr>
              <w:t>2019</w:t>
            </w:r>
          </w:p>
        </w:tc>
        <w:tc>
          <w:tcPr>
            <w:tcW w:w="992"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rsidR="00A6180B" w:rsidRPr="003B01CD" w:rsidRDefault="00A6180B" w:rsidP="00AF75AF">
            <w:pPr>
              <w:spacing w:line="240" w:lineRule="auto"/>
              <w:jc w:val="both"/>
              <w:rPr>
                <w:rFonts w:ascii="Arial" w:hAnsi="Arial" w:cs="Arial"/>
                <w:b/>
                <w:bCs/>
                <w:sz w:val="20"/>
                <w:lang w:val="en-US" w:eastAsia="es-ES"/>
              </w:rPr>
            </w:pPr>
            <w:r w:rsidRPr="003B01CD">
              <w:rPr>
                <w:rFonts w:ascii="Arial" w:hAnsi="Arial" w:cs="Arial"/>
                <w:b/>
                <w:bCs/>
                <w:sz w:val="20"/>
                <w:lang w:val="en-US"/>
              </w:rPr>
              <w:t>Total</w:t>
            </w:r>
          </w:p>
        </w:tc>
      </w:tr>
      <w:tr w:rsidR="00A6180B" w:rsidRPr="003B01CD" w:rsidTr="00B85448">
        <w:trPr>
          <w:trHeight w:val="252"/>
        </w:trPr>
        <w:tc>
          <w:tcPr>
            <w:tcW w:w="3539"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35" w:type="dxa"/>
            </w:tcMar>
            <w:vAlign w:val="center"/>
            <w:hideMark/>
          </w:tcPr>
          <w:p w:rsidR="00A6180B" w:rsidRPr="003B01CD" w:rsidRDefault="00A6180B" w:rsidP="00AF75AF">
            <w:pPr>
              <w:spacing w:line="240" w:lineRule="auto"/>
              <w:jc w:val="both"/>
              <w:rPr>
                <w:rFonts w:ascii="Arial" w:hAnsi="Arial" w:cs="Arial"/>
                <w:sz w:val="20"/>
                <w:lang w:eastAsia="es-ES"/>
              </w:rPr>
            </w:pPr>
            <w:r w:rsidRPr="003B01CD">
              <w:rPr>
                <w:rFonts w:ascii="Arial" w:hAnsi="Arial" w:cs="Arial"/>
                <w:sz w:val="20"/>
              </w:rPr>
              <w:t>Visitas de ley realizadas</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rsidR="00A6180B" w:rsidRPr="003B01CD" w:rsidRDefault="00A6180B" w:rsidP="00AF75AF">
            <w:pPr>
              <w:spacing w:line="240" w:lineRule="auto"/>
              <w:jc w:val="both"/>
              <w:rPr>
                <w:rFonts w:ascii="Arial" w:hAnsi="Arial" w:cs="Arial"/>
                <w:sz w:val="20"/>
                <w:lang w:eastAsia="es-ES"/>
              </w:rPr>
            </w:pPr>
            <w:r w:rsidRPr="003B01CD">
              <w:rPr>
                <w:rFonts w:ascii="Arial" w:hAnsi="Arial" w:cs="Arial"/>
                <w:sz w:val="20"/>
              </w:rPr>
              <w:t>569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rsidR="00A6180B" w:rsidRPr="003B01CD" w:rsidRDefault="00A6180B" w:rsidP="00AF75AF">
            <w:pPr>
              <w:spacing w:line="240" w:lineRule="auto"/>
              <w:jc w:val="both"/>
              <w:rPr>
                <w:rFonts w:ascii="Arial" w:hAnsi="Arial" w:cs="Arial"/>
                <w:sz w:val="20"/>
                <w:lang w:eastAsia="es-ES"/>
              </w:rPr>
            </w:pPr>
            <w:r w:rsidRPr="003B01CD">
              <w:rPr>
                <w:rFonts w:ascii="Arial" w:hAnsi="Arial" w:cs="Arial"/>
                <w:sz w:val="20"/>
              </w:rPr>
              <w:t>523</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13" w:type="dxa"/>
              <w:bottom w:w="0" w:type="dxa"/>
              <w:right w:w="57" w:type="dxa"/>
            </w:tcMar>
            <w:vAlign w:val="center"/>
            <w:hideMark/>
          </w:tcPr>
          <w:p w:rsidR="00A6180B" w:rsidRPr="003B01CD" w:rsidRDefault="00A6180B" w:rsidP="00AF75AF">
            <w:pPr>
              <w:spacing w:line="240" w:lineRule="auto"/>
              <w:jc w:val="both"/>
              <w:rPr>
                <w:rFonts w:ascii="Arial" w:hAnsi="Arial" w:cs="Arial"/>
                <w:sz w:val="20"/>
                <w:lang w:eastAsia="es-ES"/>
              </w:rPr>
            </w:pPr>
            <w:r w:rsidRPr="003B01CD">
              <w:rPr>
                <w:rFonts w:ascii="Arial" w:hAnsi="Arial" w:cs="Arial"/>
                <w:sz w:val="20"/>
              </w:rPr>
              <w:t>613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13" w:type="dxa"/>
              <w:bottom w:w="0" w:type="dxa"/>
              <w:right w:w="57" w:type="dxa"/>
            </w:tcMar>
            <w:vAlign w:val="center"/>
            <w:hideMark/>
          </w:tcPr>
          <w:p w:rsidR="00A6180B" w:rsidRPr="003B01CD" w:rsidRDefault="00A6180B" w:rsidP="00AF75AF">
            <w:pPr>
              <w:spacing w:line="240" w:lineRule="auto"/>
              <w:jc w:val="both"/>
              <w:rPr>
                <w:rFonts w:ascii="Arial" w:hAnsi="Arial" w:cs="Arial"/>
                <w:sz w:val="20"/>
                <w:lang w:eastAsia="es-ES"/>
              </w:rPr>
            </w:pPr>
            <w:r w:rsidRPr="003B01CD">
              <w:rPr>
                <w:rFonts w:ascii="Arial" w:hAnsi="Arial" w:cs="Arial"/>
                <w:sz w:val="20"/>
              </w:rPr>
              <w:t>610</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A6180B" w:rsidRPr="003B01CD" w:rsidRDefault="00A6180B" w:rsidP="00AF75AF">
            <w:pPr>
              <w:spacing w:line="240" w:lineRule="auto"/>
              <w:jc w:val="both"/>
              <w:rPr>
                <w:rFonts w:ascii="Arial" w:hAnsi="Arial" w:cs="Arial"/>
                <w:b/>
                <w:sz w:val="20"/>
                <w:lang w:eastAsia="es-ES"/>
              </w:rPr>
            </w:pPr>
            <w:r w:rsidRPr="003B01CD">
              <w:rPr>
                <w:rFonts w:ascii="Arial" w:hAnsi="Arial" w:cs="Arial"/>
                <w:b/>
                <w:sz w:val="20"/>
              </w:rPr>
              <w:t>2.315</w:t>
            </w:r>
          </w:p>
        </w:tc>
      </w:tr>
      <w:tr w:rsidR="00A6180B" w:rsidRPr="003B01CD" w:rsidTr="00B85448">
        <w:trPr>
          <w:trHeight w:val="356"/>
        </w:trPr>
        <w:tc>
          <w:tcPr>
            <w:tcW w:w="3539"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35" w:type="dxa"/>
            </w:tcMar>
            <w:vAlign w:val="center"/>
            <w:hideMark/>
          </w:tcPr>
          <w:p w:rsidR="00A6180B" w:rsidRPr="003B01CD" w:rsidRDefault="00A6180B" w:rsidP="00AF75AF">
            <w:pPr>
              <w:spacing w:line="240" w:lineRule="auto"/>
              <w:jc w:val="both"/>
              <w:rPr>
                <w:rFonts w:ascii="Arial" w:hAnsi="Arial" w:cs="Arial"/>
                <w:sz w:val="20"/>
                <w:lang w:eastAsia="es-ES"/>
              </w:rPr>
            </w:pPr>
            <w:r w:rsidRPr="003B01CD">
              <w:rPr>
                <w:rFonts w:ascii="Arial" w:hAnsi="Arial" w:cs="Arial"/>
                <w:sz w:val="20"/>
              </w:rPr>
              <w:t>Contratos requeridos para reparaciones</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rsidR="00A6180B" w:rsidRPr="003B01CD" w:rsidRDefault="00A6180B" w:rsidP="00AF75AF">
            <w:pPr>
              <w:spacing w:line="240" w:lineRule="auto"/>
              <w:jc w:val="both"/>
              <w:rPr>
                <w:rFonts w:ascii="Arial" w:hAnsi="Arial" w:cs="Arial"/>
                <w:sz w:val="20"/>
                <w:lang w:eastAsia="es-ES"/>
              </w:rPr>
            </w:pPr>
            <w:r w:rsidRPr="003B01CD">
              <w:rPr>
                <w:rFonts w:ascii="Arial" w:hAnsi="Arial" w:cs="Arial"/>
                <w:sz w:val="20"/>
              </w:rPr>
              <w:t>114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rsidR="00A6180B" w:rsidRPr="003B01CD" w:rsidRDefault="00A6180B" w:rsidP="00AF75AF">
            <w:pPr>
              <w:spacing w:line="240" w:lineRule="auto"/>
              <w:jc w:val="both"/>
              <w:rPr>
                <w:rFonts w:ascii="Arial" w:hAnsi="Arial" w:cs="Arial"/>
                <w:sz w:val="20"/>
                <w:lang w:eastAsia="es-ES"/>
              </w:rPr>
            </w:pPr>
            <w:r w:rsidRPr="003B01CD">
              <w:rPr>
                <w:rFonts w:ascii="Arial" w:hAnsi="Arial" w:cs="Arial"/>
                <w:sz w:val="20"/>
              </w:rPr>
              <w:t>115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13" w:type="dxa"/>
              <w:bottom w:w="0" w:type="dxa"/>
              <w:right w:w="57" w:type="dxa"/>
            </w:tcMar>
            <w:vAlign w:val="center"/>
            <w:hideMark/>
          </w:tcPr>
          <w:p w:rsidR="00A6180B" w:rsidRPr="003B01CD" w:rsidRDefault="00A6180B" w:rsidP="00AF75AF">
            <w:pPr>
              <w:spacing w:line="240" w:lineRule="auto"/>
              <w:jc w:val="both"/>
              <w:rPr>
                <w:rFonts w:ascii="Arial" w:hAnsi="Arial" w:cs="Arial"/>
                <w:sz w:val="20"/>
                <w:lang w:eastAsia="es-ES"/>
              </w:rPr>
            </w:pPr>
            <w:r w:rsidRPr="003B01CD">
              <w:rPr>
                <w:rFonts w:ascii="Arial" w:hAnsi="Arial" w:cs="Arial"/>
                <w:sz w:val="20"/>
              </w:rPr>
              <w:t>108</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13" w:type="dxa"/>
              <w:bottom w:w="0" w:type="dxa"/>
              <w:right w:w="57" w:type="dxa"/>
            </w:tcMar>
            <w:vAlign w:val="center"/>
            <w:hideMark/>
          </w:tcPr>
          <w:p w:rsidR="00A6180B" w:rsidRPr="003B01CD" w:rsidRDefault="00A6180B" w:rsidP="00AF75AF">
            <w:pPr>
              <w:spacing w:line="240" w:lineRule="auto"/>
              <w:jc w:val="both"/>
              <w:rPr>
                <w:rFonts w:ascii="Arial" w:hAnsi="Arial" w:cs="Arial"/>
                <w:sz w:val="20"/>
                <w:lang w:eastAsia="es-ES"/>
              </w:rPr>
            </w:pPr>
            <w:r w:rsidRPr="003B01CD">
              <w:rPr>
                <w:rFonts w:ascii="Arial" w:hAnsi="Arial" w:cs="Arial"/>
                <w:sz w:val="20"/>
              </w:rPr>
              <w:t>108</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A6180B" w:rsidRPr="003B01CD" w:rsidRDefault="00A6180B" w:rsidP="00AF75AF">
            <w:pPr>
              <w:spacing w:line="240" w:lineRule="auto"/>
              <w:jc w:val="both"/>
              <w:rPr>
                <w:rFonts w:ascii="Arial" w:hAnsi="Arial" w:cs="Arial"/>
                <w:b/>
                <w:sz w:val="20"/>
                <w:lang w:eastAsia="es-ES"/>
              </w:rPr>
            </w:pPr>
            <w:r w:rsidRPr="003B01CD">
              <w:rPr>
                <w:rFonts w:ascii="Arial" w:hAnsi="Arial" w:cs="Arial"/>
                <w:b/>
                <w:sz w:val="20"/>
              </w:rPr>
              <w:t>445</w:t>
            </w:r>
          </w:p>
        </w:tc>
      </w:tr>
      <w:tr w:rsidR="00A6180B" w:rsidRPr="003B01CD" w:rsidTr="00B85448">
        <w:trPr>
          <w:trHeight w:val="93"/>
        </w:trPr>
        <w:tc>
          <w:tcPr>
            <w:tcW w:w="3539"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35" w:type="dxa"/>
            </w:tcMar>
            <w:vAlign w:val="center"/>
            <w:hideMark/>
          </w:tcPr>
          <w:p w:rsidR="00A6180B" w:rsidRPr="003B01CD" w:rsidRDefault="00A6180B" w:rsidP="00AF75AF">
            <w:pPr>
              <w:spacing w:line="240" w:lineRule="auto"/>
              <w:jc w:val="both"/>
              <w:rPr>
                <w:rFonts w:ascii="Arial" w:hAnsi="Arial" w:cs="Arial"/>
                <w:sz w:val="20"/>
                <w:lang w:eastAsia="es-ES"/>
              </w:rPr>
            </w:pPr>
            <w:r w:rsidRPr="003B01CD">
              <w:rPr>
                <w:rFonts w:ascii="Arial" w:hAnsi="Arial" w:cs="Arial"/>
                <w:sz w:val="20"/>
              </w:rPr>
              <w:t>Daños Identificados</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rsidR="00A6180B" w:rsidRPr="003B01CD" w:rsidRDefault="00A6180B" w:rsidP="00AF75AF">
            <w:pPr>
              <w:spacing w:line="240" w:lineRule="auto"/>
              <w:jc w:val="both"/>
              <w:rPr>
                <w:rFonts w:ascii="Arial" w:hAnsi="Arial" w:cs="Arial"/>
                <w:sz w:val="20"/>
                <w:lang w:eastAsia="es-ES"/>
              </w:rPr>
            </w:pPr>
            <w:r w:rsidRPr="003B01CD">
              <w:rPr>
                <w:rFonts w:ascii="Arial" w:hAnsi="Arial" w:cs="Arial"/>
                <w:sz w:val="20"/>
              </w:rPr>
              <w:t>1.452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rsidR="00A6180B" w:rsidRPr="003B01CD" w:rsidRDefault="00A6180B" w:rsidP="00AF75AF">
            <w:pPr>
              <w:spacing w:line="240" w:lineRule="auto"/>
              <w:jc w:val="both"/>
              <w:rPr>
                <w:rFonts w:ascii="Arial" w:hAnsi="Arial" w:cs="Arial"/>
                <w:sz w:val="20"/>
                <w:lang w:eastAsia="es-ES"/>
              </w:rPr>
            </w:pPr>
            <w:r w:rsidRPr="003B01CD">
              <w:rPr>
                <w:rFonts w:ascii="Arial" w:hAnsi="Arial" w:cs="Arial"/>
                <w:sz w:val="20"/>
              </w:rPr>
              <w:t>1.623</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13" w:type="dxa"/>
              <w:bottom w:w="0" w:type="dxa"/>
              <w:right w:w="57" w:type="dxa"/>
            </w:tcMar>
            <w:vAlign w:val="center"/>
            <w:hideMark/>
          </w:tcPr>
          <w:p w:rsidR="00A6180B" w:rsidRPr="003B01CD" w:rsidRDefault="00A6180B" w:rsidP="00AF75AF">
            <w:pPr>
              <w:spacing w:line="240" w:lineRule="auto"/>
              <w:jc w:val="both"/>
              <w:rPr>
                <w:rFonts w:ascii="Arial" w:hAnsi="Arial" w:cs="Arial"/>
                <w:sz w:val="20"/>
                <w:lang w:eastAsia="es-ES"/>
              </w:rPr>
            </w:pPr>
            <w:r w:rsidRPr="003B01CD">
              <w:rPr>
                <w:rFonts w:ascii="Arial" w:hAnsi="Arial" w:cs="Arial"/>
                <w:sz w:val="20"/>
              </w:rPr>
              <w:t>1.763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13" w:type="dxa"/>
              <w:bottom w:w="0" w:type="dxa"/>
              <w:right w:w="57" w:type="dxa"/>
            </w:tcMar>
            <w:vAlign w:val="center"/>
            <w:hideMark/>
          </w:tcPr>
          <w:p w:rsidR="00A6180B" w:rsidRPr="003B01CD" w:rsidRDefault="00A6180B" w:rsidP="00AF75AF">
            <w:pPr>
              <w:spacing w:line="240" w:lineRule="auto"/>
              <w:jc w:val="both"/>
              <w:rPr>
                <w:rFonts w:ascii="Arial" w:hAnsi="Arial" w:cs="Arial"/>
                <w:sz w:val="20"/>
                <w:lang w:eastAsia="es-ES"/>
              </w:rPr>
            </w:pPr>
            <w:r w:rsidRPr="003B01CD">
              <w:rPr>
                <w:rFonts w:ascii="Arial" w:hAnsi="Arial" w:cs="Arial"/>
                <w:sz w:val="20"/>
              </w:rPr>
              <w:t>1.343</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A6180B" w:rsidRPr="003B01CD" w:rsidRDefault="00A6180B" w:rsidP="00AF75AF">
            <w:pPr>
              <w:spacing w:line="240" w:lineRule="auto"/>
              <w:jc w:val="both"/>
              <w:rPr>
                <w:rFonts w:ascii="Arial" w:hAnsi="Arial" w:cs="Arial"/>
                <w:b/>
                <w:sz w:val="20"/>
                <w:lang w:eastAsia="es-ES"/>
              </w:rPr>
            </w:pPr>
            <w:r w:rsidRPr="003B01CD">
              <w:rPr>
                <w:rFonts w:ascii="Arial" w:hAnsi="Arial" w:cs="Arial"/>
                <w:b/>
                <w:sz w:val="20"/>
              </w:rPr>
              <w:t>6.181</w:t>
            </w:r>
          </w:p>
        </w:tc>
      </w:tr>
    </w:tbl>
    <w:p w:rsidR="00A6180B" w:rsidRPr="003B01CD" w:rsidRDefault="00A6180B" w:rsidP="00AF75AF">
      <w:pPr>
        <w:spacing w:line="276" w:lineRule="auto"/>
        <w:jc w:val="both"/>
        <w:rPr>
          <w:rFonts w:ascii="Arial" w:hAnsi="Arial" w:cs="Arial"/>
          <w:sz w:val="20"/>
          <w:lang w:val="es-ES" w:eastAsia="es-ES"/>
        </w:rPr>
      </w:pPr>
      <w:r w:rsidRPr="003B01CD">
        <w:rPr>
          <w:rFonts w:ascii="Arial" w:hAnsi="Arial" w:cs="Arial"/>
          <w:sz w:val="20"/>
        </w:rPr>
        <w:t>Fuente: Dirección Técnica de Administración de Infraestructura IDU</w:t>
      </w:r>
    </w:p>
    <w:p w:rsidR="003B01CD" w:rsidRDefault="003B01CD" w:rsidP="00AF75AF">
      <w:pPr>
        <w:pStyle w:val="Descripcin"/>
        <w:rPr>
          <w:rFonts w:ascii="Arial" w:eastAsiaTheme="minorHAnsi" w:hAnsi="Arial" w:cs="Arial"/>
          <w:iCs w:val="0"/>
          <w:color w:val="auto"/>
          <w:sz w:val="22"/>
          <w:szCs w:val="24"/>
        </w:rPr>
      </w:pPr>
      <w:bookmarkStart w:id="131" w:name="_Toc27665369"/>
    </w:p>
    <w:p w:rsidR="00A6180B" w:rsidRPr="003B01CD" w:rsidRDefault="00A6180B" w:rsidP="00AF75AF">
      <w:pPr>
        <w:pStyle w:val="Descripcin"/>
        <w:rPr>
          <w:rFonts w:ascii="Arial" w:hAnsi="Arial" w:cs="Arial"/>
          <w:color w:val="auto"/>
        </w:rPr>
      </w:pPr>
      <w:r w:rsidRPr="003B01CD">
        <w:rPr>
          <w:rFonts w:ascii="Arial" w:hAnsi="Arial" w:cs="Arial"/>
          <w:color w:val="auto"/>
        </w:rPr>
        <w:t>Consolidado de gestión de recursos en la administración.</w:t>
      </w:r>
      <w:bookmarkEnd w:id="131"/>
    </w:p>
    <w:tbl>
      <w:tblPr>
        <w:tblW w:w="978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1"/>
        <w:gridCol w:w="1318"/>
        <w:gridCol w:w="1318"/>
        <w:gridCol w:w="1556"/>
        <w:gridCol w:w="1531"/>
        <w:gridCol w:w="1468"/>
      </w:tblGrid>
      <w:tr w:rsidR="00A6180B" w:rsidRPr="003B01CD" w:rsidTr="00B85448">
        <w:trPr>
          <w:trHeight w:val="410"/>
        </w:trPr>
        <w:tc>
          <w:tcPr>
            <w:tcW w:w="2591" w:type="dxa"/>
            <w:shd w:val="clear" w:color="auto" w:fill="BDD6EE" w:themeFill="accent1" w:themeFillTint="66"/>
            <w:vAlign w:val="center"/>
            <w:hideMark/>
          </w:tcPr>
          <w:p w:rsidR="00A6180B" w:rsidRPr="003B01CD" w:rsidRDefault="00A6180B" w:rsidP="00AF75AF">
            <w:pPr>
              <w:spacing w:line="240" w:lineRule="auto"/>
              <w:jc w:val="both"/>
              <w:rPr>
                <w:rFonts w:ascii="Arial" w:hAnsi="Arial" w:cs="Arial"/>
                <w:b/>
                <w:bCs/>
                <w:sz w:val="18"/>
              </w:rPr>
            </w:pPr>
            <w:r w:rsidRPr="003B01CD">
              <w:rPr>
                <w:rFonts w:ascii="Arial" w:hAnsi="Arial" w:cs="Arial"/>
                <w:b/>
                <w:bCs/>
                <w:sz w:val="18"/>
              </w:rPr>
              <w:t>GESTIÓN DE RECURSOS</w:t>
            </w:r>
          </w:p>
        </w:tc>
        <w:tc>
          <w:tcPr>
            <w:tcW w:w="1318" w:type="dxa"/>
            <w:shd w:val="clear" w:color="auto" w:fill="BDD6EE" w:themeFill="accent1" w:themeFillTint="66"/>
            <w:vAlign w:val="center"/>
            <w:hideMark/>
          </w:tcPr>
          <w:p w:rsidR="00A6180B" w:rsidRPr="003B01CD" w:rsidRDefault="00A6180B" w:rsidP="00AF75AF">
            <w:pPr>
              <w:spacing w:line="240" w:lineRule="auto"/>
              <w:jc w:val="both"/>
              <w:rPr>
                <w:rFonts w:ascii="Arial" w:hAnsi="Arial" w:cs="Arial"/>
                <w:b/>
                <w:bCs/>
                <w:sz w:val="18"/>
              </w:rPr>
            </w:pPr>
            <w:r w:rsidRPr="003B01CD">
              <w:rPr>
                <w:rFonts w:ascii="Arial" w:hAnsi="Arial" w:cs="Arial"/>
                <w:b/>
                <w:bCs/>
                <w:sz w:val="18"/>
              </w:rPr>
              <w:t>2016</w:t>
            </w:r>
          </w:p>
        </w:tc>
        <w:tc>
          <w:tcPr>
            <w:tcW w:w="1318" w:type="dxa"/>
            <w:shd w:val="clear" w:color="auto" w:fill="BDD6EE" w:themeFill="accent1" w:themeFillTint="66"/>
            <w:vAlign w:val="center"/>
            <w:hideMark/>
          </w:tcPr>
          <w:p w:rsidR="00A6180B" w:rsidRPr="003B01CD" w:rsidRDefault="00A6180B" w:rsidP="00AF75AF">
            <w:pPr>
              <w:spacing w:line="240" w:lineRule="auto"/>
              <w:jc w:val="both"/>
              <w:rPr>
                <w:rFonts w:ascii="Arial" w:hAnsi="Arial" w:cs="Arial"/>
                <w:b/>
                <w:bCs/>
                <w:sz w:val="18"/>
              </w:rPr>
            </w:pPr>
            <w:r w:rsidRPr="003B01CD">
              <w:rPr>
                <w:rFonts w:ascii="Arial" w:hAnsi="Arial" w:cs="Arial"/>
                <w:b/>
                <w:bCs/>
                <w:sz w:val="18"/>
              </w:rPr>
              <w:t>2017</w:t>
            </w:r>
          </w:p>
        </w:tc>
        <w:tc>
          <w:tcPr>
            <w:tcW w:w="1556" w:type="dxa"/>
            <w:shd w:val="clear" w:color="auto" w:fill="BDD6EE" w:themeFill="accent1" w:themeFillTint="66"/>
            <w:vAlign w:val="center"/>
            <w:hideMark/>
          </w:tcPr>
          <w:p w:rsidR="00A6180B" w:rsidRPr="003B01CD" w:rsidRDefault="00A6180B" w:rsidP="00AF75AF">
            <w:pPr>
              <w:spacing w:line="240" w:lineRule="auto"/>
              <w:jc w:val="both"/>
              <w:rPr>
                <w:rFonts w:ascii="Arial" w:hAnsi="Arial" w:cs="Arial"/>
                <w:b/>
                <w:bCs/>
                <w:sz w:val="18"/>
              </w:rPr>
            </w:pPr>
            <w:r w:rsidRPr="003B01CD">
              <w:rPr>
                <w:rFonts w:ascii="Arial" w:hAnsi="Arial" w:cs="Arial"/>
                <w:b/>
                <w:bCs/>
                <w:sz w:val="18"/>
              </w:rPr>
              <w:t>2018</w:t>
            </w:r>
          </w:p>
        </w:tc>
        <w:tc>
          <w:tcPr>
            <w:tcW w:w="1531" w:type="dxa"/>
            <w:shd w:val="clear" w:color="auto" w:fill="BDD6EE" w:themeFill="accent1" w:themeFillTint="66"/>
            <w:vAlign w:val="center"/>
            <w:hideMark/>
          </w:tcPr>
          <w:p w:rsidR="00A6180B" w:rsidRPr="003B01CD" w:rsidRDefault="00A6180B" w:rsidP="00AF75AF">
            <w:pPr>
              <w:spacing w:line="240" w:lineRule="auto"/>
              <w:jc w:val="both"/>
              <w:rPr>
                <w:rFonts w:ascii="Arial" w:hAnsi="Arial" w:cs="Arial"/>
                <w:b/>
                <w:bCs/>
                <w:sz w:val="18"/>
              </w:rPr>
            </w:pPr>
            <w:r w:rsidRPr="003B01CD">
              <w:rPr>
                <w:rFonts w:ascii="Arial" w:hAnsi="Arial" w:cs="Arial"/>
                <w:b/>
                <w:bCs/>
                <w:sz w:val="18"/>
              </w:rPr>
              <w:t>2019</w:t>
            </w:r>
          </w:p>
        </w:tc>
        <w:tc>
          <w:tcPr>
            <w:tcW w:w="1468" w:type="dxa"/>
            <w:shd w:val="clear" w:color="auto" w:fill="BDD6EE" w:themeFill="accent1" w:themeFillTint="66"/>
            <w:vAlign w:val="center"/>
            <w:hideMark/>
          </w:tcPr>
          <w:p w:rsidR="00A6180B" w:rsidRPr="003B01CD" w:rsidRDefault="00A6180B" w:rsidP="00AF75AF">
            <w:pPr>
              <w:spacing w:line="240" w:lineRule="auto"/>
              <w:jc w:val="both"/>
              <w:rPr>
                <w:rFonts w:ascii="Arial" w:hAnsi="Arial" w:cs="Arial"/>
                <w:b/>
                <w:bCs/>
                <w:sz w:val="18"/>
              </w:rPr>
            </w:pPr>
            <w:r w:rsidRPr="003B01CD">
              <w:rPr>
                <w:rFonts w:ascii="Arial" w:hAnsi="Arial" w:cs="Arial"/>
                <w:b/>
                <w:bCs/>
                <w:sz w:val="18"/>
              </w:rPr>
              <w:t>TOTAL</w:t>
            </w:r>
          </w:p>
        </w:tc>
      </w:tr>
      <w:tr w:rsidR="00A6180B" w:rsidRPr="003B01CD" w:rsidTr="00B85448">
        <w:trPr>
          <w:trHeight w:val="575"/>
        </w:trPr>
        <w:tc>
          <w:tcPr>
            <w:tcW w:w="2591" w:type="dxa"/>
            <w:vAlign w:val="center"/>
            <w:hideMark/>
          </w:tcPr>
          <w:p w:rsidR="00A6180B" w:rsidRPr="003B01CD" w:rsidRDefault="00A6180B" w:rsidP="00AF75AF">
            <w:pPr>
              <w:spacing w:line="240" w:lineRule="auto"/>
              <w:jc w:val="both"/>
              <w:rPr>
                <w:rFonts w:ascii="Arial" w:hAnsi="Arial" w:cs="Arial"/>
                <w:sz w:val="18"/>
              </w:rPr>
            </w:pPr>
            <w:r w:rsidRPr="003B01CD">
              <w:rPr>
                <w:rFonts w:ascii="Arial" w:hAnsi="Arial" w:cs="Arial"/>
                <w:sz w:val="18"/>
              </w:rPr>
              <w:t>En reparaciones efectuadas por contratistas.</w:t>
            </w:r>
          </w:p>
        </w:tc>
        <w:tc>
          <w:tcPr>
            <w:tcW w:w="1318" w:type="dxa"/>
            <w:vAlign w:val="center"/>
            <w:hideMark/>
          </w:tcPr>
          <w:p w:rsidR="00A6180B" w:rsidRPr="003B01CD" w:rsidRDefault="00A6180B" w:rsidP="00AF75AF">
            <w:pPr>
              <w:spacing w:line="240" w:lineRule="auto"/>
              <w:jc w:val="both"/>
              <w:rPr>
                <w:rFonts w:ascii="Arial" w:hAnsi="Arial" w:cs="Arial"/>
                <w:sz w:val="18"/>
              </w:rPr>
            </w:pPr>
            <w:r w:rsidRPr="003B01CD">
              <w:rPr>
                <w:rFonts w:ascii="Arial" w:hAnsi="Arial" w:cs="Arial"/>
                <w:sz w:val="18"/>
              </w:rPr>
              <w:t>$636.781.612</w:t>
            </w:r>
          </w:p>
        </w:tc>
        <w:tc>
          <w:tcPr>
            <w:tcW w:w="1318" w:type="dxa"/>
            <w:vAlign w:val="center"/>
            <w:hideMark/>
          </w:tcPr>
          <w:p w:rsidR="00A6180B" w:rsidRPr="003B01CD" w:rsidRDefault="00A6180B" w:rsidP="00AF75AF">
            <w:pPr>
              <w:spacing w:line="240" w:lineRule="auto"/>
              <w:jc w:val="both"/>
              <w:rPr>
                <w:rFonts w:ascii="Arial" w:hAnsi="Arial" w:cs="Arial"/>
                <w:sz w:val="18"/>
              </w:rPr>
            </w:pPr>
            <w:r w:rsidRPr="003B01CD">
              <w:rPr>
                <w:rFonts w:ascii="Arial" w:hAnsi="Arial" w:cs="Arial"/>
                <w:sz w:val="18"/>
              </w:rPr>
              <w:t>$561.975.545</w:t>
            </w:r>
          </w:p>
        </w:tc>
        <w:tc>
          <w:tcPr>
            <w:tcW w:w="1556" w:type="dxa"/>
            <w:vAlign w:val="center"/>
            <w:hideMark/>
          </w:tcPr>
          <w:p w:rsidR="00A6180B" w:rsidRPr="003B01CD" w:rsidRDefault="00A6180B" w:rsidP="00AF75AF">
            <w:pPr>
              <w:spacing w:line="240" w:lineRule="auto"/>
              <w:jc w:val="both"/>
              <w:rPr>
                <w:rFonts w:ascii="Arial" w:hAnsi="Arial" w:cs="Arial"/>
                <w:sz w:val="18"/>
              </w:rPr>
            </w:pPr>
            <w:r w:rsidRPr="003B01CD">
              <w:rPr>
                <w:rFonts w:ascii="Arial" w:hAnsi="Arial" w:cs="Arial"/>
                <w:sz w:val="18"/>
              </w:rPr>
              <w:t>$ 2.037.546.056</w:t>
            </w:r>
          </w:p>
        </w:tc>
        <w:tc>
          <w:tcPr>
            <w:tcW w:w="1531" w:type="dxa"/>
            <w:vAlign w:val="center"/>
            <w:hideMark/>
          </w:tcPr>
          <w:p w:rsidR="00A6180B" w:rsidRPr="003B01CD" w:rsidRDefault="00A6180B" w:rsidP="00AF75AF">
            <w:pPr>
              <w:spacing w:line="240" w:lineRule="auto"/>
              <w:jc w:val="both"/>
              <w:rPr>
                <w:rFonts w:ascii="Arial" w:hAnsi="Arial" w:cs="Arial"/>
                <w:sz w:val="18"/>
              </w:rPr>
            </w:pPr>
            <w:r w:rsidRPr="003B01CD">
              <w:rPr>
                <w:rFonts w:ascii="Arial" w:hAnsi="Arial" w:cs="Arial"/>
                <w:sz w:val="18"/>
              </w:rPr>
              <w:t>$ 528.152.575</w:t>
            </w:r>
          </w:p>
        </w:tc>
        <w:tc>
          <w:tcPr>
            <w:tcW w:w="1468" w:type="dxa"/>
            <w:shd w:val="clear" w:color="auto" w:fill="auto"/>
            <w:vAlign w:val="center"/>
            <w:hideMark/>
          </w:tcPr>
          <w:p w:rsidR="00A6180B" w:rsidRPr="003B01CD" w:rsidRDefault="00A6180B" w:rsidP="00AF75AF">
            <w:pPr>
              <w:spacing w:line="240" w:lineRule="auto"/>
              <w:jc w:val="both"/>
              <w:rPr>
                <w:rFonts w:ascii="Arial" w:hAnsi="Arial" w:cs="Arial"/>
                <w:sz w:val="18"/>
              </w:rPr>
            </w:pPr>
            <w:r w:rsidRPr="003B01CD">
              <w:rPr>
                <w:rFonts w:ascii="Arial" w:hAnsi="Arial" w:cs="Arial"/>
                <w:sz w:val="18"/>
              </w:rPr>
              <w:t>$3.764.455.788</w:t>
            </w:r>
          </w:p>
        </w:tc>
      </w:tr>
      <w:tr w:rsidR="00A6180B" w:rsidRPr="003B01CD" w:rsidTr="00B85448">
        <w:trPr>
          <w:trHeight w:val="90"/>
        </w:trPr>
        <w:tc>
          <w:tcPr>
            <w:tcW w:w="2591" w:type="dxa"/>
            <w:vAlign w:val="center"/>
            <w:hideMark/>
          </w:tcPr>
          <w:p w:rsidR="00A6180B" w:rsidRPr="003B01CD" w:rsidRDefault="00A6180B" w:rsidP="00AF75AF">
            <w:pPr>
              <w:spacing w:line="240" w:lineRule="auto"/>
              <w:jc w:val="both"/>
              <w:rPr>
                <w:rFonts w:ascii="Arial" w:hAnsi="Arial" w:cs="Arial"/>
                <w:sz w:val="18"/>
              </w:rPr>
            </w:pPr>
            <w:r w:rsidRPr="003B01CD">
              <w:rPr>
                <w:rFonts w:ascii="Arial" w:hAnsi="Arial" w:cs="Arial"/>
                <w:sz w:val="18"/>
              </w:rPr>
              <w:t xml:space="preserve">Recaudados mediante proceso de aplicación. </w:t>
            </w:r>
          </w:p>
        </w:tc>
        <w:tc>
          <w:tcPr>
            <w:tcW w:w="1318" w:type="dxa"/>
            <w:vAlign w:val="center"/>
            <w:hideMark/>
          </w:tcPr>
          <w:p w:rsidR="00A6180B" w:rsidRPr="003B01CD" w:rsidRDefault="00A6180B" w:rsidP="00AF75AF">
            <w:pPr>
              <w:spacing w:line="240" w:lineRule="auto"/>
              <w:jc w:val="both"/>
              <w:rPr>
                <w:rFonts w:ascii="Arial" w:hAnsi="Arial" w:cs="Arial"/>
                <w:sz w:val="18"/>
              </w:rPr>
            </w:pPr>
            <w:r w:rsidRPr="003B01CD">
              <w:rPr>
                <w:rFonts w:ascii="Arial" w:hAnsi="Arial" w:cs="Arial"/>
                <w:sz w:val="18"/>
              </w:rPr>
              <w:t>$ 331.475.144</w:t>
            </w:r>
          </w:p>
        </w:tc>
        <w:tc>
          <w:tcPr>
            <w:tcW w:w="1318" w:type="dxa"/>
            <w:vAlign w:val="center"/>
            <w:hideMark/>
          </w:tcPr>
          <w:p w:rsidR="00A6180B" w:rsidRPr="003B01CD" w:rsidRDefault="00A6180B" w:rsidP="00AF75AF">
            <w:pPr>
              <w:spacing w:line="240" w:lineRule="auto"/>
              <w:jc w:val="both"/>
              <w:rPr>
                <w:rFonts w:ascii="Arial" w:hAnsi="Arial" w:cs="Arial"/>
                <w:sz w:val="18"/>
              </w:rPr>
            </w:pPr>
            <w:r w:rsidRPr="003B01CD">
              <w:rPr>
                <w:rFonts w:ascii="Arial" w:hAnsi="Arial" w:cs="Arial"/>
                <w:sz w:val="18"/>
              </w:rPr>
              <w:t>$ 771.989.123</w:t>
            </w:r>
          </w:p>
        </w:tc>
        <w:tc>
          <w:tcPr>
            <w:tcW w:w="1556" w:type="dxa"/>
            <w:vAlign w:val="center"/>
            <w:hideMark/>
          </w:tcPr>
          <w:p w:rsidR="00A6180B" w:rsidRPr="003B01CD" w:rsidRDefault="00A6180B" w:rsidP="00AF75AF">
            <w:pPr>
              <w:spacing w:line="240" w:lineRule="auto"/>
              <w:jc w:val="both"/>
              <w:rPr>
                <w:rFonts w:ascii="Arial" w:hAnsi="Arial" w:cs="Arial"/>
                <w:sz w:val="18"/>
              </w:rPr>
            </w:pPr>
            <w:r w:rsidRPr="003B01CD">
              <w:rPr>
                <w:rFonts w:ascii="Arial" w:hAnsi="Arial" w:cs="Arial"/>
                <w:sz w:val="18"/>
              </w:rPr>
              <w:t>$ 0</w:t>
            </w:r>
          </w:p>
        </w:tc>
        <w:tc>
          <w:tcPr>
            <w:tcW w:w="1531" w:type="dxa"/>
            <w:vAlign w:val="center"/>
            <w:hideMark/>
          </w:tcPr>
          <w:p w:rsidR="00A6180B" w:rsidRPr="003B01CD" w:rsidRDefault="00A6180B" w:rsidP="00AF75AF">
            <w:pPr>
              <w:spacing w:line="240" w:lineRule="auto"/>
              <w:jc w:val="both"/>
              <w:rPr>
                <w:rFonts w:ascii="Arial" w:hAnsi="Arial" w:cs="Arial"/>
                <w:sz w:val="18"/>
              </w:rPr>
            </w:pPr>
            <w:r w:rsidRPr="003B01CD">
              <w:rPr>
                <w:rFonts w:ascii="Arial" w:hAnsi="Arial" w:cs="Arial"/>
                <w:sz w:val="18"/>
              </w:rPr>
              <w:t>$ 5.900.359</w:t>
            </w:r>
          </w:p>
        </w:tc>
        <w:tc>
          <w:tcPr>
            <w:tcW w:w="1468" w:type="dxa"/>
            <w:shd w:val="clear" w:color="auto" w:fill="auto"/>
            <w:vAlign w:val="center"/>
            <w:hideMark/>
          </w:tcPr>
          <w:p w:rsidR="00A6180B" w:rsidRPr="003B01CD" w:rsidRDefault="00A6180B" w:rsidP="00AF75AF">
            <w:pPr>
              <w:spacing w:line="240" w:lineRule="auto"/>
              <w:jc w:val="both"/>
              <w:rPr>
                <w:rFonts w:ascii="Arial" w:hAnsi="Arial" w:cs="Arial"/>
                <w:sz w:val="18"/>
              </w:rPr>
            </w:pPr>
            <w:r w:rsidRPr="003B01CD">
              <w:rPr>
                <w:rFonts w:ascii="Arial" w:hAnsi="Arial" w:cs="Arial"/>
                <w:sz w:val="18"/>
              </w:rPr>
              <w:t>$1.109.364.626</w:t>
            </w:r>
          </w:p>
        </w:tc>
      </w:tr>
      <w:tr w:rsidR="00A6180B" w:rsidRPr="003B01CD" w:rsidTr="00B85448">
        <w:trPr>
          <w:trHeight w:val="716"/>
        </w:trPr>
        <w:tc>
          <w:tcPr>
            <w:tcW w:w="2591" w:type="dxa"/>
            <w:vAlign w:val="center"/>
            <w:hideMark/>
          </w:tcPr>
          <w:p w:rsidR="00A6180B" w:rsidRPr="003B01CD" w:rsidRDefault="00A6180B" w:rsidP="00AF75AF">
            <w:pPr>
              <w:spacing w:line="240" w:lineRule="auto"/>
              <w:jc w:val="both"/>
              <w:rPr>
                <w:rFonts w:ascii="Arial" w:hAnsi="Arial" w:cs="Arial"/>
                <w:sz w:val="18"/>
              </w:rPr>
            </w:pPr>
            <w:r w:rsidRPr="003B01CD">
              <w:rPr>
                <w:rFonts w:ascii="Arial" w:hAnsi="Arial" w:cs="Arial"/>
                <w:sz w:val="18"/>
              </w:rPr>
              <w:t>Contratos aplicados</w:t>
            </w:r>
          </w:p>
        </w:tc>
        <w:tc>
          <w:tcPr>
            <w:tcW w:w="1318" w:type="dxa"/>
            <w:vAlign w:val="center"/>
            <w:hideMark/>
          </w:tcPr>
          <w:p w:rsidR="00A6180B" w:rsidRPr="003B01CD" w:rsidRDefault="00A6180B" w:rsidP="00AF75AF">
            <w:pPr>
              <w:spacing w:line="240" w:lineRule="auto"/>
              <w:jc w:val="both"/>
              <w:rPr>
                <w:rFonts w:ascii="Arial" w:hAnsi="Arial" w:cs="Arial"/>
                <w:sz w:val="18"/>
              </w:rPr>
            </w:pPr>
            <w:r w:rsidRPr="003B01CD">
              <w:rPr>
                <w:rFonts w:ascii="Arial" w:hAnsi="Arial" w:cs="Arial"/>
                <w:sz w:val="18"/>
              </w:rPr>
              <w:t>IDU-49-2012</w:t>
            </w:r>
          </w:p>
          <w:p w:rsidR="00A6180B" w:rsidRPr="003B01CD" w:rsidRDefault="00A6180B" w:rsidP="00AF75AF">
            <w:pPr>
              <w:spacing w:line="240" w:lineRule="auto"/>
              <w:jc w:val="both"/>
              <w:rPr>
                <w:rFonts w:ascii="Arial" w:hAnsi="Arial" w:cs="Arial"/>
                <w:sz w:val="18"/>
              </w:rPr>
            </w:pPr>
            <w:r w:rsidRPr="003B01CD">
              <w:rPr>
                <w:rFonts w:ascii="Arial" w:hAnsi="Arial" w:cs="Arial"/>
                <w:sz w:val="18"/>
              </w:rPr>
              <w:t>IDU-69-2008</w:t>
            </w:r>
          </w:p>
          <w:p w:rsidR="00A6180B" w:rsidRPr="003B01CD" w:rsidRDefault="00A6180B" w:rsidP="00AF75AF">
            <w:pPr>
              <w:spacing w:line="240" w:lineRule="auto"/>
              <w:jc w:val="both"/>
              <w:rPr>
                <w:rFonts w:ascii="Arial" w:hAnsi="Arial" w:cs="Arial"/>
                <w:sz w:val="18"/>
              </w:rPr>
            </w:pPr>
            <w:r w:rsidRPr="003B01CD">
              <w:rPr>
                <w:rFonts w:ascii="Arial" w:hAnsi="Arial" w:cs="Arial"/>
                <w:sz w:val="18"/>
              </w:rPr>
              <w:t>Vigencia 2011</w:t>
            </w:r>
          </w:p>
          <w:p w:rsidR="00A6180B" w:rsidRPr="003B01CD" w:rsidRDefault="00A6180B" w:rsidP="00AF75AF">
            <w:pPr>
              <w:spacing w:line="240" w:lineRule="auto"/>
              <w:jc w:val="both"/>
              <w:rPr>
                <w:rFonts w:ascii="Arial" w:hAnsi="Arial" w:cs="Arial"/>
                <w:sz w:val="18"/>
              </w:rPr>
            </w:pPr>
            <w:r w:rsidRPr="003B01CD">
              <w:rPr>
                <w:rFonts w:ascii="Arial" w:hAnsi="Arial" w:cs="Arial"/>
                <w:sz w:val="18"/>
              </w:rPr>
              <w:t>Proceso No. 1</w:t>
            </w:r>
          </w:p>
        </w:tc>
        <w:tc>
          <w:tcPr>
            <w:tcW w:w="1318" w:type="dxa"/>
            <w:vAlign w:val="center"/>
            <w:hideMark/>
          </w:tcPr>
          <w:p w:rsidR="00A6180B" w:rsidRPr="003B01CD" w:rsidRDefault="00A6180B" w:rsidP="00AF75AF">
            <w:pPr>
              <w:spacing w:line="240" w:lineRule="auto"/>
              <w:jc w:val="both"/>
              <w:rPr>
                <w:rFonts w:ascii="Arial" w:hAnsi="Arial" w:cs="Arial"/>
                <w:sz w:val="18"/>
              </w:rPr>
            </w:pPr>
            <w:r w:rsidRPr="003B01CD">
              <w:rPr>
                <w:rFonts w:ascii="Arial" w:hAnsi="Arial" w:cs="Arial"/>
                <w:sz w:val="18"/>
              </w:rPr>
              <w:t>IDU-69-2008</w:t>
            </w:r>
          </w:p>
          <w:p w:rsidR="00A6180B" w:rsidRPr="003B01CD" w:rsidRDefault="00A6180B" w:rsidP="00AF75AF">
            <w:pPr>
              <w:spacing w:line="240" w:lineRule="auto"/>
              <w:jc w:val="both"/>
              <w:rPr>
                <w:rFonts w:ascii="Arial" w:hAnsi="Arial" w:cs="Arial"/>
                <w:sz w:val="18"/>
              </w:rPr>
            </w:pPr>
            <w:r w:rsidRPr="003B01CD">
              <w:rPr>
                <w:rFonts w:ascii="Arial" w:hAnsi="Arial" w:cs="Arial"/>
                <w:sz w:val="18"/>
              </w:rPr>
              <w:t>Vigencia  2011 Proceso No. 2</w:t>
            </w:r>
          </w:p>
        </w:tc>
        <w:tc>
          <w:tcPr>
            <w:tcW w:w="1556" w:type="dxa"/>
            <w:vAlign w:val="center"/>
            <w:hideMark/>
          </w:tcPr>
          <w:p w:rsidR="00A6180B" w:rsidRPr="003B01CD" w:rsidRDefault="00A6180B" w:rsidP="00AF75AF">
            <w:pPr>
              <w:spacing w:line="240" w:lineRule="auto"/>
              <w:jc w:val="both"/>
              <w:rPr>
                <w:rFonts w:ascii="Arial" w:hAnsi="Arial" w:cs="Arial"/>
                <w:sz w:val="18"/>
                <w:szCs w:val="20"/>
                <w:lang w:eastAsia="zh-TW"/>
              </w:rPr>
            </w:pPr>
          </w:p>
        </w:tc>
        <w:tc>
          <w:tcPr>
            <w:tcW w:w="1531" w:type="dxa"/>
            <w:vAlign w:val="center"/>
            <w:hideMark/>
          </w:tcPr>
          <w:p w:rsidR="00A6180B" w:rsidRPr="003B01CD" w:rsidRDefault="00A6180B" w:rsidP="00AF75AF">
            <w:pPr>
              <w:spacing w:line="240" w:lineRule="auto"/>
              <w:jc w:val="both"/>
              <w:rPr>
                <w:rFonts w:ascii="Arial" w:hAnsi="Arial" w:cs="Arial"/>
                <w:sz w:val="18"/>
              </w:rPr>
            </w:pPr>
            <w:r w:rsidRPr="003B01CD">
              <w:rPr>
                <w:rFonts w:ascii="Arial" w:hAnsi="Arial" w:cs="Arial"/>
                <w:sz w:val="18"/>
              </w:rPr>
              <w:t>IDU-1680-2014</w:t>
            </w:r>
          </w:p>
          <w:p w:rsidR="00A6180B" w:rsidRPr="003B01CD" w:rsidRDefault="00A6180B" w:rsidP="00AF75AF">
            <w:pPr>
              <w:spacing w:line="240" w:lineRule="auto"/>
              <w:jc w:val="both"/>
              <w:rPr>
                <w:rFonts w:ascii="Arial" w:hAnsi="Arial" w:cs="Arial"/>
                <w:sz w:val="18"/>
              </w:rPr>
            </w:pPr>
            <w:r w:rsidRPr="003B01CD">
              <w:rPr>
                <w:rFonts w:ascii="Arial" w:hAnsi="Arial" w:cs="Arial"/>
                <w:sz w:val="18"/>
              </w:rPr>
              <w:t>Proceso No. 1</w:t>
            </w:r>
          </w:p>
        </w:tc>
        <w:tc>
          <w:tcPr>
            <w:tcW w:w="1468" w:type="dxa"/>
            <w:shd w:val="clear" w:color="auto" w:fill="auto"/>
            <w:vAlign w:val="center"/>
            <w:hideMark/>
          </w:tcPr>
          <w:p w:rsidR="00A6180B" w:rsidRPr="003B01CD" w:rsidRDefault="00A6180B" w:rsidP="00AF75AF">
            <w:pPr>
              <w:spacing w:line="240" w:lineRule="auto"/>
              <w:jc w:val="both"/>
              <w:rPr>
                <w:rFonts w:ascii="Arial" w:hAnsi="Arial" w:cs="Arial"/>
                <w:sz w:val="18"/>
                <w:szCs w:val="20"/>
                <w:lang w:eastAsia="zh-TW"/>
              </w:rPr>
            </w:pPr>
          </w:p>
        </w:tc>
      </w:tr>
      <w:tr w:rsidR="00A6180B" w:rsidRPr="003B01CD" w:rsidTr="00B85448">
        <w:trPr>
          <w:trHeight w:val="235"/>
        </w:trPr>
        <w:tc>
          <w:tcPr>
            <w:tcW w:w="8314" w:type="dxa"/>
            <w:gridSpan w:val="5"/>
            <w:shd w:val="clear" w:color="auto" w:fill="BDD6EE" w:themeFill="accent1" w:themeFillTint="66"/>
            <w:vAlign w:val="center"/>
            <w:hideMark/>
          </w:tcPr>
          <w:p w:rsidR="00A6180B" w:rsidRPr="003B01CD" w:rsidRDefault="00A6180B" w:rsidP="00AF75AF">
            <w:pPr>
              <w:spacing w:line="240" w:lineRule="auto"/>
              <w:jc w:val="both"/>
              <w:rPr>
                <w:rFonts w:ascii="Arial" w:hAnsi="Arial" w:cs="Arial"/>
                <w:b/>
                <w:sz w:val="18"/>
              </w:rPr>
            </w:pPr>
            <w:r w:rsidRPr="003B01CD">
              <w:rPr>
                <w:rFonts w:ascii="Arial" w:hAnsi="Arial" w:cs="Arial"/>
                <w:b/>
                <w:sz w:val="18"/>
              </w:rPr>
              <w:t>Total recursos gestionados</w:t>
            </w:r>
          </w:p>
        </w:tc>
        <w:tc>
          <w:tcPr>
            <w:tcW w:w="1468" w:type="dxa"/>
            <w:shd w:val="clear" w:color="auto" w:fill="BDD6EE" w:themeFill="accent1" w:themeFillTint="66"/>
            <w:vAlign w:val="center"/>
            <w:hideMark/>
          </w:tcPr>
          <w:p w:rsidR="00A6180B" w:rsidRPr="003B01CD" w:rsidRDefault="00A6180B" w:rsidP="00AF75AF">
            <w:pPr>
              <w:spacing w:line="240" w:lineRule="auto"/>
              <w:jc w:val="both"/>
              <w:rPr>
                <w:rFonts w:ascii="Arial" w:hAnsi="Arial" w:cs="Arial"/>
                <w:b/>
                <w:sz w:val="18"/>
              </w:rPr>
            </w:pPr>
            <w:r w:rsidRPr="003B01CD">
              <w:rPr>
                <w:rFonts w:ascii="Arial" w:hAnsi="Arial" w:cs="Arial"/>
                <w:b/>
                <w:sz w:val="18"/>
              </w:rPr>
              <w:t>$4.873.820.414</w:t>
            </w:r>
          </w:p>
        </w:tc>
      </w:tr>
    </w:tbl>
    <w:p w:rsidR="00A6180B" w:rsidRPr="003B01CD" w:rsidRDefault="00A6180B" w:rsidP="00AF75AF">
      <w:pPr>
        <w:spacing w:line="276" w:lineRule="auto"/>
        <w:jc w:val="both"/>
        <w:rPr>
          <w:rFonts w:ascii="Arial" w:hAnsi="Arial" w:cs="Arial"/>
          <w:sz w:val="20"/>
          <w:lang w:val="es-ES" w:eastAsia="es-ES"/>
        </w:rPr>
      </w:pPr>
      <w:r w:rsidRPr="003B01CD">
        <w:rPr>
          <w:rFonts w:ascii="Arial" w:hAnsi="Arial" w:cs="Arial"/>
          <w:sz w:val="20"/>
        </w:rPr>
        <w:t>Fuente: Dirección Técnica de Administración de Infraestructura IDU</w:t>
      </w:r>
    </w:p>
    <w:p w:rsidR="00A6180B" w:rsidRPr="003B01CD" w:rsidRDefault="00A6180B" w:rsidP="00AF75AF">
      <w:pPr>
        <w:pStyle w:val="Prrafodelista"/>
        <w:spacing w:line="276" w:lineRule="auto"/>
        <w:ind w:left="567"/>
        <w:jc w:val="both"/>
        <w:rPr>
          <w:rFonts w:ascii="Arial" w:hAnsi="Arial" w:cs="Arial"/>
          <w:szCs w:val="24"/>
          <w:lang w:val="es-ES"/>
        </w:rPr>
      </w:pPr>
    </w:p>
    <w:p w:rsidR="00A6180B" w:rsidRPr="003B01CD" w:rsidRDefault="00A6180B" w:rsidP="00AF75AF">
      <w:pPr>
        <w:spacing w:line="276" w:lineRule="auto"/>
        <w:jc w:val="both"/>
        <w:rPr>
          <w:rFonts w:ascii="Arial" w:hAnsi="Arial" w:cs="Arial"/>
          <w:szCs w:val="24"/>
        </w:rPr>
      </w:pPr>
      <w:r w:rsidRPr="003B01CD">
        <w:rPr>
          <w:rFonts w:ascii="Arial" w:hAnsi="Arial" w:cs="Arial"/>
          <w:szCs w:val="24"/>
        </w:rPr>
        <w:t>Actualmente se encuentra en producción y ajustes el nuevo software de administración de la información del seguimiento a pólizas, este nuevo sistema cumple con los requerimientos tecnológicos actuales, permite la captura de información en tiempo real, agiliza los procedimientos y asegura la calidad y conservación de la información.</w:t>
      </w:r>
    </w:p>
    <w:p w:rsidR="00A6180B" w:rsidRPr="003B01CD" w:rsidRDefault="00A6180B" w:rsidP="00AF75AF">
      <w:pPr>
        <w:pStyle w:val="Prrafodelista"/>
        <w:spacing w:line="276" w:lineRule="auto"/>
        <w:ind w:left="567"/>
        <w:jc w:val="both"/>
        <w:rPr>
          <w:rFonts w:ascii="Arial" w:hAnsi="Arial" w:cs="Arial"/>
          <w:szCs w:val="24"/>
        </w:rPr>
      </w:pPr>
    </w:p>
    <w:p w:rsidR="00A6180B" w:rsidRPr="003B01CD" w:rsidRDefault="00A6180B" w:rsidP="00AF75AF">
      <w:pPr>
        <w:spacing w:line="276" w:lineRule="auto"/>
        <w:jc w:val="both"/>
        <w:rPr>
          <w:rFonts w:ascii="Arial" w:hAnsi="Arial" w:cs="Arial"/>
          <w:szCs w:val="24"/>
        </w:rPr>
      </w:pPr>
      <w:r w:rsidRPr="003B01CD">
        <w:rPr>
          <w:rFonts w:ascii="Arial" w:hAnsi="Arial" w:cs="Arial"/>
          <w:szCs w:val="24"/>
        </w:rPr>
        <w:t>En el aspecto misional de la entidad, puntualmente a través del seguimiento a pólizas de estabilidad, se dejan lecciones aprendidas, retroalimentando el ciclo del proyecto para los procesos de obra futuros, sugiriendo mejoras en cuanto a:</w:t>
      </w:r>
    </w:p>
    <w:p w:rsidR="00A6180B" w:rsidRPr="003B01CD" w:rsidRDefault="00A6180B" w:rsidP="00AF75AF">
      <w:pPr>
        <w:pStyle w:val="Prrafodelista"/>
        <w:spacing w:line="276" w:lineRule="auto"/>
        <w:jc w:val="both"/>
        <w:rPr>
          <w:rFonts w:ascii="Arial" w:hAnsi="Arial" w:cs="Arial"/>
          <w:szCs w:val="24"/>
        </w:rPr>
      </w:pPr>
    </w:p>
    <w:p w:rsidR="00A6180B" w:rsidRPr="003B01CD" w:rsidRDefault="00A6180B" w:rsidP="00D0183B">
      <w:pPr>
        <w:pStyle w:val="Prrafodelista"/>
        <w:numPr>
          <w:ilvl w:val="0"/>
          <w:numId w:val="50"/>
        </w:numPr>
        <w:spacing w:after="0" w:line="276" w:lineRule="auto"/>
        <w:ind w:left="567" w:hanging="283"/>
        <w:contextualSpacing w:val="0"/>
        <w:jc w:val="both"/>
        <w:rPr>
          <w:rFonts w:ascii="Arial" w:hAnsi="Arial" w:cs="Arial"/>
          <w:szCs w:val="24"/>
        </w:rPr>
      </w:pPr>
      <w:r w:rsidRPr="003B01CD">
        <w:rPr>
          <w:rFonts w:ascii="Arial" w:hAnsi="Arial" w:cs="Arial"/>
          <w:szCs w:val="24"/>
        </w:rPr>
        <w:t>Tipos de amparo para la estabilidad y calidad de las obras.</w:t>
      </w:r>
    </w:p>
    <w:p w:rsidR="00A6180B" w:rsidRPr="003B01CD" w:rsidRDefault="00A6180B" w:rsidP="00D0183B">
      <w:pPr>
        <w:pStyle w:val="Prrafodelista"/>
        <w:numPr>
          <w:ilvl w:val="0"/>
          <w:numId w:val="50"/>
        </w:numPr>
        <w:spacing w:after="0" w:line="276" w:lineRule="auto"/>
        <w:ind w:left="567" w:hanging="283"/>
        <w:contextualSpacing w:val="0"/>
        <w:jc w:val="both"/>
        <w:rPr>
          <w:rFonts w:ascii="Arial" w:hAnsi="Arial" w:cs="Arial"/>
          <w:szCs w:val="24"/>
        </w:rPr>
      </w:pPr>
      <w:r w:rsidRPr="003B01CD">
        <w:rPr>
          <w:rFonts w:ascii="Arial" w:hAnsi="Arial" w:cs="Arial"/>
          <w:szCs w:val="24"/>
        </w:rPr>
        <w:t>Recibo de las obras.</w:t>
      </w:r>
    </w:p>
    <w:p w:rsidR="00A6180B" w:rsidRPr="003B01CD" w:rsidRDefault="00A6180B" w:rsidP="00D0183B">
      <w:pPr>
        <w:pStyle w:val="Prrafodelista"/>
        <w:numPr>
          <w:ilvl w:val="0"/>
          <w:numId w:val="50"/>
        </w:numPr>
        <w:spacing w:after="0" w:line="276" w:lineRule="auto"/>
        <w:ind w:left="567" w:hanging="283"/>
        <w:contextualSpacing w:val="0"/>
        <w:jc w:val="both"/>
        <w:rPr>
          <w:rFonts w:ascii="Arial" w:hAnsi="Arial" w:cs="Arial"/>
          <w:szCs w:val="24"/>
        </w:rPr>
      </w:pPr>
      <w:r w:rsidRPr="003B01CD">
        <w:rPr>
          <w:rFonts w:ascii="Arial" w:hAnsi="Arial" w:cs="Arial"/>
          <w:szCs w:val="24"/>
        </w:rPr>
        <w:t>Cartilla de mantenimiento.</w:t>
      </w:r>
    </w:p>
    <w:p w:rsidR="00A6180B" w:rsidRPr="003B01CD" w:rsidRDefault="00A6180B" w:rsidP="00D0183B">
      <w:pPr>
        <w:pStyle w:val="Prrafodelista"/>
        <w:numPr>
          <w:ilvl w:val="0"/>
          <w:numId w:val="50"/>
        </w:numPr>
        <w:spacing w:after="0" w:line="276" w:lineRule="auto"/>
        <w:ind w:left="567" w:hanging="283"/>
        <w:contextualSpacing w:val="0"/>
        <w:jc w:val="both"/>
        <w:rPr>
          <w:rFonts w:ascii="Arial" w:hAnsi="Arial" w:cs="Arial"/>
          <w:szCs w:val="24"/>
        </w:rPr>
      </w:pPr>
      <w:r w:rsidRPr="003B01CD">
        <w:rPr>
          <w:rFonts w:ascii="Arial" w:hAnsi="Arial" w:cs="Arial"/>
          <w:szCs w:val="24"/>
        </w:rPr>
        <w:lastRenderedPageBreak/>
        <w:t>Tipología de daños recurrentes y falencias en prácticas constructivas.</w:t>
      </w:r>
    </w:p>
    <w:p w:rsidR="00A6180B" w:rsidRPr="00A46657" w:rsidRDefault="00A6180B" w:rsidP="00AF75AF">
      <w:pPr>
        <w:spacing w:line="276" w:lineRule="auto"/>
        <w:jc w:val="both"/>
        <w:rPr>
          <w:rFonts w:ascii="Arial" w:hAnsi="Arial" w:cs="Arial"/>
          <w:b/>
        </w:rPr>
      </w:pPr>
    </w:p>
    <w:p w:rsidR="00A6180B" w:rsidRPr="00A46657" w:rsidRDefault="00A6180B" w:rsidP="00D0183B">
      <w:pPr>
        <w:pStyle w:val="Ttulo3"/>
        <w:keepNext w:val="0"/>
        <w:keepLines w:val="0"/>
        <w:numPr>
          <w:ilvl w:val="2"/>
          <w:numId w:val="53"/>
        </w:numPr>
        <w:spacing w:before="0" w:line="276" w:lineRule="auto"/>
        <w:jc w:val="both"/>
        <w:rPr>
          <w:rFonts w:ascii="Arial" w:hAnsi="Arial" w:cs="Arial"/>
          <w:b/>
          <w:color w:val="auto"/>
          <w:lang w:val="es-ES"/>
        </w:rPr>
      </w:pPr>
      <w:bookmarkStart w:id="132" w:name="_Toc27665255"/>
      <w:bookmarkStart w:id="133" w:name="_Toc30774638"/>
      <w:r w:rsidRPr="00A46657">
        <w:rPr>
          <w:rFonts w:ascii="Arial" w:hAnsi="Arial" w:cs="Arial"/>
          <w:b/>
          <w:color w:val="auto"/>
          <w:sz w:val="22"/>
          <w:szCs w:val="22"/>
        </w:rPr>
        <w:t>EXPEDICIÓN Y RECIBO DE LICENCIAS DE EXCAVACIÓN</w:t>
      </w:r>
      <w:bookmarkEnd w:id="132"/>
      <w:bookmarkEnd w:id="133"/>
    </w:p>
    <w:p w:rsidR="00A6180B" w:rsidRPr="00A46657" w:rsidRDefault="00A6180B" w:rsidP="00AF75AF">
      <w:pPr>
        <w:spacing w:line="276" w:lineRule="auto"/>
        <w:jc w:val="both"/>
        <w:rPr>
          <w:rFonts w:ascii="Arial" w:eastAsia="Arial Unicode MS" w:hAnsi="Arial" w:cs="Arial"/>
          <w:b/>
          <w:lang w:val="es-ES"/>
        </w:rPr>
      </w:pPr>
    </w:p>
    <w:p w:rsidR="00A6180B" w:rsidRPr="003B01CD" w:rsidRDefault="00A6180B" w:rsidP="00AF75AF">
      <w:pPr>
        <w:spacing w:line="276" w:lineRule="auto"/>
        <w:jc w:val="both"/>
        <w:rPr>
          <w:rFonts w:ascii="Arial" w:eastAsia="Arial Unicode MS" w:hAnsi="Arial" w:cs="Arial"/>
        </w:rPr>
      </w:pPr>
      <w:r w:rsidRPr="003B01CD">
        <w:rPr>
          <w:rFonts w:ascii="Arial" w:eastAsia="Arial Unicode MS" w:hAnsi="Arial" w:cs="Arial"/>
        </w:rPr>
        <w:t>Durante la vigencia 2016-2019 se han otorgado 1.922 licencias de excavación y se han desistido 64 solicitudes de licencia, equivalente a 946 km lineales de intervención.</w:t>
      </w:r>
    </w:p>
    <w:p w:rsidR="00A6180B" w:rsidRPr="003B01CD" w:rsidRDefault="00A6180B" w:rsidP="00AF75AF">
      <w:pPr>
        <w:spacing w:line="276" w:lineRule="auto"/>
        <w:jc w:val="both"/>
        <w:rPr>
          <w:rFonts w:ascii="Arial" w:eastAsia="Arial Unicode MS" w:hAnsi="Arial" w:cs="Arial"/>
        </w:rPr>
      </w:pPr>
    </w:p>
    <w:p w:rsidR="00A6180B" w:rsidRPr="00AF75AF" w:rsidRDefault="00A6180B" w:rsidP="00AF75AF">
      <w:pPr>
        <w:pStyle w:val="Descripcin"/>
        <w:spacing w:after="0" w:line="276" w:lineRule="auto"/>
        <w:ind w:firstLine="708"/>
        <w:rPr>
          <w:rFonts w:ascii="Arial" w:hAnsi="Arial" w:cs="Arial"/>
          <w:color w:val="auto"/>
        </w:rPr>
      </w:pPr>
      <w:bookmarkStart w:id="134" w:name="_Toc27665370"/>
      <w:r w:rsidRPr="00AF75AF">
        <w:rPr>
          <w:rFonts w:ascii="Arial" w:hAnsi="Arial" w:cs="Arial"/>
          <w:color w:val="auto"/>
        </w:rPr>
        <w:t>Consolidado de gestión de expedición en la administración.</w:t>
      </w:r>
      <w:bookmarkEnd w:id="134"/>
    </w:p>
    <w:tbl>
      <w:tblPr>
        <w:tblW w:w="77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2263"/>
        <w:gridCol w:w="1276"/>
        <w:gridCol w:w="1276"/>
        <w:gridCol w:w="1276"/>
        <w:gridCol w:w="850"/>
        <w:gridCol w:w="850"/>
      </w:tblGrid>
      <w:tr w:rsidR="00A6180B" w:rsidRPr="003B01CD" w:rsidTr="00B85448">
        <w:trPr>
          <w:trHeight w:val="422"/>
          <w:tblHeader/>
          <w:jc w:val="center"/>
        </w:trPr>
        <w:tc>
          <w:tcPr>
            <w:tcW w:w="2263"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hAnsi="Arial" w:cs="Arial"/>
                <w:b/>
                <w:sz w:val="20"/>
                <w:lang w:eastAsia="es-ES"/>
              </w:rPr>
            </w:pPr>
            <w:r w:rsidRPr="003B01CD">
              <w:rPr>
                <w:rFonts w:ascii="Arial" w:hAnsi="Arial" w:cs="Arial"/>
                <w:b/>
                <w:sz w:val="20"/>
              </w:rPr>
              <w:t>Licencias</w:t>
            </w:r>
          </w:p>
        </w:tc>
        <w:tc>
          <w:tcPr>
            <w:tcW w:w="127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hAnsi="Arial" w:cs="Arial"/>
                <w:b/>
                <w:sz w:val="20"/>
                <w:lang w:eastAsia="es-ES"/>
              </w:rPr>
            </w:pPr>
            <w:r w:rsidRPr="003B01CD">
              <w:rPr>
                <w:rFonts w:ascii="Arial" w:hAnsi="Arial" w:cs="Arial"/>
                <w:b/>
                <w:sz w:val="20"/>
              </w:rPr>
              <w:t>2016</w:t>
            </w:r>
          </w:p>
        </w:tc>
        <w:tc>
          <w:tcPr>
            <w:tcW w:w="127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hAnsi="Arial" w:cs="Arial"/>
                <w:b/>
                <w:sz w:val="20"/>
                <w:lang w:eastAsia="es-ES"/>
              </w:rPr>
            </w:pPr>
            <w:r w:rsidRPr="003B01CD">
              <w:rPr>
                <w:rFonts w:ascii="Arial" w:hAnsi="Arial" w:cs="Arial"/>
                <w:b/>
                <w:sz w:val="20"/>
              </w:rPr>
              <w:t>2017</w:t>
            </w:r>
          </w:p>
        </w:tc>
        <w:tc>
          <w:tcPr>
            <w:tcW w:w="127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hAnsi="Arial" w:cs="Arial"/>
                <w:b/>
                <w:sz w:val="20"/>
                <w:lang w:eastAsia="es-ES"/>
              </w:rPr>
            </w:pPr>
            <w:r w:rsidRPr="003B01CD">
              <w:rPr>
                <w:rFonts w:ascii="Arial" w:hAnsi="Arial" w:cs="Arial"/>
                <w:b/>
                <w:sz w:val="20"/>
              </w:rPr>
              <w:t>2018</w:t>
            </w:r>
          </w:p>
        </w:tc>
        <w:tc>
          <w:tcPr>
            <w:tcW w:w="8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hAnsi="Arial" w:cs="Arial"/>
                <w:b/>
                <w:sz w:val="20"/>
                <w:lang w:eastAsia="es-ES"/>
              </w:rPr>
            </w:pPr>
            <w:r w:rsidRPr="003B01CD">
              <w:rPr>
                <w:rFonts w:ascii="Arial" w:hAnsi="Arial" w:cs="Arial"/>
                <w:b/>
                <w:sz w:val="20"/>
              </w:rPr>
              <w:t>2019</w:t>
            </w:r>
          </w:p>
        </w:tc>
        <w:tc>
          <w:tcPr>
            <w:tcW w:w="8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hAnsi="Arial" w:cs="Arial"/>
                <w:b/>
                <w:sz w:val="20"/>
                <w:lang w:eastAsia="es-ES"/>
              </w:rPr>
            </w:pPr>
            <w:r w:rsidRPr="003B01CD">
              <w:rPr>
                <w:rFonts w:ascii="Arial" w:hAnsi="Arial" w:cs="Arial"/>
                <w:b/>
                <w:sz w:val="20"/>
              </w:rPr>
              <w:t>Total</w:t>
            </w:r>
          </w:p>
        </w:tc>
      </w:tr>
      <w:tr w:rsidR="00A6180B" w:rsidRPr="003B01CD" w:rsidTr="00B85448">
        <w:trPr>
          <w:trHeight w:val="279"/>
          <w:jc w:val="center"/>
        </w:trPr>
        <w:tc>
          <w:tcPr>
            <w:tcW w:w="2263" w:type="dxa"/>
            <w:tcBorders>
              <w:top w:val="single" w:sz="4" w:space="0" w:color="auto"/>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Solicitadas</w:t>
            </w:r>
          </w:p>
        </w:tc>
        <w:tc>
          <w:tcPr>
            <w:tcW w:w="1276" w:type="dxa"/>
            <w:tcBorders>
              <w:top w:val="single" w:sz="4" w:space="0" w:color="auto"/>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503</w:t>
            </w:r>
          </w:p>
        </w:tc>
        <w:tc>
          <w:tcPr>
            <w:tcW w:w="1276" w:type="dxa"/>
            <w:tcBorders>
              <w:top w:val="single" w:sz="4" w:space="0" w:color="auto"/>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556</w:t>
            </w:r>
          </w:p>
        </w:tc>
        <w:tc>
          <w:tcPr>
            <w:tcW w:w="1276" w:type="dxa"/>
            <w:tcBorders>
              <w:top w:val="single" w:sz="4" w:space="0" w:color="auto"/>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532</w:t>
            </w:r>
          </w:p>
        </w:tc>
        <w:tc>
          <w:tcPr>
            <w:tcW w:w="850" w:type="dxa"/>
            <w:tcBorders>
              <w:top w:val="single" w:sz="4" w:space="0" w:color="auto"/>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443</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2.034</w:t>
            </w:r>
          </w:p>
        </w:tc>
      </w:tr>
      <w:tr w:rsidR="00A6180B" w:rsidRPr="003B01CD" w:rsidTr="00B85448">
        <w:trPr>
          <w:trHeight w:val="283"/>
          <w:jc w:val="center"/>
        </w:trPr>
        <w:tc>
          <w:tcPr>
            <w:tcW w:w="2263" w:type="dxa"/>
            <w:tcBorders>
              <w:top w:val="single" w:sz="4" w:space="0" w:color="auto"/>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Otorgadas</w:t>
            </w:r>
          </w:p>
        </w:tc>
        <w:tc>
          <w:tcPr>
            <w:tcW w:w="1276" w:type="dxa"/>
            <w:tcBorders>
              <w:top w:val="single" w:sz="4" w:space="0" w:color="auto"/>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475</w:t>
            </w:r>
          </w:p>
        </w:tc>
        <w:tc>
          <w:tcPr>
            <w:tcW w:w="1276" w:type="dxa"/>
            <w:tcBorders>
              <w:top w:val="single" w:sz="4" w:space="0" w:color="auto"/>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534</w:t>
            </w:r>
          </w:p>
        </w:tc>
        <w:tc>
          <w:tcPr>
            <w:tcW w:w="1276" w:type="dxa"/>
            <w:tcBorders>
              <w:top w:val="single" w:sz="4" w:space="0" w:color="auto"/>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490</w:t>
            </w:r>
          </w:p>
        </w:tc>
        <w:tc>
          <w:tcPr>
            <w:tcW w:w="850" w:type="dxa"/>
            <w:tcBorders>
              <w:top w:val="single" w:sz="4" w:space="0" w:color="auto"/>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423</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1.922</w:t>
            </w:r>
          </w:p>
        </w:tc>
      </w:tr>
      <w:tr w:rsidR="00A6180B" w:rsidRPr="003B01CD" w:rsidTr="00B85448">
        <w:trPr>
          <w:trHeight w:val="273"/>
          <w:jc w:val="center"/>
        </w:trPr>
        <w:tc>
          <w:tcPr>
            <w:tcW w:w="2263" w:type="dxa"/>
            <w:tcBorders>
              <w:top w:val="single" w:sz="4" w:space="0" w:color="auto"/>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Desistidas y/o negada</w:t>
            </w:r>
          </w:p>
        </w:tc>
        <w:tc>
          <w:tcPr>
            <w:tcW w:w="1276" w:type="dxa"/>
            <w:tcBorders>
              <w:top w:val="single" w:sz="4" w:space="0" w:color="auto"/>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28</w:t>
            </w:r>
          </w:p>
        </w:tc>
        <w:tc>
          <w:tcPr>
            <w:tcW w:w="1276" w:type="dxa"/>
            <w:tcBorders>
              <w:top w:val="single" w:sz="4" w:space="0" w:color="auto"/>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19</w:t>
            </w:r>
          </w:p>
        </w:tc>
        <w:tc>
          <w:tcPr>
            <w:tcW w:w="1276" w:type="dxa"/>
            <w:tcBorders>
              <w:top w:val="single" w:sz="4" w:space="0" w:color="auto"/>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9</w:t>
            </w:r>
          </w:p>
        </w:tc>
        <w:tc>
          <w:tcPr>
            <w:tcW w:w="850" w:type="dxa"/>
            <w:tcBorders>
              <w:top w:val="single" w:sz="4" w:space="0" w:color="auto"/>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8</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64</w:t>
            </w:r>
          </w:p>
        </w:tc>
      </w:tr>
      <w:tr w:rsidR="00A6180B" w:rsidRPr="003B01CD" w:rsidTr="00B85448">
        <w:trPr>
          <w:trHeight w:val="277"/>
          <w:jc w:val="center"/>
        </w:trPr>
        <w:tc>
          <w:tcPr>
            <w:tcW w:w="2263" w:type="dxa"/>
            <w:tcBorders>
              <w:top w:val="single" w:sz="4" w:space="0" w:color="auto"/>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En proceso</w:t>
            </w:r>
          </w:p>
        </w:tc>
        <w:tc>
          <w:tcPr>
            <w:tcW w:w="1276" w:type="dxa"/>
            <w:tcBorders>
              <w:top w:val="single" w:sz="4" w:space="0" w:color="auto"/>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0</w:t>
            </w:r>
          </w:p>
        </w:tc>
        <w:tc>
          <w:tcPr>
            <w:tcW w:w="1276" w:type="dxa"/>
            <w:tcBorders>
              <w:top w:val="single" w:sz="4" w:space="0" w:color="auto"/>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33</w:t>
            </w:r>
          </w:p>
        </w:tc>
        <w:tc>
          <w:tcPr>
            <w:tcW w:w="850" w:type="dxa"/>
            <w:tcBorders>
              <w:top w:val="single" w:sz="4" w:space="0" w:color="auto"/>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12</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A6180B" w:rsidRPr="003B01CD" w:rsidRDefault="00A6180B" w:rsidP="00AF75AF">
            <w:pPr>
              <w:spacing w:line="276" w:lineRule="auto"/>
              <w:jc w:val="both"/>
              <w:rPr>
                <w:rFonts w:ascii="Arial" w:hAnsi="Arial" w:cs="Arial"/>
                <w:sz w:val="20"/>
                <w:lang w:eastAsia="es-ES"/>
              </w:rPr>
            </w:pPr>
            <w:r w:rsidRPr="003B01CD">
              <w:rPr>
                <w:rFonts w:ascii="Arial" w:hAnsi="Arial" w:cs="Arial"/>
                <w:sz w:val="20"/>
              </w:rPr>
              <w:t>48</w:t>
            </w:r>
          </w:p>
        </w:tc>
      </w:tr>
    </w:tbl>
    <w:p w:rsidR="00A6180B" w:rsidRPr="003B01CD" w:rsidRDefault="00A6180B" w:rsidP="00AF75AF">
      <w:pPr>
        <w:spacing w:line="276" w:lineRule="auto"/>
        <w:jc w:val="both"/>
        <w:rPr>
          <w:rFonts w:ascii="Arial" w:hAnsi="Arial" w:cs="Arial"/>
          <w:sz w:val="20"/>
          <w:lang w:val="es-ES" w:eastAsia="es-ES"/>
        </w:rPr>
      </w:pPr>
      <w:r w:rsidRPr="003B01CD">
        <w:rPr>
          <w:rFonts w:ascii="Arial" w:hAnsi="Arial" w:cs="Arial"/>
          <w:sz w:val="20"/>
        </w:rPr>
        <w:t>Fuente: Dirección Técnica de Administración de Infraestructura IDU</w:t>
      </w:r>
    </w:p>
    <w:p w:rsidR="00A6180B" w:rsidRPr="003B01CD" w:rsidRDefault="00A6180B" w:rsidP="00AF75AF">
      <w:pPr>
        <w:spacing w:line="276" w:lineRule="auto"/>
        <w:jc w:val="both"/>
        <w:rPr>
          <w:rFonts w:ascii="Arial" w:eastAsia="Arial Unicode MS" w:hAnsi="Arial" w:cs="Arial"/>
          <w:lang w:val="es-ES"/>
        </w:rPr>
      </w:pPr>
    </w:p>
    <w:p w:rsidR="00A6180B" w:rsidRPr="003B01CD" w:rsidRDefault="00A6180B" w:rsidP="00AF75AF">
      <w:pPr>
        <w:spacing w:line="276" w:lineRule="auto"/>
        <w:jc w:val="both"/>
        <w:rPr>
          <w:rFonts w:ascii="Arial" w:eastAsia="Arial Unicode MS" w:hAnsi="Arial" w:cs="Arial"/>
        </w:rPr>
      </w:pPr>
      <w:r w:rsidRPr="003B01CD">
        <w:rPr>
          <w:rFonts w:ascii="Arial" w:eastAsia="Arial Unicode MS" w:hAnsi="Arial" w:cs="Arial"/>
        </w:rPr>
        <w:t>Se han recibido y evaluado 45.796 reportes de segmentos viales para intervención de redes de servicios públicos, se han reportado 4.735 emergencias de redes de servicios públicos, equivalente a 1.702.000 m</w:t>
      </w:r>
      <w:r w:rsidRPr="003B01CD">
        <w:rPr>
          <w:rFonts w:ascii="Arial" w:eastAsia="Arial Unicode MS" w:hAnsi="Arial" w:cs="Arial"/>
          <w:vertAlign w:val="superscript"/>
        </w:rPr>
        <w:t>2</w:t>
      </w:r>
      <w:r w:rsidRPr="003B01CD">
        <w:rPr>
          <w:rFonts w:ascii="Arial" w:eastAsia="Arial Unicode MS" w:hAnsi="Arial" w:cs="Arial"/>
        </w:rPr>
        <w:t xml:space="preserve"> de espacio público.</w:t>
      </w:r>
    </w:p>
    <w:p w:rsidR="00A6180B" w:rsidRPr="003B01CD" w:rsidRDefault="00A6180B" w:rsidP="00AF75AF">
      <w:pPr>
        <w:spacing w:line="276" w:lineRule="auto"/>
        <w:jc w:val="both"/>
        <w:rPr>
          <w:rFonts w:ascii="Arial" w:eastAsia="Arial Unicode MS" w:hAnsi="Arial" w:cs="Arial"/>
        </w:rPr>
      </w:pPr>
    </w:p>
    <w:p w:rsidR="00A6180B" w:rsidRPr="003B01CD" w:rsidRDefault="00A6180B" w:rsidP="00AF75AF">
      <w:pPr>
        <w:spacing w:line="276" w:lineRule="auto"/>
        <w:jc w:val="both"/>
        <w:rPr>
          <w:rFonts w:ascii="Arial" w:eastAsia="Arial Unicode MS" w:hAnsi="Arial" w:cs="Arial"/>
        </w:rPr>
      </w:pPr>
      <w:r w:rsidRPr="003B01CD">
        <w:rPr>
          <w:rFonts w:ascii="Arial" w:eastAsia="Arial Unicode MS" w:hAnsi="Arial" w:cs="Arial"/>
        </w:rPr>
        <w:t>En cuanto al recibo de espacio público se han expedido 950 certificados de recibo de obra, equivalente a 926.000 m</w:t>
      </w:r>
      <w:r w:rsidRPr="003B01CD">
        <w:rPr>
          <w:rFonts w:ascii="Arial" w:eastAsia="Arial Unicode MS" w:hAnsi="Arial" w:cs="Arial"/>
          <w:vertAlign w:val="superscript"/>
        </w:rPr>
        <w:t>2</w:t>
      </w:r>
      <w:r w:rsidRPr="003B01CD">
        <w:rPr>
          <w:rFonts w:ascii="Arial" w:eastAsia="Arial Unicode MS" w:hAnsi="Arial" w:cs="Arial"/>
        </w:rPr>
        <w:t xml:space="preserve"> recuperad</w:t>
      </w:r>
      <w:r w:rsidR="00A46657">
        <w:rPr>
          <w:rFonts w:ascii="Arial" w:eastAsia="Arial Unicode MS" w:hAnsi="Arial" w:cs="Arial"/>
        </w:rPr>
        <w:t>os bajo licencia de excavación.</w:t>
      </w:r>
    </w:p>
    <w:p w:rsidR="00A6180B" w:rsidRPr="00AF75AF" w:rsidRDefault="00A6180B" w:rsidP="00AF75AF">
      <w:pPr>
        <w:pStyle w:val="Descripcin"/>
        <w:spacing w:after="0"/>
        <w:ind w:firstLine="708"/>
        <w:rPr>
          <w:rFonts w:ascii="Arial" w:hAnsi="Arial" w:cs="Arial"/>
          <w:color w:val="auto"/>
        </w:rPr>
      </w:pPr>
      <w:bookmarkStart w:id="135" w:name="_Toc27665371"/>
      <w:r w:rsidRPr="00AF75AF">
        <w:rPr>
          <w:rFonts w:ascii="Arial" w:hAnsi="Arial" w:cs="Arial"/>
          <w:color w:val="auto"/>
        </w:rPr>
        <w:t>Consolidado de gestión de recibo en la administración.</w:t>
      </w:r>
      <w:bookmarkEnd w:id="135"/>
    </w:p>
    <w:tbl>
      <w:tblPr>
        <w:tblW w:w="7740" w:type="dxa"/>
        <w:jc w:val="center"/>
        <w:tblCellMar>
          <w:left w:w="70" w:type="dxa"/>
          <w:right w:w="70" w:type="dxa"/>
        </w:tblCellMar>
        <w:tblLook w:val="04A0" w:firstRow="1" w:lastRow="0" w:firstColumn="1" w:lastColumn="0" w:noHBand="0" w:noVBand="1"/>
      </w:tblPr>
      <w:tblGrid>
        <w:gridCol w:w="2740"/>
        <w:gridCol w:w="1000"/>
        <w:gridCol w:w="1000"/>
        <w:gridCol w:w="1000"/>
        <w:gridCol w:w="1000"/>
        <w:gridCol w:w="1000"/>
      </w:tblGrid>
      <w:tr w:rsidR="00A6180B" w:rsidRPr="003B01CD" w:rsidTr="00B85448">
        <w:trPr>
          <w:trHeight w:val="330"/>
          <w:jc w:val="center"/>
        </w:trPr>
        <w:tc>
          <w:tcPr>
            <w:tcW w:w="2740"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20"/>
                <w:lang w:val="es-ES" w:eastAsia="es-CO"/>
              </w:rPr>
            </w:pPr>
            <w:r w:rsidRPr="003B01CD">
              <w:rPr>
                <w:rFonts w:ascii="Arial" w:eastAsia="Arial Unicode MS" w:hAnsi="Arial" w:cs="Arial"/>
                <w:b/>
                <w:bCs/>
                <w:color w:val="000000"/>
                <w:sz w:val="20"/>
              </w:rPr>
              <w:t>Reporte</w:t>
            </w:r>
          </w:p>
        </w:tc>
        <w:tc>
          <w:tcPr>
            <w:tcW w:w="100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20"/>
                <w:lang w:val="es-ES" w:eastAsia="es-ES"/>
              </w:rPr>
            </w:pPr>
            <w:r w:rsidRPr="003B01CD">
              <w:rPr>
                <w:rFonts w:ascii="Arial" w:eastAsia="Arial Unicode MS" w:hAnsi="Arial" w:cs="Arial"/>
                <w:b/>
                <w:bCs/>
                <w:color w:val="000000"/>
                <w:sz w:val="20"/>
              </w:rPr>
              <w:t>2016</w:t>
            </w:r>
          </w:p>
        </w:tc>
        <w:tc>
          <w:tcPr>
            <w:tcW w:w="100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20"/>
                <w:lang w:val="es-ES" w:eastAsia="es-ES"/>
              </w:rPr>
            </w:pPr>
            <w:r w:rsidRPr="003B01CD">
              <w:rPr>
                <w:rFonts w:ascii="Arial" w:eastAsia="Arial Unicode MS" w:hAnsi="Arial" w:cs="Arial"/>
                <w:b/>
                <w:bCs/>
                <w:color w:val="000000"/>
                <w:sz w:val="20"/>
              </w:rPr>
              <w:t>2017</w:t>
            </w:r>
          </w:p>
        </w:tc>
        <w:tc>
          <w:tcPr>
            <w:tcW w:w="100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20"/>
                <w:lang w:val="es-ES" w:eastAsia="es-ES"/>
              </w:rPr>
            </w:pPr>
            <w:r w:rsidRPr="003B01CD">
              <w:rPr>
                <w:rFonts w:ascii="Arial" w:eastAsia="Arial Unicode MS" w:hAnsi="Arial" w:cs="Arial"/>
                <w:b/>
                <w:bCs/>
                <w:color w:val="000000"/>
                <w:sz w:val="20"/>
              </w:rPr>
              <w:t>2018</w:t>
            </w:r>
          </w:p>
        </w:tc>
        <w:tc>
          <w:tcPr>
            <w:tcW w:w="100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20"/>
                <w:lang w:val="es-ES" w:eastAsia="es-ES"/>
              </w:rPr>
            </w:pPr>
            <w:r w:rsidRPr="003B01CD">
              <w:rPr>
                <w:rFonts w:ascii="Arial" w:eastAsia="Arial Unicode MS" w:hAnsi="Arial" w:cs="Arial"/>
                <w:b/>
                <w:bCs/>
                <w:color w:val="000000"/>
                <w:sz w:val="20"/>
              </w:rPr>
              <w:t>2019</w:t>
            </w:r>
          </w:p>
        </w:tc>
        <w:tc>
          <w:tcPr>
            <w:tcW w:w="1000"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eastAsia="Arial Unicode MS" w:hAnsi="Arial" w:cs="Arial"/>
                <w:b/>
                <w:bCs/>
                <w:color w:val="000000"/>
                <w:sz w:val="20"/>
                <w:lang w:val="es-ES" w:eastAsia="es-ES"/>
              </w:rPr>
            </w:pPr>
            <w:r w:rsidRPr="003B01CD">
              <w:rPr>
                <w:rFonts w:ascii="Arial" w:eastAsia="Arial Unicode MS" w:hAnsi="Arial" w:cs="Arial"/>
                <w:b/>
                <w:bCs/>
                <w:color w:val="000000"/>
                <w:sz w:val="20"/>
              </w:rPr>
              <w:t>Total</w:t>
            </w:r>
          </w:p>
        </w:tc>
      </w:tr>
      <w:tr w:rsidR="00A6180B" w:rsidRPr="003B01CD" w:rsidTr="00B85448">
        <w:trPr>
          <w:trHeight w:val="330"/>
          <w:jc w:val="center"/>
        </w:trPr>
        <w:tc>
          <w:tcPr>
            <w:tcW w:w="2740" w:type="dxa"/>
            <w:tcBorders>
              <w:top w:val="nil"/>
              <w:left w:val="single" w:sz="4" w:space="0" w:color="auto"/>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Certificado de recibo de obra</w:t>
            </w:r>
          </w:p>
        </w:tc>
        <w:tc>
          <w:tcPr>
            <w:tcW w:w="100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349</w:t>
            </w:r>
          </w:p>
        </w:tc>
        <w:tc>
          <w:tcPr>
            <w:tcW w:w="100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350</w:t>
            </w:r>
          </w:p>
        </w:tc>
        <w:tc>
          <w:tcPr>
            <w:tcW w:w="100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96</w:t>
            </w:r>
          </w:p>
        </w:tc>
        <w:tc>
          <w:tcPr>
            <w:tcW w:w="100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155</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950</w:t>
            </w:r>
          </w:p>
        </w:tc>
      </w:tr>
      <w:tr w:rsidR="00A6180B" w:rsidRPr="003B01CD" w:rsidTr="00B85448">
        <w:trPr>
          <w:trHeight w:val="330"/>
          <w:jc w:val="center"/>
        </w:trPr>
        <w:tc>
          <w:tcPr>
            <w:tcW w:w="2740" w:type="dxa"/>
            <w:tcBorders>
              <w:top w:val="nil"/>
              <w:left w:val="single" w:sz="4" w:space="0" w:color="auto"/>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Segmentos reportados</w:t>
            </w:r>
          </w:p>
        </w:tc>
        <w:tc>
          <w:tcPr>
            <w:tcW w:w="100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14.504</w:t>
            </w:r>
          </w:p>
        </w:tc>
        <w:tc>
          <w:tcPr>
            <w:tcW w:w="100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14.600</w:t>
            </w:r>
          </w:p>
        </w:tc>
        <w:tc>
          <w:tcPr>
            <w:tcW w:w="100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8.648</w:t>
            </w:r>
          </w:p>
        </w:tc>
        <w:tc>
          <w:tcPr>
            <w:tcW w:w="100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8.044</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45.796</w:t>
            </w:r>
          </w:p>
        </w:tc>
      </w:tr>
      <w:tr w:rsidR="00A6180B" w:rsidRPr="003B01CD" w:rsidTr="00B85448">
        <w:trPr>
          <w:trHeight w:val="330"/>
          <w:jc w:val="center"/>
        </w:trPr>
        <w:tc>
          <w:tcPr>
            <w:tcW w:w="2740" w:type="dxa"/>
            <w:tcBorders>
              <w:top w:val="nil"/>
              <w:left w:val="single" w:sz="4" w:space="0" w:color="auto"/>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Emergencias autorizadas</w:t>
            </w:r>
          </w:p>
        </w:tc>
        <w:tc>
          <w:tcPr>
            <w:tcW w:w="100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2.064</w:t>
            </w:r>
          </w:p>
        </w:tc>
        <w:tc>
          <w:tcPr>
            <w:tcW w:w="100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2.064</w:t>
            </w:r>
          </w:p>
        </w:tc>
        <w:tc>
          <w:tcPr>
            <w:tcW w:w="100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215</w:t>
            </w:r>
          </w:p>
        </w:tc>
        <w:tc>
          <w:tcPr>
            <w:tcW w:w="100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392</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4.735</w:t>
            </w:r>
          </w:p>
        </w:tc>
      </w:tr>
    </w:tbl>
    <w:p w:rsidR="00A6180B" w:rsidRPr="003B01CD" w:rsidRDefault="00A6180B" w:rsidP="00AF75AF">
      <w:pPr>
        <w:spacing w:line="276" w:lineRule="auto"/>
        <w:jc w:val="both"/>
        <w:rPr>
          <w:rFonts w:ascii="Arial" w:hAnsi="Arial" w:cs="Arial"/>
          <w:sz w:val="20"/>
          <w:lang w:val="es-ES" w:eastAsia="es-ES"/>
        </w:rPr>
      </w:pPr>
      <w:r w:rsidRPr="003B01CD">
        <w:rPr>
          <w:rFonts w:ascii="Arial" w:hAnsi="Arial" w:cs="Arial"/>
          <w:sz w:val="20"/>
        </w:rPr>
        <w:t>Fuente: Dirección Técnica de Administración de Infraestructura IDU</w:t>
      </w:r>
    </w:p>
    <w:p w:rsidR="00A6180B" w:rsidRPr="003B01CD" w:rsidRDefault="00A6180B" w:rsidP="00AF75AF">
      <w:pPr>
        <w:spacing w:line="276" w:lineRule="auto"/>
        <w:jc w:val="both"/>
        <w:rPr>
          <w:rFonts w:ascii="Arial" w:eastAsia="Arial Unicode MS" w:hAnsi="Arial" w:cs="Arial"/>
          <w:lang w:val="es-ES"/>
        </w:rPr>
      </w:pPr>
    </w:p>
    <w:p w:rsidR="00A6180B" w:rsidRPr="003B01CD" w:rsidRDefault="00A6180B" w:rsidP="00AF75AF">
      <w:pPr>
        <w:spacing w:line="276" w:lineRule="auto"/>
        <w:jc w:val="both"/>
        <w:rPr>
          <w:rFonts w:ascii="Arial" w:eastAsia="Arial Unicode MS" w:hAnsi="Arial" w:cs="Arial"/>
        </w:rPr>
      </w:pPr>
      <w:r w:rsidRPr="003B01CD">
        <w:rPr>
          <w:rFonts w:ascii="Arial" w:eastAsia="Arial Unicode MS" w:hAnsi="Arial" w:cs="Arial"/>
        </w:rPr>
        <w:t>Se presidió el Comité Operativo de Obras de Infraestructura del Distrito Capital conforme a lo dispuesto en el Decreto 550 de 1998, a través del cual, se logra la coordinación frente a las intervenciones en el espacio público por redes entre las empresas de servicios públicos y el Instituto.</w:t>
      </w:r>
    </w:p>
    <w:p w:rsidR="00A6180B" w:rsidRPr="003B01CD" w:rsidRDefault="00A6180B" w:rsidP="00AF75AF">
      <w:pPr>
        <w:spacing w:line="276" w:lineRule="auto"/>
        <w:jc w:val="both"/>
        <w:rPr>
          <w:rFonts w:ascii="Arial" w:eastAsia="Arial Unicode MS" w:hAnsi="Arial" w:cs="Arial"/>
        </w:rPr>
      </w:pPr>
    </w:p>
    <w:p w:rsidR="00A6180B" w:rsidRPr="00AF75AF" w:rsidRDefault="00A6180B" w:rsidP="00AF75AF">
      <w:pPr>
        <w:spacing w:line="276" w:lineRule="auto"/>
        <w:jc w:val="both"/>
        <w:rPr>
          <w:rFonts w:ascii="Arial" w:eastAsia="Arial Unicode MS" w:hAnsi="Arial" w:cs="Arial"/>
          <w:szCs w:val="24"/>
        </w:rPr>
      </w:pPr>
      <w:r w:rsidRPr="003B01CD">
        <w:rPr>
          <w:rFonts w:ascii="Arial" w:eastAsia="Arial Unicode MS" w:hAnsi="Arial" w:cs="Arial"/>
          <w:szCs w:val="24"/>
        </w:rPr>
        <w:t>Acorde con el Decreto 1077 de 2015 la</w:t>
      </w:r>
      <w:r w:rsidR="00AF75AF">
        <w:rPr>
          <w:rFonts w:ascii="Arial" w:eastAsia="Arial Unicode MS" w:hAnsi="Arial" w:cs="Arial"/>
          <w:szCs w:val="24"/>
        </w:rPr>
        <w:t>s</w:t>
      </w:r>
      <w:r w:rsidRPr="003B01CD">
        <w:rPr>
          <w:rFonts w:ascii="Arial" w:eastAsia="Arial Unicode MS" w:hAnsi="Arial" w:cs="Arial"/>
          <w:szCs w:val="24"/>
        </w:rPr>
        <w:t xml:space="preserve"> licencias de excavación disponen de 45 días para su expedición, sin embargo, se logró la reducción del tiempo de expedición pasando a 28 días, y aún más significativamente en la actualidad se están expi</w:t>
      </w:r>
      <w:r w:rsidR="00AF75AF">
        <w:rPr>
          <w:rFonts w:ascii="Arial" w:eastAsia="Arial Unicode MS" w:hAnsi="Arial" w:cs="Arial"/>
          <w:szCs w:val="24"/>
        </w:rPr>
        <w:t xml:space="preserve">diendo en 14 días en promedio. </w:t>
      </w:r>
    </w:p>
    <w:p w:rsidR="00A6180B" w:rsidRPr="003B01CD" w:rsidRDefault="00A6180B" w:rsidP="00AF75AF">
      <w:pPr>
        <w:pStyle w:val="NormalWeb"/>
        <w:spacing w:before="0" w:beforeAutospacing="0" w:after="0" w:afterAutospacing="0" w:line="276" w:lineRule="auto"/>
        <w:jc w:val="both"/>
        <w:rPr>
          <w:rFonts w:eastAsia="Arial Unicode MS" w:cs="Arial"/>
        </w:rPr>
      </w:pPr>
    </w:p>
    <w:p w:rsidR="00A6180B" w:rsidRPr="00A46657" w:rsidRDefault="00A6180B" w:rsidP="00D0183B">
      <w:pPr>
        <w:pStyle w:val="Ttulo3"/>
        <w:keepNext w:val="0"/>
        <w:keepLines w:val="0"/>
        <w:numPr>
          <w:ilvl w:val="2"/>
          <w:numId w:val="54"/>
        </w:numPr>
        <w:tabs>
          <w:tab w:val="left" w:pos="851"/>
        </w:tabs>
        <w:spacing w:before="0" w:line="360" w:lineRule="auto"/>
        <w:jc w:val="both"/>
        <w:rPr>
          <w:rFonts w:ascii="Arial" w:hAnsi="Arial" w:cs="Arial"/>
          <w:b/>
          <w:color w:val="auto"/>
          <w:lang w:val="es-ES"/>
        </w:rPr>
      </w:pPr>
      <w:bookmarkStart w:id="136" w:name="_Toc27665256"/>
      <w:bookmarkStart w:id="137" w:name="_Toc30774639"/>
      <w:r w:rsidRPr="00A46657">
        <w:rPr>
          <w:rFonts w:ascii="Arial" w:hAnsi="Arial" w:cs="Arial"/>
          <w:b/>
          <w:color w:val="auto"/>
        </w:rPr>
        <w:t>INTERVENCIÓN DE URBANIZADORES Y/O TERCEROS</w:t>
      </w:r>
      <w:bookmarkEnd w:id="136"/>
      <w:bookmarkEnd w:id="137"/>
    </w:p>
    <w:p w:rsidR="00A6180B" w:rsidRPr="003B01CD" w:rsidRDefault="00A6180B" w:rsidP="00AF75AF">
      <w:pPr>
        <w:spacing w:line="276" w:lineRule="auto"/>
        <w:jc w:val="both"/>
        <w:rPr>
          <w:rFonts w:ascii="Arial" w:eastAsia="Arial Unicode MS" w:hAnsi="Arial" w:cs="Arial"/>
          <w:b/>
        </w:rPr>
      </w:pPr>
    </w:p>
    <w:p w:rsidR="00A6180B" w:rsidRPr="003B01CD" w:rsidRDefault="00A6180B" w:rsidP="00AF75AF">
      <w:pPr>
        <w:spacing w:line="276" w:lineRule="auto"/>
        <w:jc w:val="both"/>
        <w:rPr>
          <w:rFonts w:ascii="Arial" w:hAnsi="Arial" w:cs="Arial"/>
        </w:rPr>
      </w:pPr>
      <w:r w:rsidRPr="003B01CD">
        <w:rPr>
          <w:rFonts w:ascii="Arial" w:hAnsi="Arial" w:cs="Arial"/>
        </w:rPr>
        <w:t>Se realizó el seguimiento a los 463 proyectos equivalente a 1’693.894 m</w:t>
      </w:r>
      <w:r w:rsidRPr="003B01CD">
        <w:rPr>
          <w:rFonts w:ascii="Arial" w:hAnsi="Arial" w:cs="Arial"/>
          <w:vertAlign w:val="superscript"/>
        </w:rPr>
        <w:t>2</w:t>
      </w:r>
      <w:r w:rsidRPr="003B01CD">
        <w:rPr>
          <w:rFonts w:ascii="Arial" w:hAnsi="Arial" w:cs="Arial"/>
        </w:rPr>
        <w:t xml:space="preserve"> que se encuentran en trámite en las diferentes especialidades (topografía, pavimentos, geotecnia, espacio público, geometría, tránsito y estructuras), así: </w:t>
      </w:r>
    </w:p>
    <w:p w:rsidR="00A6180B" w:rsidRPr="003B01CD" w:rsidRDefault="00A6180B" w:rsidP="00AF75AF">
      <w:pPr>
        <w:spacing w:line="276" w:lineRule="auto"/>
        <w:jc w:val="both"/>
        <w:rPr>
          <w:rFonts w:ascii="Arial" w:hAnsi="Arial" w:cs="Arial"/>
        </w:rPr>
      </w:pPr>
    </w:p>
    <w:p w:rsidR="00A6180B" w:rsidRPr="00EA580B" w:rsidRDefault="00A6180B" w:rsidP="00AF75AF">
      <w:pPr>
        <w:pStyle w:val="Descripcin"/>
        <w:spacing w:after="0" w:line="276" w:lineRule="auto"/>
        <w:rPr>
          <w:rFonts w:ascii="Arial" w:hAnsi="Arial" w:cs="Arial"/>
          <w:color w:val="auto"/>
        </w:rPr>
      </w:pPr>
      <w:bookmarkStart w:id="138" w:name="_Toc27665372"/>
      <w:r w:rsidRPr="00EA580B">
        <w:rPr>
          <w:rFonts w:ascii="Arial" w:hAnsi="Arial" w:cs="Arial"/>
          <w:color w:val="auto"/>
        </w:rPr>
        <w:t>Proyectos de urbanizadores según estado y origen.</w:t>
      </w:r>
      <w:bookmarkEnd w:id="138"/>
    </w:p>
    <w:tbl>
      <w:tblPr>
        <w:tblW w:w="8760" w:type="dxa"/>
        <w:jc w:val="center"/>
        <w:tblCellMar>
          <w:left w:w="70" w:type="dxa"/>
          <w:right w:w="70" w:type="dxa"/>
        </w:tblCellMar>
        <w:tblLook w:val="04A0" w:firstRow="1" w:lastRow="0" w:firstColumn="1" w:lastColumn="0" w:noHBand="0" w:noVBand="1"/>
      </w:tblPr>
      <w:tblGrid>
        <w:gridCol w:w="1980"/>
        <w:gridCol w:w="1240"/>
        <w:gridCol w:w="1160"/>
        <w:gridCol w:w="1980"/>
        <w:gridCol w:w="1240"/>
        <w:gridCol w:w="1160"/>
      </w:tblGrid>
      <w:tr w:rsidR="00A6180B" w:rsidRPr="003B01CD" w:rsidTr="00B85448">
        <w:trPr>
          <w:trHeight w:val="429"/>
          <w:jc w:val="center"/>
        </w:trPr>
        <w:tc>
          <w:tcPr>
            <w:tcW w:w="1980"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20"/>
                <w:lang w:val="es-ES" w:eastAsia="es-CO"/>
              </w:rPr>
            </w:pPr>
            <w:r w:rsidRPr="003B01CD">
              <w:rPr>
                <w:rFonts w:ascii="Arial" w:eastAsia="Arial Unicode MS" w:hAnsi="Arial" w:cs="Arial"/>
                <w:b/>
                <w:bCs/>
                <w:color w:val="000000"/>
                <w:sz w:val="20"/>
              </w:rPr>
              <w:t xml:space="preserve">Estado </w:t>
            </w:r>
          </w:p>
        </w:tc>
        <w:tc>
          <w:tcPr>
            <w:tcW w:w="1240"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eastAsia="Arial Unicode MS" w:hAnsi="Arial" w:cs="Arial"/>
                <w:b/>
                <w:bCs/>
                <w:color w:val="000000"/>
                <w:sz w:val="20"/>
                <w:lang w:val="es-ES" w:eastAsia="es-ES"/>
              </w:rPr>
            </w:pPr>
            <w:r w:rsidRPr="003B01CD">
              <w:rPr>
                <w:rFonts w:ascii="Arial" w:eastAsia="Arial Unicode MS" w:hAnsi="Arial" w:cs="Arial"/>
                <w:b/>
                <w:bCs/>
                <w:color w:val="000000"/>
                <w:sz w:val="20"/>
              </w:rPr>
              <w:t xml:space="preserve">No. </w:t>
            </w:r>
            <w:r w:rsidRPr="003B01CD">
              <w:rPr>
                <w:rFonts w:ascii="Arial" w:eastAsia="Arial Unicode MS" w:hAnsi="Arial" w:cs="Arial"/>
                <w:b/>
                <w:bCs/>
                <w:color w:val="000000"/>
                <w:sz w:val="20"/>
              </w:rPr>
              <w:br/>
              <w:t>Proyectos</w:t>
            </w:r>
          </w:p>
        </w:tc>
        <w:tc>
          <w:tcPr>
            <w:tcW w:w="116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20"/>
                <w:lang w:val="es-ES" w:eastAsia="es-ES"/>
              </w:rPr>
            </w:pPr>
            <w:r w:rsidRPr="003B01CD">
              <w:rPr>
                <w:rFonts w:ascii="Arial" w:eastAsia="Arial Unicode MS" w:hAnsi="Arial" w:cs="Arial"/>
                <w:b/>
                <w:bCs/>
                <w:color w:val="000000"/>
                <w:sz w:val="20"/>
              </w:rPr>
              <w:t>Área (m²)</w:t>
            </w:r>
          </w:p>
        </w:tc>
        <w:tc>
          <w:tcPr>
            <w:tcW w:w="198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20"/>
              </w:rPr>
            </w:pPr>
            <w:r w:rsidRPr="003B01CD">
              <w:rPr>
                <w:rFonts w:ascii="Arial" w:eastAsia="Arial Unicode MS" w:hAnsi="Arial" w:cs="Arial"/>
                <w:b/>
                <w:bCs/>
                <w:color w:val="000000"/>
                <w:sz w:val="20"/>
              </w:rPr>
              <w:t xml:space="preserve">Origen </w:t>
            </w:r>
          </w:p>
        </w:tc>
        <w:tc>
          <w:tcPr>
            <w:tcW w:w="1240"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eastAsia="Arial Unicode MS" w:hAnsi="Arial" w:cs="Arial"/>
                <w:b/>
                <w:bCs/>
                <w:color w:val="000000"/>
                <w:sz w:val="20"/>
              </w:rPr>
            </w:pPr>
            <w:r w:rsidRPr="003B01CD">
              <w:rPr>
                <w:rFonts w:ascii="Arial" w:eastAsia="Arial Unicode MS" w:hAnsi="Arial" w:cs="Arial"/>
                <w:b/>
                <w:bCs/>
                <w:color w:val="000000"/>
                <w:sz w:val="20"/>
              </w:rPr>
              <w:t xml:space="preserve">No. </w:t>
            </w:r>
            <w:r w:rsidRPr="003B01CD">
              <w:rPr>
                <w:rFonts w:ascii="Arial" w:eastAsia="Arial Unicode MS" w:hAnsi="Arial" w:cs="Arial"/>
                <w:b/>
                <w:bCs/>
                <w:color w:val="000000"/>
                <w:sz w:val="20"/>
              </w:rPr>
              <w:br/>
              <w:t>Proyectos</w:t>
            </w:r>
          </w:p>
        </w:tc>
        <w:tc>
          <w:tcPr>
            <w:tcW w:w="116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20"/>
              </w:rPr>
            </w:pPr>
            <w:r w:rsidRPr="003B01CD">
              <w:rPr>
                <w:rFonts w:ascii="Arial" w:eastAsia="Arial Unicode MS" w:hAnsi="Arial" w:cs="Arial"/>
                <w:b/>
                <w:bCs/>
                <w:color w:val="000000"/>
                <w:sz w:val="20"/>
              </w:rPr>
              <w:t>Área (m²)</w:t>
            </w:r>
          </w:p>
        </w:tc>
      </w:tr>
      <w:tr w:rsidR="00A6180B" w:rsidRPr="003B01CD" w:rsidTr="00B85448">
        <w:trPr>
          <w:trHeight w:val="195"/>
          <w:jc w:val="center"/>
        </w:trPr>
        <w:tc>
          <w:tcPr>
            <w:tcW w:w="1980" w:type="dxa"/>
            <w:tcBorders>
              <w:top w:val="nil"/>
              <w:left w:val="single" w:sz="4" w:space="0" w:color="auto"/>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Suspendido</w:t>
            </w:r>
          </w:p>
        </w:tc>
        <w:tc>
          <w:tcPr>
            <w:tcW w:w="124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228</w:t>
            </w:r>
          </w:p>
        </w:tc>
        <w:tc>
          <w:tcPr>
            <w:tcW w:w="116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923.161</w:t>
            </w:r>
          </w:p>
        </w:tc>
        <w:tc>
          <w:tcPr>
            <w:tcW w:w="198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Acción Popular</w:t>
            </w:r>
          </w:p>
        </w:tc>
        <w:tc>
          <w:tcPr>
            <w:tcW w:w="124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16</w:t>
            </w:r>
          </w:p>
        </w:tc>
        <w:tc>
          <w:tcPr>
            <w:tcW w:w="116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197.751</w:t>
            </w:r>
          </w:p>
        </w:tc>
      </w:tr>
      <w:tr w:rsidR="00A6180B" w:rsidRPr="003B01CD" w:rsidTr="00B85448">
        <w:trPr>
          <w:trHeight w:val="213"/>
          <w:jc w:val="center"/>
        </w:trPr>
        <w:tc>
          <w:tcPr>
            <w:tcW w:w="1980" w:type="dxa"/>
            <w:tcBorders>
              <w:top w:val="nil"/>
              <w:left w:val="single" w:sz="4" w:space="0" w:color="auto"/>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Asesoría previa</w:t>
            </w:r>
          </w:p>
        </w:tc>
        <w:tc>
          <w:tcPr>
            <w:tcW w:w="124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122</w:t>
            </w:r>
          </w:p>
        </w:tc>
        <w:tc>
          <w:tcPr>
            <w:tcW w:w="116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197.346</w:t>
            </w:r>
          </w:p>
        </w:tc>
        <w:tc>
          <w:tcPr>
            <w:tcW w:w="198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Entrega Simplificada</w:t>
            </w:r>
          </w:p>
        </w:tc>
        <w:tc>
          <w:tcPr>
            <w:tcW w:w="124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28</w:t>
            </w:r>
          </w:p>
        </w:tc>
        <w:tc>
          <w:tcPr>
            <w:tcW w:w="116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184.966</w:t>
            </w:r>
          </w:p>
        </w:tc>
      </w:tr>
      <w:tr w:rsidR="00A6180B" w:rsidRPr="003B01CD" w:rsidTr="00B85448">
        <w:trPr>
          <w:trHeight w:val="232"/>
          <w:jc w:val="center"/>
        </w:trPr>
        <w:tc>
          <w:tcPr>
            <w:tcW w:w="1980" w:type="dxa"/>
            <w:tcBorders>
              <w:top w:val="nil"/>
              <w:left w:val="single" w:sz="4" w:space="0" w:color="auto"/>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En ejecución</w:t>
            </w:r>
          </w:p>
        </w:tc>
        <w:tc>
          <w:tcPr>
            <w:tcW w:w="124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113</w:t>
            </w:r>
          </w:p>
        </w:tc>
        <w:tc>
          <w:tcPr>
            <w:tcW w:w="116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573.387</w:t>
            </w:r>
          </w:p>
        </w:tc>
        <w:tc>
          <w:tcPr>
            <w:tcW w:w="198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Iniciativa urbanizador</w:t>
            </w:r>
          </w:p>
        </w:tc>
        <w:tc>
          <w:tcPr>
            <w:tcW w:w="124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422</w:t>
            </w:r>
          </w:p>
        </w:tc>
        <w:tc>
          <w:tcPr>
            <w:tcW w:w="116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1.329.396</w:t>
            </w:r>
          </w:p>
        </w:tc>
      </w:tr>
      <w:tr w:rsidR="00A6180B" w:rsidRPr="003B01CD" w:rsidTr="00B85448">
        <w:trPr>
          <w:trHeight w:val="330"/>
          <w:jc w:val="center"/>
        </w:trPr>
        <w:tc>
          <w:tcPr>
            <w:tcW w:w="1980" w:type="dxa"/>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20"/>
                <w:lang w:val="es-ES" w:eastAsia="es-ES"/>
              </w:rPr>
            </w:pPr>
            <w:r w:rsidRPr="003B01CD">
              <w:rPr>
                <w:rFonts w:ascii="Arial" w:eastAsia="Arial Unicode MS" w:hAnsi="Arial" w:cs="Arial"/>
                <w:b/>
                <w:bCs/>
                <w:color w:val="000000"/>
                <w:sz w:val="20"/>
              </w:rPr>
              <w:t>TOTAL</w:t>
            </w:r>
          </w:p>
        </w:tc>
        <w:tc>
          <w:tcPr>
            <w:tcW w:w="1240"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20"/>
                <w:lang w:val="es-ES" w:eastAsia="es-ES"/>
              </w:rPr>
            </w:pPr>
            <w:r w:rsidRPr="003B01CD">
              <w:rPr>
                <w:rFonts w:ascii="Arial" w:eastAsia="Arial Unicode MS" w:hAnsi="Arial" w:cs="Arial"/>
                <w:b/>
                <w:bCs/>
                <w:color w:val="000000"/>
                <w:sz w:val="20"/>
              </w:rPr>
              <w:t>463</w:t>
            </w:r>
          </w:p>
        </w:tc>
        <w:tc>
          <w:tcPr>
            <w:tcW w:w="1160"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20"/>
                <w:lang w:val="es-ES" w:eastAsia="es-ES"/>
              </w:rPr>
            </w:pPr>
            <w:r w:rsidRPr="003B01CD">
              <w:rPr>
                <w:rFonts w:ascii="Arial" w:eastAsia="Arial Unicode MS" w:hAnsi="Arial" w:cs="Arial"/>
                <w:b/>
                <w:bCs/>
                <w:color w:val="000000"/>
                <w:sz w:val="20"/>
              </w:rPr>
              <w:t>1.693.894</w:t>
            </w:r>
          </w:p>
        </w:tc>
        <w:tc>
          <w:tcPr>
            <w:tcW w:w="1980"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20"/>
                <w:lang w:val="es-ES" w:eastAsia="es-ES"/>
              </w:rPr>
            </w:pPr>
            <w:r w:rsidRPr="003B01CD">
              <w:rPr>
                <w:rFonts w:ascii="Arial" w:eastAsia="Arial Unicode MS" w:hAnsi="Arial" w:cs="Arial"/>
                <w:b/>
                <w:bCs/>
                <w:color w:val="000000"/>
                <w:sz w:val="20"/>
              </w:rPr>
              <w:t>TOTAL</w:t>
            </w:r>
          </w:p>
        </w:tc>
        <w:tc>
          <w:tcPr>
            <w:tcW w:w="1240"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20"/>
                <w:lang w:val="es-ES" w:eastAsia="es-ES"/>
              </w:rPr>
            </w:pPr>
            <w:r w:rsidRPr="003B01CD">
              <w:rPr>
                <w:rFonts w:ascii="Arial" w:eastAsia="Arial Unicode MS" w:hAnsi="Arial" w:cs="Arial"/>
                <w:b/>
                <w:bCs/>
                <w:color w:val="000000"/>
                <w:sz w:val="20"/>
              </w:rPr>
              <w:t>466</w:t>
            </w:r>
          </w:p>
        </w:tc>
        <w:tc>
          <w:tcPr>
            <w:tcW w:w="1160"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20"/>
                <w:lang w:val="es-ES" w:eastAsia="es-ES"/>
              </w:rPr>
            </w:pPr>
            <w:r w:rsidRPr="003B01CD">
              <w:rPr>
                <w:rFonts w:ascii="Arial" w:eastAsia="Arial Unicode MS" w:hAnsi="Arial" w:cs="Arial"/>
                <w:b/>
                <w:bCs/>
                <w:color w:val="000000"/>
                <w:sz w:val="20"/>
              </w:rPr>
              <w:t>1.712.113</w:t>
            </w:r>
          </w:p>
        </w:tc>
      </w:tr>
    </w:tbl>
    <w:p w:rsidR="00A6180B" w:rsidRPr="003B01CD" w:rsidRDefault="00A6180B" w:rsidP="00AF75AF">
      <w:pPr>
        <w:spacing w:line="276" w:lineRule="auto"/>
        <w:jc w:val="both"/>
        <w:rPr>
          <w:rFonts w:ascii="Arial" w:hAnsi="Arial" w:cs="Arial"/>
          <w:sz w:val="20"/>
          <w:lang w:val="es-ES" w:eastAsia="es-ES"/>
        </w:rPr>
      </w:pPr>
      <w:r w:rsidRPr="003B01CD">
        <w:rPr>
          <w:rFonts w:ascii="Arial" w:hAnsi="Arial" w:cs="Arial"/>
          <w:sz w:val="20"/>
        </w:rPr>
        <w:t>Fuente: Dirección Técnica de Administración de Infraestructura IDU</w:t>
      </w:r>
    </w:p>
    <w:p w:rsidR="00A6180B" w:rsidRPr="003B01CD" w:rsidRDefault="00A6180B" w:rsidP="00AF75AF">
      <w:pPr>
        <w:spacing w:line="276" w:lineRule="auto"/>
        <w:jc w:val="both"/>
        <w:rPr>
          <w:rFonts w:ascii="Arial" w:hAnsi="Arial" w:cs="Arial"/>
          <w:lang w:val="es-ES"/>
        </w:rPr>
      </w:pPr>
      <w:r w:rsidRPr="003B01CD">
        <w:rPr>
          <w:rFonts w:ascii="Arial" w:hAnsi="Arial" w:cs="Arial"/>
          <w:lang w:val="es-ES"/>
        </w:rPr>
        <w:t>Adicionalmente, se realizaron las siguientes actividades.</w:t>
      </w:r>
    </w:p>
    <w:p w:rsidR="00A6180B" w:rsidRPr="003B01CD" w:rsidRDefault="00A6180B" w:rsidP="00AF75AF">
      <w:pPr>
        <w:spacing w:line="276" w:lineRule="auto"/>
        <w:jc w:val="both"/>
        <w:rPr>
          <w:rFonts w:ascii="Arial" w:hAnsi="Arial" w:cs="Arial"/>
          <w:lang w:val="es-ES"/>
        </w:rPr>
      </w:pPr>
    </w:p>
    <w:p w:rsidR="00A6180B" w:rsidRPr="003B01CD" w:rsidRDefault="00A6180B" w:rsidP="00D0183B">
      <w:pPr>
        <w:pStyle w:val="Prrafodelista"/>
        <w:numPr>
          <w:ilvl w:val="0"/>
          <w:numId w:val="32"/>
        </w:numPr>
        <w:spacing w:after="0" w:line="276" w:lineRule="auto"/>
        <w:ind w:left="567" w:hanging="283"/>
        <w:contextualSpacing w:val="0"/>
        <w:jc w:val="both"/>
        <w:rPr>
          <w:rFonts w:ascii="Arial" w:hAnsi="Arial" w:cs="Arial"/>
          <w:szCs w:val="24"/>
        </w:rPr>
      </w:pPr>
      <w:r w:rsidRPr="003B01CD">
        <w:rPr>
          <w:rFonts w:ascii="Arial" w:hAnsi="Arial" w:cs="Arial"/>
          <w:szCs w:val="24"/>
        </w:rPr>
        <w:t>Asesoramiento previo a 122 proyectos equivalente a 197.346 m</w:t>
      </w:r>
      <w:r w:rsidRPr="003B01CD">
        <w:rPr>
          <w:rFonts w:ascii="Arial" w:hAnsi="Arial" w:cs="Arial"/>
          <w:szCs w:val="24"/>
          <w:vertAlign w:val="superscript"/>
        </w:rPr>
        <w:t>2</w:t>
      </w:r>
      <w:r w:rsidRPr="003B01CD">
        <w:rPr>
          <w:rFonts w:ascii="Arial" w:hAnsi="Arial" w:cs="Arial"/>
          <w:szCs w:val="24"/>
        </w:rPr>
        <w:t xml:space="preserve"> que no han realizado la radicación formal de la documentación e inicio del trámite de áreas de cesión.</w:t>
      </w:r>
    </w:p>
    <w:p w:rsidR="00A6180B" w:rsidRPr="003B01CD" w:rsidRDefault="00A6180B" w:rsidP="00AF75AF">
      <w:pPr>
        <w:pStyle w:val="Prrafodelista"/>
        <w:spacing w:line="276" w:lineRule="auto"/>
        <w:ind w:left="567" w:hanging="283"/>
        <w:contextualSpacing w:val="0"/>
        <w:jc w:val="both"/>
        <w:rPr>
          <w:rFonts w:ascii="Arial" w:hAnsi="Arial" w:cs="Arial"/>
          <w:szCs w:val="24"/>
        </w:rPr>
      </w:pPr>
    </w:p>
    <w:p w:rsidR="00A6180B" w:rsidRPr="003B01CD" w:rsidRDefault="00A6180B" w:rsidP="00D0183B">
      <w:pPr>
        <w:pStyle w:val="Prrafodelista"/>
        <w:numPr>
          <w:ilvl w:val="0"/>
          <w:numId w:val="32"/>
        </w:numPr>
        <w:spacing w:after="0" w:line="276" w:lineRule="auto"/>
        <w:ind w:left="567" w:hanging="283"/>
        <w:contextualSpacing w:val="0"/>
        <w:jc w:val="both"/>
        <w:rPr>
          <w:rFonts w:ascii="Arial" w:hAnsi="Arial" w:cs="Arial"/>
          <w:szCs w:val="24"/>
        </w:rPr>
      </w:pPr>
      <w:r w:rsidRPr="003B01CD">
        <w:rPr>
          <w:rFonts w:ascii="Arial" w:hAnsi="Arial" w:cs="Arial"/>
          <w:szCs w:val="24"/>
        </w:rPr>
        <w:t>Acompañamiento técnico a 113 proyectos equivalente a 573.387 m</w:t>
      </w:r>
      <w:r w:rsidRPr="003B01CD">
        <w:rPr>
          <w:rFonts w:ascii="Arial" w:hAnsi="Arial" w:cs="Arial"/>
          <w:szCs w:val="24"/>
          <w:vertAlign w:val="superscript"/>
        </w:rPr>
        <w:t>2</w:t>
      </w:r>
      <w:r w:rsidRPr="003B01CD">
        <w:rPr>
          <w:rFonts w:ascii="Arial" w:hAnsi="Arial" w:cs="Arial"/>
          <w:szCs w:val="24"/>
        </w:rPr>
        <w:t xml:space="preserve"> que se encuentran ejecución, así: 22 proyectos en etapa de estudios y diseños, 34 proyectos en etapa de ejecución de las obras, 38 proyectos que se encuentran en 2 etapas de manera simultánea, y 19 proyectos que se encuentran en etapa de recibo final de las obras.</w:t>
      </w:r>
    </w:p>
    <w:p w:rsidR="00A6180B" w:rsidRPr="003B01CD" w:rsidRDefault="00A6180B" w:rsidP="00AF75AF">
      <w:pPr>
        <w:pStyle w:val="Prrafodelista"/>
        <w:spacing w:line="276" w:lineRule="auto"/>
        <w:ind w:left="567" w:hanging="283"/>
        <w:contextualSpacing w:val="0"/>
        <w:jc w:val="both"/>
        <w:rPr>
          <w:rFonts w:ascii="Arial" w:hAnsi="Arial" w:cs="Arial"/>
          <w:szCs w:val="24"/>
        </w:rPr>
      </w:pPr>
    </w:p>
    <w:p w:rsidR="00A6180B" w:rsidRPr="003B01CD" w:rsidRDefault="00A6180B" w:rsidP="00D0183B">
      <w:pPr>
        <w:pStyle w:val="Prrafodelista"/>
        <w:numPr>
          <w:ilvl w:val="0"/>
          <w:numId w:val="32"/>
        </w:numPr>
        <w:spacing w:after="0" w:line="276" w:lineRule="auto"/>
        <w:ind w:left="567" w:hanging="283"/>
        <w:contextualSpacing w:val="0"/>
        <w:jc w:val="both"/>
        <w:rPr>
          <w:rFonts w:ascii="Arial" w:hAnsi="Arial" w:cs="Arial"/>
          <w:szCs w:val="24"/>
        </w:rPr>
      </w:pPr>
      <w:r w:rsidRPr="003B01CD">
        <w:rPr>
          <w:rFonts w:ascii="Arial" w:hAnsi="Arial" w:cs="Arial"/>
          <w:szCs w:val="24"/>
        </w:rPr>
        <w:lastRenderedPageBreak/>
        <w:t>Seguimiento de 228 proyectos equivalente a 923.161 m</w:t>
      </w:r>
      <w:r w:rsidRPr="003B01CD">
        <w:rPr>
          <w:rFonts w:ascii="Arial" w:hAnsi="Arial" w:cs="Arial"/>
          <w:szCs w:val="24"/>
          <w:vertAlign w:val="superscript"/>
        </w:rPr>
        <w:t>2</w:t>
      </w:r>
      <w:r w:rsidRPr="003B01CD">
        <w:rPr>
          <w:rFonts w:ascii="Arial" w:hAnsi="Arial" w:cs="Arial"/>
          <w:szCs w:val="24"/>
        </w:rPr>
        <w:t xml:space="preserve"> que se encuentran suspendidos, dado que el Urbanizador no ha realizados los ajustes solicitados por el IDU.</w:t>
      </w:r>
    </w:p>
    <w:p w:rsidR="00A6180B" w:rsidRPr="003B01CD" w:rsidRDefault="00A6180B" w:rsidP="00AF75AF">
      <w:pPr>
        <w:pStyle w:val="Prrafodelista"/>
        <w:spacing w:line="276" w:lineRule="auto"/>
        <w:ind w:left="567" w:hanging="283"/>
        <w:jc w:val="both"/>
        <w:rPr>
          <w:rFonts w:ascii="Arial" w:hAnsi="Arial" w:cs="Arial"/>
          <w:szCs w:val="24"/>
        </w:rPr>
      </w:pPr>
    </w:p>
    <w:p w:rsidR="00A6180B" w:rsidRPr="003B01CD" w:rsidRDefault="00A6180B" w:rsidP="00AF75AF">
      <w:pPr>
        <w:spacing w:line="276" w:lineRule="auto"/>
        <w:jc w:val="both"/>
        <w:rPr>
          <w:rFonts w:ascii="Arial" w:hAnsi="Arial" w:cs="Arial"/>
          <w:szCs w:val="24"/>
        </w:rPr>
      </w:pPr>
      <w:r w:rsidRPr="003B01CD">
        <w:rPr>
          <w:rFonts w:ascii="Arial" w:hAnsi="Arial" w:cs="Arial"/>
        </w:rPr>
        <w:t>Entre los proyectos antes mencionados, se encuentran 16 proyectos que corresponden a Acciones Populares falladas por vía judicial.</w:t>
      </w:r>
    </w:p>
    <w:p w:rsidR="00A6180B" w:rsidRPr="003B01CD" w:rsidRDefault="00A6180B" w:rsidP="00AF75AF">
      <w:pPr>
        <w:spacing w:line="276" w:lineRule="auto"/>
        <w:jc w:val="both"/>
        <w:rPr>
          <w:rFonts w:ascii="Arial" w:hAnsi="Arial" w:cs="Arial"/>
          <w:b/>
        </w:rPr>
      </w:pPr>
    </w:p>
    <w:p w:rsidR="00A6180B" w:rsidRPr="00EA580B" w:rsidRDefault="00A6180B" w:rsidP="00EA580B">
      <w:pPr>
        <w:pStyle w:val="Descripcin"/>
        <w:spacing w:after="0"/>
        <w:ind w:left="1416" w:firstLine="708"/>
        <w:rPr>
          <w:rFonts w:ascii="Arial" w:hAnsi="Arial" w:cs="Arial"/>
          <w:color w:val="auto"/>
        </w:rPr>
      </w:pPr>
      <w:bookmarkStart w:id="139" w:name="_Toc27665373"/>
      <w:r w:rsidRPr="00EA580B">
        <w:rPr>
          <w:rFonts w:ascii="Arial" w:hAnsi="Arial" w:cs="Arial"/>
          <w:color w:val="auto"/>
        </w:rPr>
        <w:t>Proyectos en ejecución.</w:t>
      </w:r>
      <w:bookmarkEnd w:id="139"/>
    </w:p>
    <w:tbl>
      <w:tblPr>
        <w:tblW w:w="5666" w:type="dxa"/>
        <w:jc w:val="center"/>
        <w:tblCellMar>
          <w:left w:w="70" w:type="dxa"/>
          <w:right w:w="70" w:type="dxa"/>
        </w:tblCellMar>
        <w:tblLook w:val="0420" w:firstRow="1" w:lastRow="0" w:firstColumn="0" w:lastColumn="0" w:noHBand="0" w:noVBand="1"/>
      </w:tblPr>
      <w:tblGrid>
        <w:gridCol w:w="2268"/>
        <w:gridCol w:w="1842"/>
        <w:gridCol w:w="1556"/>
      </w:tblGrid>
      <w:tr w:rsidR="00A6180B" w:rsidRPr="003B01CD" w:rsidTr="00B85448">
        <w:trPr>
          <w:trHeight w:val="393"/>
          <w:jc w:val="center"/>
        </w:trPr>
        <w:tc>
          <w:tcPr>
            <w:tcW w:w="2268"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20"/>
                <w:szCs w:val="20"/>
                <w:lang w:val="es-ES" w:eastAsia="es-CO"/>
              </w:rPr>
            </w:pPr>
            <w:r w:rsidRPr="003B01CD">
              <w:rPr>
                <w:rFonts w:ascii="Arial" w:eastAsia="Arial Unicode MS" w:hAnsi="Arial" w:cs="Arial"/>
                <w:b/>
                <w:bCs/>
                <w:color w:val="000000"/>
                <w:sz w:val="20"/>
                <w:szCs w:val="20"/>
              </w:rPr>
              <w:t>Etapa del proyecto</w:t>
            </w:r>
          </w:p>
        </w:tc>
        <w:tc>
          <w:tcPr>
            <w:tcW w:w="1842"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eastAsia="Arial Unicode MS" w:hAnsi="Arial" w:cs="Arial"/>
                <w:b/>
                <w:bCs/>
                <w:color w:val="000000"/>
                <w:sz w:val="20"/>
                <w:szCs w:val="20"/>
                <w:lang w:val="es-ES" w:eastAsia="es-ES"/>
              </w:rPr>
            </w:pPr>
            <w:r w:rsidRPr="003B01CD">
              <w:rPr>
                <w:rFonts w:ascii="Arial" w:eastAsia="Arial Unicode MS" w:hAnsi="Arial" w:cs="Arial"/>
                <w:b/>
                <w:bCs/>
                <w:color w:val="000000"/>
                <w:sz w:val="20"/>
                <w:szCs w:val="20"/>
              </w:rPr>
              <w:t>No. proyectos</w:t>
            </w:r>
          </w:p>
        </w:tc>
        <w:tc>
          <w:tcPr>
            <w:tcW w:w="155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20"/>
                <w:szCs w:val="20"/>
                <w:lang w:val="es-ES" w:eastAsia="es-ES"/>
              </w:rPr>
            </w:pPr>
            <w:r w:rsidRPr="003B01CD">
              <w:rPr>
                <w:rFonts w:ascii="Arial" w:eastAsia="Arial Unicode MS" w:hAnsi="Arial" w:cs="Arial"/>
                <w:b/>
                <w:bCs/>
                <w:color w:val="000000"/>
                <w:sz w:val="20"/>
                <w:szCs w:val="20"/>
              </w:rPr>
              <w:t>Área (m²)</w:t>
            </w:r>
          </w:p>
        </w:tc>
      </w:tr>
      <w:tr w:rsidR="00A6180B" w:rsidRPr="003B01CD" w:rsidTr="00B85448">
        <w:trPr>
          <w:trHeight w:val="330"/>
          <w:jc w:val="center"/>
        </w:trPr>
        <w:tc>
          <w:tcPr>
            <w:tcW w:w="2268" w:type="dxa"/>
            <w:tcBorders>
              <w:top w:val="nil"/>
              <w:left w:val="single" w:sz="4" w:space="0" w:color="auto"/>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szCs w:val="20"/>
                <w:lang w:val="es-ES" w:eastAsia="es-ES"/>
              </w:rPr>
            </w:pPr>
            <w:r w:rsidRPr="003B01CD">
              <w:rPr>
                <w:rFonts w:ascii="Arial" w:eastAsia="Arial Unicode MS" w:hAnsi="Arial" w:cs="Arial"/>
                <w:color w:val="000000"/>
                <w:sz w:val="20"/>
                <w:szCs w:val="20"/>
              </w:rPr>
              <w:t xml:space="preserve">Estudios y diseños </w:t>
            </w:r>
          </w:p>
        </w:tc>
        <w:tc>
          <w:tcPr>
            <w:tcW w:w="1842"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szCs w:val="20"/>
                <w:lang w:val="es-ES" w:eastAsia="es-ES"/>
              </w:rPr>
            </w:pPr>
            <w:r w:rsidRPr="003B01CD">
              <w:rPr>
                <w:rFonts w:ascii="Arial" w:eastAsia="Arial Unicode MS" w:hAnsi="Arial" w:cs="Arial"/>
                <w:color w:val="000000"/>
                <w:sz w:val="20"/>
                <w:szCs w:val="20"/>
              </w:rPr>
              <w:t>22</w:t>
            </w:r>
          </w:p>
        </w:tc>
        <w:tc>
          <w:tcPr>
            <w:tcW w:w="1556"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szCs w:val="20"/>
                <w:lang w:val="es-ES" w:eastAsia="es-ES"/>
              </w:rPr>
            </w:pPr>
            <w:r w:rsidRPr="003B01CD">
              <w:rPr>
                <w:rFonts w:ascii="Arial" w:eastAsia="Arial Unicode MS" w:hAnsi="Arial" w:cs="Arial"/>
                <w:color w:val="000000"/>
                <w:sz w:val="20"/>
                <w:szCs w:val="20"/>
              </w:rPr>
              <w:t>105.594</w:t>
            </w:r>
          </w:p>
        </w:tc>
      </w:tr>
      <w:tr w:rsidR="00A6180B" w:rsidRPr="003B01CD" w:rsidTr="00B85448">
        <w:trPr>
          <w:trHeight w:val="330"/>
          <w:jc w:val="center"/>
        </w:trPr>
        <w:tc>
          <w:tcPr>
            <w:tcW w:w="2268" w:type="dxa"/>
            <w:tcBorders>
              <w:top w:val="nil"/>
              <w:left w:val="single" w:sz="4" w:space="0" w:color="auto"/>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szCs w:val="20"/>
                <w:lang w:val="es-ES" w:eastAsia="es-ES"/>
              </w:rPr>
            </w:pPr>
            <w:r w:rsidRPr="003B01CD">
              <w:rPr>
                <w:rFonts w:ascii="Arial" w:eastAsia="Arial Unicode MS" w:hAnsi="Arial" w:cs="Arial"/>
                <w:color w:val="000000"/>
                <w:sz w:val="20"/>
                <w:szCs w:val="20"/>
              </w:rPr>
              <w:t>Ejecución de obras</w:t>
            </w:r>
          </w:p>
        </w:tc>
        <w:tc>
          <w:tcPr>
            <w:tcW w:w="1842"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szCs w:val="20"/>
                <w:lang w:val="es-ES" w:eastAsia="es-ES"/>
              </w:rPr>
            </w:pPr>
            <w:r w:rsidRPr="003B01CD">
              <w:rPr>
                <w:rFonts w:ascii="Arial" w:eastAsia="Arial Unicode MS" w:hAnsi="Arial" w:cs="Arial"/>
                <w:color w:val="000000"/>
                <w:sz w:val="20"/>
                <w:szCs w:val="20"/>
              </w:rPr>
              <w:t>34</w:t>
            </w:r>
          </w:p>
        </w:tc>
        <w:tc>
          <w:tcPr>
            <w:tcW w:w="1556"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szCs w:val="20"/>
                <w:lang w:val="es-ES" w:eastAsia="es-ES"/>
              </w:rPr>
            </w:pPr>
            <w:r w:rsidRPr="003B01CD">
              <w:rPr>
                <w:rFonts w:ascii="Arial" w:eastAsia="Arial Unicode MS" w:hAnsi="Arial" w:cs="Arial"/>
                <w:color w:val="000000"/>
                <w:sz w:val="20"/>
                <w:szCs w:val="20"/>
              </w:rPr>
              <w:t>280.973</w:t>
            </w:r>
          </w:p>
        </w:tc>
      </w:tr>
      <w:tr w:rsidR="00A6180B" w:rsidRPr="003B01CD" w:rsidTr="00B85448">
        <w:trPr>
          <w:trHeight w:val="330"/>
          <w:jc w:val="center"/>
        </w:trPr>
        <w:tc>
          <w:tcPr>
            <w:tcW w:w="2268" w:type="dxa"/>
            <w:tcBorders>
              <w:top w:val="nil"/>
              <w:left w:val="single" w:sz="4" w:space="0" w:color="auto"/>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szCs w:val="20"/>
                <w:lang w:val="es-ES" w:eastAsia="es-ES"/>
              </w:rPr>
            </w:pPr>
            <w:r w:rsidRPr="003B01CD">
              <w:rPr>
                <w:rFonts w:ascii="Arial" w:eastAsia="Arial Unicode MS" w:hAnsi="Arial" w:cs="Arial"/>
                <w:color w:val="000000"/>
                <w:sz w:val="20"/>
                <w:szCs w:val="20"/>
              </w:rPr>
              <w:t>Recibo de obras</w:t>
            </w:r>
          </w:p>
        </w:tc>
        <w:tc>
          <w:tcPr>
            <w:tcW w:w="1842"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szCs w:val="20"/>
                <w:lang w:val="es-ES" w:eastAsia="es-ES"/>
              </w:rPr>
            </w:pPr>
            <w:r w:rsidRPr="003B01CD">
              <w:rPr>
                <w:rFonts w:ascii="Arial" w:eastAsia="Arial Unicode MS" w:hAnsi="Arial" w:cs="Arial"/>
                <w:color w:val="000000"/>
                <w:sz w:val="20"/>
                <w:szCs w:val="20"/>
              </w:rPr>
              <w:t>19</w:t>
            </w:r>
          </w:p>
        </w:tc>
        <w:tc>
          <w:tcPr>
            <w:tcW w:w="1556"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szCs w:val="20"/>
                <w:lang w:val="es-ES" w:eastAsia="es-ES"/>
              </w:rPr>
            </w:pPr>
            <w:r w:rsidRPr="003B01CD">
              <w:rPr>
                <w:rFonts w:ascii="Arial" w:eastAsia="Arial Unicode MS" w:hAnsi="Arial" w:cs="Arial"/>
                <w:color w:val="000000"/>
                <w:sz w:val="20"/>
                <w:szCs w:val="20"/>
              </w:rPr>
              <w:t>87.929</w:t>
            </w:r>
          </w:p>
        </w:tc>
      </w:tr>
      <w:tr w:rsidR="00A6180B" w:rsidRPr="003B01CD" w:rsidTr="00B85448">
        <w:trPr>
          <w:trHeight w:val="330"/>
          <w:jc w:val="center"/>
        </w:trPr>
        <w:tc>
          <w:tcPr>
            <w:tcW w:w="2268" w:type="dxa"/>
            <w:tcBorders>
              <w:top w:val="nil"/>
              <w:left w:val="single" w:sz="4" w:space="0" w:color="auto"/>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szCs w:val="20"/>
                <w:lang w:val="es-ES" w:eastAsia="es-ES"/>
              </w:rPr>
            </w:pPr>
            <w:r w:rsidRPr="003B01CD">
              <w:rPr>
                <w:rFonts w:ascii="Arial" w:eastAsia="Arial Unicode MS" w:hAnsi="Arial" w:cs="Arial"/>
                <w:color w:val="000000"/>
                <w:sz w:val="20"/>
                <w:szCs w:val="20"/>
              </w:rPr>
              <w:t>En 2 estados</w:t>
            </w:r>
          </w:p>
        </w:tc>
        <w:tc>
          <w:tcPr>
            <w:tcW w:w="1842"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szCs w:val="20"/>
                <w:lang w:val="es-ES" w:eastAsia="es-ES"/>
              </w:rPr>
            </w:pPr>
            <w:r w:rsidRPr="003B01CD">
              <w:rPr>
                <w:rFonts w:ascii="Arial" w:eastAsia="Arial Unicode MS" w:hAnsi="Arial" w:cs="Arial"/>
                <w:color w:val="000000"/>
                <w:sz w:val="20"/>
                <w:szCs w:val="20"/>
              </w:rPr>
              <w:t>38</w:t>
            </w:r>
          </w:p>
        </w:tc>
        <w:tc>
          <w:tcPr>
            <w:tcW w:w="1556"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20"/>
                <w:szCs w:val="20"/>
                <w:lang w:val="es-ES" w:eastAsia="es-ES"/>
              </w:rPr>
            </w:pPr>
            <w:r w:rsidRPr="003B01CD">
              <w:rPr>
                <w:rFonts w:ascii="Arial" w:eastAsia="Arial Unicode MS" w:hAnsi="Arial" w:cs="Arial"/>
                <w:color w:val="000000"/>
                <w:sz w:val="20"/>
                <w:szCs w:val="20"/>
              </w:rPr>
              <w:t>98.891</w:t>
            </w:r>
          </w:p>
        </w:tc>
      </w:tr>
      <w:tr w:rsidR="00A6180B" w:rsidRPr="003B01CD" w:rsidTr="00B85448">
        <w:trPr>
          <w:trHeight w:val="330"/>
          <w:jc w:val="center"/>
        </w:trPr>
        <w:tc>
          <w:tcPr>
            <w:tcW w:w="2268" w:type="dxa"/>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20"/>
                <w:szCs w:val="20"/>
                <w:lang w:val="es-ES" w:eastAsia="es-ES"/>
              </w:rPr>
            </w:pPr>
            <w:r w:rsidRPr="003B01CD">
              <w:rPr>
                <w:rFonts w:ascii="Arial" w:eastAsia="Arial Unicode MS" w:hAnsi="Arial" w:cs="Arial"/>
                <w:b/>
                <w:bCs/>
                <w:color w:val="000000"/>
                <w:sz w:val="20"/>
                <w:szCs w:val="20"/>
              </w:rPr>
              <w:t>TOTAL</w:t>
            </w:r>
          </w:p>
        </w:tc>
        <w:tc>
          <w:tcPr>
            <w:tcW w:w="1842"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20"/>
                <w:szCs w:val="20"/>
                <w:lang w:val="es-ES" w:eastAsia="es-ES"/>
              </w:rPr>
            </w:pPr>
            <w:r w:rsidRPr="003B01CD">
              <w:rPr>
                <w:rFonts w:ascii="Arial" w:eastAsia="Arial Unicode MS" w:hAnsi="Arial" w:cs="Arial"/>
                <w:b/>
                <w:bCs/>
                <w:color w:val="000000"/>
                <w:sz w:val="20"/>
                <w:szCs w:val="20"/>
              </w:rPr>
              <w:t>113</w:t>
            </w:r>
          </w:p>
        </w:tc>
        <w:tc>
          <w:tcPr>
            <w:tcW w:w="1556"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20"/>
                <w:szCs w:val="20"/>
                <w:lang w:val="es-ES" w:eastAsia="es-ES"/>
              </w:rPr>
            </w:pPr>
            <w:r w:rsidRPr="003B01CD">
              <w:rPr>
                <w:rFonts w:ascii="Arial" w:eastAsia="Arial Unicode MS" w:hAnsi="Arial" w:cs="Arial"/>
                <w:b/>
                <w:bCs/>
                <w:color w:val="000000"/>
                <w:sz w:val="20"/>
                <w:szCs w:val="20"/>
              </w:rPr>
              <w:t>573.387</w:t>
            </w:r>
          </w:p>
        </w:tc>
      </w:tr>
    </w:tbl>
    <w:p w:rsidR="00A6180B" w:rsidRPr="003B01CD" w:rsidRDefault="00A6180B" w:rsidP="00E179D8">
      <w:pPr>
        <w:spacing w:line="276" w:lineRule="auto"/>
        <w:jc w:val="center"/>
        <w:rPr>
          <w:rFonts w:ascii="Arial" w:hAnsi="Arial" w:cs="Arial"/>
          <w:sz w:val="20"/>
          <w:lang w:val="es-ES" w:eastAsia="es-ES"/>
        </w:rPr>
      </w:pPr>
      <w:r w:rsidRPr="003B01CD">
        <w:rPr>
          <w:rFonts w:ascii="Arial" w:hAnsi="Arial" w:cs="Arial"/>
          <w:sz w:val="20"/>
        </w:rPr>
        <w:t>Fuente: Dirección Técnica de Administración de Infraestructura IDU</w:t>
      </w:r>
    </w:p>
    <w:p w:rsidR="00A6180B" w:rsidRPr="003B01CD" w:rsidRDefault="00A6180B" w:rsidP="00AF75AF">
      <w:pPr>
        <w:spacing w:line="276" w:lineRule="auto"/>
        <w:jc w:val="both"/>
        <w:rPr>
          <w:rFonts w:ascii="Arial" w:hAnsi="Arial" w:cs="Arial"/>
          <w:lang w:val="es-ES"/>
        </w:rPr>
      </w:pPr>
    </w:p>
    <w:p w:rsidR="00A6180B" w:rsidRPr="003B01CD" w:rsidRDefault="00A6180B" w:rsidP="00AF75AF">
      <w:pPr>
        <w:spacing w:line="276" w:lineRule="auto"/>
        <w:jc w:val="both"/>
        <w:rPr>
          <w:rFonts w:ascii="Arial" w:hAnsi="Arial" w:cs="Arial"/>
        </w:rPr>
      </w:pPr>
      <w:r w:rsidRPr="003B01CD">
        <w:rPr>
          <w:rFonts w:ascii="Arial" w:hAnsi="Arial" w:cs="Arial"/>
        </w:rPr>
        <w:t>En el periodo 2016-2019, se emitieron 4.156 conceptos técnicos correspondientes a proyectos en ejecución, se realizó el seguimiento a la ejecución y recibo de las obras a través de 2.065 visitas a terreno y finalmente se realizaron 1.344 mesas de trabajo y reuniones para asesorar o revisar ajustes de observaciones y así lograr agilizar el trámite por parte del Urbanizador.</w:t>
      </w:r>
    </w:p>
    <w:p w:rsidR="00A6180B" w:rsidRPr="003B01CD" w:rsidRDefault="00A6180B" w:rsidP="00AF75AF">
      <w:pPr>
        <w:spacing w:line="276" w:lineRule="auto"/>
        <w:jc w:val="both"/>
        <w:rPr>
          <w:rFonts w:ascii="Arial" w:hAnsi="Arial" w:cs="Arial"/>
        </w:rPr>
      </w:pPr>
    </w:p>
    <w:p w:rsidR="00A6180B" w:rsidRPr="003B01CD" w:rsidRDefault="00A6180B" w:rsidP="00AF75AF">
      <w:pPr>
        <w:spacing w:line="276" w:lineRule="auto"/>
        <w:jc w:val="both"/>
        <w:rPr>
          <w:rFonts w:ascii="Arial" w:hAnsi="Arial" w:cs="Arial"/>
        </w:rPr>
      </w:pPr>
      <w:r w:rsidRPr="003B01CD">
        <w:rPr>
          <w:rFonts w:ascii="Arial" w:hAnsi="Arial" w:cs="Arial"/>
        </w:rPr>
        <w:t>Así mismo, para el periodo 2016-2019, se ha realizado el recibo de 87 proyectos equivalentes a 362.460 m² de espacio público discriminados así: 268.000 m² que corresponden a 65 desarrollos urbanísticos a los cuales se efectuó acompañamiento y seguimiento técnico del proceso, 94.120 m² que corresponden a 21 proyectos que se recibieron mediante la modalidad de entrega simplificada según el Decreto 545 de 2016, y 340 m</w:t>
      </w:r>
      <w:r w:rsidRPr="003B01CD">
        <w:rPr>
          <w:rFonts w:ascii="Arial" w:hAnsi="Arial" w:cs="Arial"/>
          <w:vertAlign w:val="superscript"/>
        </w:rPr>
        <w:t>2</w:t>
      </w:r>
      <w:r w:rsidRPr="003B01CD">
        <w:rPr>
          <w:rFonts w:ascii="Arial" w:hAnsi="Arial" w:cs="Arial"/>
        </w:rPr>
        <w:t xml:space="preserve"> que corresponde a 1 proyecto recibido mediante acción popular adelantada por el DADEP. </w:t>
      </w:r>
    </w:p>
    <w:p w:rsidR="00AF75AF" w:rsidRDefault="00AF75AF" w:rsidP="00AF75AF">
      <w:pPr>
        <w:spacing w:line="276" w:lineRule="auto"/>
        <w:jc w:val="both"/>
        <w:rPr>
          <w:rFonts w:ascii="Arial" w:hAnsi="Arial" w:cs="Arial"/>
        </w:rPr>
      </w:pPr>
    </w:p>
    <w:p w:rsidR="00E179D8" w:rsidRDefault="00E179D8" w:rsidP="00AF75AF">
      <w:pPr>
        <w:spacing w:line="276" w:lineRule="auto"/>
        <w:jc w:val="both"/>
        <w:rPr>
          <w:rFonts w:ascii="Arial" w:hAnsi="Arial" w:cs="Arial"/>
        </w:rPr>
      </w:pPr>
    </w:p>
    <w:p w:rsidR="00E179D8" w:rsidRDefault="00E179D8" w:rsidP="00AF75AF">
      <w:pPr>
        <w:spacing w:line="276" w:lineRule="auto"/>
        <w:jc w:val="both"/>
        <w:rPr>
          <w:rFonts w:ascii="Arial" w:hAnsi="Arial" w:cs="Arial"/>
        </w:rPr>
      </w:pPr>
    </w:p>
    <w:p w:rsidR="00E179D8" w:rsidRDefault="00E179D8" w:rsidP="00AF75AF">
      <w:pPr>
        <w:spacing w:line="276" w:lineRule="auto"/>
        <w:jc w:val="both"/>
        <w:rPr>
          <w:rFonts w:ascii="Arial" w:hAnsi="Arial" w:cs="Arial"/>
        </w:rPr>
      </w:pPr>
    </w:p>
    <w:p w:rsidR="00E179D8" w:rsidRPr="003B01CD" w:rsidRDefault="00E179D8" w:rsidP="00AF75AF">
      <w:pPr>
        <w:spacing w:line="276" w:lineRule="auto"/>
        <w:jc w:val="both"/>
        <w:rPr>
          <w:rFonts w:ascii="Arial" w:hAnsi="Arial" w:cs="Arial"/>
        </w:rPr>
      </w:pPr>
    </w:p>
    <w:p w:rsidR="00A6180B" w:rsidRPr="00EA580B" w:rsidRDefault="00A6180B" w:rsidP="00AF75AF">
      <w:pPr>
        <w:pStyle w:val="Descripcin"/>
        <w:spacing w:after="0"/>
        <w:rPr>
          <w:rFonts w:ascii="Arial" w:hAnsi="Arial" w:cs="Arial"/>
          <w:color w:val="auto"/>
        </w:rPr>
      </w:pPr>
      <w:bookmarkStart w:id="140" w:name="_Toc27665374"/>
      <w:r w:rsidRPr="00EA580B">
        <w:rPr>
          <w:rFonts w:ascii="Arial" w:hAnsi="Arial" w:cs="Arial"/>
          <w:color w:val="auto"/>
        </w:rPr>
        <w:t>Proyectos recibidos.</w:t>
      </w:r>
      <w:bookmarkEnd w:id="140"/>
    </w:p>
    <w:tbl>
      <w:tblPr>
        <w:tblW w:w="9480" w:type="dxa"/>
        <w:tblInd w:w="-5" w:type="dxa"/>
        <w:tblCellMar>
          <w:left w:w="70" w:type="dxa"/>
          <w:right w:w="70" w:type="dxa"/>
        </w:tblCellMar>
        <w:tblLook w:val="0420" w:firstRow="1" w:lastRow="0" w:firstColumn="0" w:lastColumn="0" w:noHBand="0" w:noVBand="1"/>
      </w:tblPr>
      <w:tblGrid>
        <w:gridCol w:w="2080"/>
        <w:gridCol w:w="495"/>
        <w:gridCol w:w="992"/>
        <w:gridCol w:w="495"/>
        <w:gridCol w:w="935"/>
        <w:gridCol w:w="495"/>
        <w:gridCol w:w="976"/>
        <w:gridCol w:w="495"/>
        <w:gridCol w:w="975"/>
        <w:gridCol w:w="725"/>
        <w:gridCol w:w="976"/>
      </w:tblGrid>
      <w:tr w:rsidR="00A6180B" w:rsidRPr="003B01CD" w:rsidTr="00B85448">
        <w:trPr>
          <w:trHeight w:val="330"/>
        </w:trPr>
        <w:tc>
          <w:tcPr>
            <w:tcW w:w="2080"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CO"/>
              </w:rPr>
            </w:pPr>
            <w:r w:rsidRPr="003B01CD">
              <w:rPr>
                <w:rFonts w:ascii="Arial" w:eastAsia="Arial Unicode MS" w:hAnsi="Arial" w:cs="Arial"/>
                <w:b/>
                <w:bCs/>
                <w:color w:val="000000"/>
              </w:rPr>
              <w:t>Origen del Proceso</w:t>
            </w:r>
          </w:p>
        </w:tc>
        <w:tc>
          <w:tcPr>
            <w:tcW w:w="1464" w:type="dxa"/>
            <w:gridSpan w:val="2"/>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2016</w:t>
            </w:r>
          </w:p>
        </w:tc>
        <w:tc>
          <w:tcPr>
            <w:tcW w:w="1366" w:type="dxa"/>
            <w:gridSpan w:val="2"/>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2017</w:t>
            </w:r>
          </w:p>
        </w:tc>
        <w:tc>
          <w:tcPr>
            <w:tcW w:w="1453" w:type="dxa"/>
            <w:gridSpan w:val="2"/>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2018</w:t>
            </w:r>
          </w:p>
        </w:tc>
        <w:tc>
          <w:tcPr>
            <w:tcW w:w="1416" w:type="dxa"/>
            <w:gridSpan w:val="2"/>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2019</w:t>
            </w:r>
          </w:p>
        </w:tc>
        <w:tc>
          <w:tcPr>
            <w:tcW w:w="1701" w:type="dxa"/>
            <w:gridSpan w:val="2"/>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2016-2019</w:t>
            </w:r>
          </w:p>
        </w:tc>
      </w:tr>
      <w:tr w:rsidR="00A6180B" w:rsidRPr="003B01CD" w:rsidTr="00B85448">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CO"/>
              </w:rPr>
            </w:pPr>
          </w:p>
        </w:tc>
        <w:tc>
          <w:tcPr>
            <w:tcW w:w="472"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No.</w:t>
            </w:r>
          </w:p>
        </w:tc>
        <w:tc>
          <w:tcPr>
            <w:tcW w:w="992"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Área (m²)</w:t>
            </w:r>
          </w:p>
        </w:tc>
        <w:tc>
          <w:tcPr>
            <w:tcW w:w="431"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No.</w:t>
            </w:r>
          </w:p>
        </w:tc>
        <w:tc>
          <w:tcPr>
            <w:tcW w:w="935"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Área (m²)</w:t>
            </w:r>
          </w:p>
        </w:tc>
        <w:tc>
          <w:tcPr>
            <w:tcW w:w="477"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No.</w:t>
            </w:r>
          </w:p>
        </w:tc>
        <w:tc>
          <w:tcPr>
            <w:tcW w:w="976"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Área (m²)</w:t>
            </w:r>
          </w:p>
        </w:tc>
        <w:tc>
          <w:tcPr>
            <w:tcW w:w="441"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No.</w:t>
            </w:r>
          </w:p>
        </w:tc>
        <w:tc>
          <w:tcPr>
            <w:tcW w:w="975"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Área (m²)</w:t>
            </w:r>
          </w:p>
        </w:tc>
        <w:tc>
          <w:tcPr>
            <w:tcW w:w="725"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No.</w:t>
            </w:r>
          </w:p>
        </w:tc>
        <w:tc>
          <w:tcPr>
            <w:tcW w:w="976"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Área (m²)</w:t>
            </w:r>
          </w:p>
        </w:tc>
      </w:tr>
      <w:tr w:rsidR="00A6180B" w:rsidRPr="003B01CD" w:rsidTr="00B85448">
        <w:trPr>
          <w:trHeight w:val="330"/>
        </w:trPr>
        <w:tc>
          <w:tcPr>
            <w:tcW w:w="2080" w:type="dxa"/>
            <w:tcBorders>
              <w:top w:val="nil"/>
              <w:left w:val="single" w:sz="4" w:space="0" w:color="auto"/>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Iniciativa Urbanizadores</w:t>
            </w:r>
          </w:p>
        </w:tc>
        <w:tc>
          <w:tcPr>
            <w:tcW w:w="472"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22</w:t>
            </w:r>
          </w:p>
        </w:tc>
        <w:tc>
          <w:tcPr>
            <w:tcW w:w="992"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154.325</w:t>
            </w:r>
          </w:p>
        </w:tc>
        <w:tc>
          <w:tcPr>
            <w:tcW w:w="431"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20</w:t>
            </w:r>
          </w:p>
        </w:tc>
        <w:tc>
          <w:tcPr>
            <w:tcW w:w="935"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39.525</w:t>
            </w:r>
          </w:p>
        </w:tc>
        <w:tc>
          <w:tcPr>
            <w:tcW w:w="477"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12</w:t>
            </w:r>
          </w:p>
        </w:tc>
        <w:tc>
          <w:tcPr>
            <w:tcW w:w="976"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23.300</w:t>
            </w:r>
          </w:p>
        </w:tc>
        <w:tc>
          <w:tcPr>
            <w:tcW w:w="441"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11</w:t>
            </w:r>
          </w:p>
        </w:tc>
        <w:tc>
          <w:tcPr>
            <w:tcW w:w="975"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50.850</w:t>
            </w:r>
          </w:p>
        </w:tc>
        <w:tc>
          <w:tcPr>
            <w:tcW w:w="725"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65</w:t>
            </w:r>
          </w:p>
        </w:tc>
        <w:tc>
          <w:tcPr>
            <w:tcW w:w="976"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268.000</w:t>
            </w:r>
          </w:p>
        </w:tc>
      </w:tr>
      <w:tr w:rsidR="00A6180B" w:rsidRPr="003B01CD" w:rsidTr="00B85448">
        <w:trPr>
          <w:trHeight w:val="330"/>
        </w:trPr>
        <w:tc>
          <w:tcPr>
            <w:tcW w:w="2080" w:type="dxa"/>
            <w:tcBorders>
              <w:top w:val="nil"/>
              <w:left w:val="single" w:sz="4" w:space="0" w:color="auto"/>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Entrega Simplificada</w:t>
            </w:r>
          </w:p>
        </w:tc>
        <w:tc>
          <w:tcPr>
            <w:tcW w:w="472"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w:t>
            </w:r>
          </w:p>
        </w:tc>
        <w:tc>
          <w:tcPr>
            <w:tcW w:w="992"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w:t>
            </w:r>
          </w:p>
        </w:tc>
        <w:tc>
          <w:tcPr>
            <w:tcW w:w="431"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5</w:t>
            </w:r>
          </w:p>
        </w:tc>
        <w:tc>
          <w:tcPr>
            <w:tcW w:w="935"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21.830</w:t>
            </w:r>
          </w:p>
        </w:tc>
        <w:tc>
          <w:tcPr>
            <w:tcW w:w="477"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8</w:t>
            </w:r>
          </w:p>
        </w:tc>
        <w:tc>
          <w:tcPr>
            <w:tcW w:w="976"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35.211</w:t>
            </w:r>
          </w:p>
        </w:tc>
        <w:tc>
          <w:tcPr>
            <w:tcW w:w="441"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8</w:t>
            </w:r>
          </w:p>
        </w:tc>
        <w:tc>
          <w:tcPr>
            <w:tcW w:w="975"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37.079</w:t>
            </w:r>
          </w:p>
        </w:tc>
        <w:tc>
          <w:tcPr>
            <w:tcW w:w="725"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21</w:t>
            </w:r>
          </w:p>
        </w:tc>
        <w:tc>
          <w:tcPr>
            <w:tcW w:w="976"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94.120</w:t>
            </w:r>
          </w:p>
        </w:tc>
      </w:tr>
      <w:tr w:rsidR="00A6180B" w:rsidRPr="003B01CD" w:rsidTr="00B85448">
        <w:trPr>
          <w:trHeight w:val="330"/>
        </w:trPr>
        <w:tc>
          <w:tcPr>
            <w:tcW w:w="2080" w:type="dxa"/>
            <w:tcBorders>
              <w:top w:val="nil"/>
              <w:left w:val="single" w:sz="4" w:space="0" w:color="auto"/>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Acción Popular</w:t>
            </w:r>
          </w:p>
        </w:tc>
        <w:tc>
          <w:tcPr>
            <w:tcW w:w="472"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w:t>
            </w:r>
          </w:p>
        </w:tc>
        <w:tc>
          <w:tcPr>
            <w:tcW w:w="992"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w:t>
            </w:r>
          </w:p>
        </w:tc>
        <w:tc>
          <w:tcPr>
            <w:tcW w:w="431"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1</w:t>
            </w:r>
          </w:p>
        </w:tc>
        <w:tc>
          <w:tcPr>
            <w:tcW w:w="935"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340</w:t>
            </w:r>
          </w:p>
        </w:tc>
        <w:tc>
          <w:tcPr>
            <w:tcW w:w="477"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w:t>
            </w:r>
          </w:p>
        </w:tc>
        <w:tc>
          <w:tcPr>
            <w:tcW w:w="976"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w:t>
            </w:r>
          </w:p>
        </w:tc>
        <w:tc>
          <w:tcPr>
            <w:tcW w:w="441"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w:t>
            </w:r>
          </w:p>
        </w:tc>
        <w:tc>
          <w:tcPr>
            <w:tcW w:w="975"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w:t>
            </w:r>
          </w:p>
        </w:tc>
        <w:tc>
          <w:tcPr>
            <w:tcW w:w="725"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1</w:t>
            </w:r>
          </w:p>
        </w:tc>
        <w:tc>
          <w:tcPr>
            <w:tcW w:w="976"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lang w:val="es-ES" w:eastAsia="es-ES"/>
              </w:rPr>
            </w:pPr>
            <w:r w:rsidRPr="003B01CD">
              <w:rPr>
                <w:rFonts w:ascii="Arial" w:eastAsia="Arial Unicode MS" w:hAnsi="Arial" w:cs="Arial"/>
                <w:color w:val="000000"/>
              </w:rPr>
              <w:t>340</w:t>
            </w:r>
          </w:p>
        </w:tc>
      </w:tr>
      <w:tr w:rsidR="00A6180B" w:rsidRPr="003B01CD" w:rsidTr="00B85448">
        <w:trPr>
          <w:trHeight w:val="330"/>
        </w:trPr>
        <w:tc>
          <w:tcPr>
            <w:tcW w:w="2080" w:type="dxa"/>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TOTAL</w:t>
            </w:r>
          </w:p>
        </w:tc>
        <w:tc>
          <w:tcPr>
            <w:tcW w:w="472"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22</w:t>
            </w:r>
          </w:p>
        </w:tc>
        <w:tc>
          <w:tcPr>
            <w:tcW w:w="992"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154.325</w:t>
            </w:r>
          </w:p>
        </w:tc>
        <w:tc>
          <w:tcPr>
            <w:tcW w:w="431"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26</w:t>
            </w:r>
          </w:p>
        </w:tc>
        <w:tc>
          <w:tcPr>
            <w:tcW w:w="935"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61.695</w:t>
            </w:r>
          </w:p>
        </w:tc>
        <w:tc>
          <w:tcPr>
            <w:tcW w:w="477"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20</w:t>
            </w:r>
          </w:p>
        </w:tc>
        <w:tc>
          <w:tcPr>
            <w:tcW w:w="976"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58.511</w:t>
            </w:r>
          </w:p>
        </w:tc>
        <w:tc>
          <w:tcPr>
            <w:tcW w:w="441"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19</w:t>
            </w:r>
          </w:p>
        </w:tc>
        <w:tc>
          <w:tcPr>
            <w:tcW w:w="975"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87.929</w:t>
            </w:r>
          </w:p>
        </w:tc>
        <w:tc>
          <w:tcPr>
            <w:tcW w:w="725"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87</w:t>
            </w:r>
          </w:p>
        </w:tc>
        <w:tc>
          <w:tcPr>
            <w:tcW w:w="976"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lang w:val="es-ES" w:eastAsia="es-ES"/>
              </w:rPr>
            </w:pPr>
            <w:r w:rsidRPr="003B01CD">
              <w:rPr>
                <w:rFonts w:ascii="Arial" w:eastAsia="Arial Unicode MS" w:hAnsi="Arial" w:cs="Arial"/>
                <w:b/>
                <w:bCs/>
                <w:color w:val="000000"/>
              </w:rPr>
              <w:t>362.460</w:t>
            </w:r>
          </w:p>
        </w:tc>
      </w:tr>
    </w:tbl>
    <w:p w:rsidR="00A6180B" w:rsidRPr="003B01CD" w:rsidRDefault="00A6180B" w:rsidP="00AF75AF">
      <w:pPr>
        <w:spacing w:line="276" w:lineRule="auto"/>
        <w:jc w:val="both"/>
        <w:rPr>
          <w:rFonts w:ascii="Arial" w:hAnsi="Arial" w:cs="Arial"/>
          <w:sz w:val="20"/>
          <w:lang w:val="es-ES" w:eastAsia="es-ES"/>
        </w:rPr>
      </w:pPr>
      <w:r w:rsidRPr="003B01CD">
        <w:rPr>
          <w:rFonts w:ascii="Arial" w:hAnsi="Arial" w:cs="Arial"/>
          <w:sz w:val="20"/>
        </w:rPr>
        <w:t>Fuente: Dirección Técnica de Administración de Infraestructura IDU</w:t>
      </w:r>
    </w:p>
    <w:p w:rsidR="00A6180B" w:rsidRPr="003B01CD" w:rsidRDefault="00A6180B" w:rsidP="00AF75AF">
      <w:pPr>
        <w:spacing w:line="276" w:lineRule="auto"/>
        <w:jc w:val="both"/>
        <w:rPr>
          <w:rFonts w:ascii="Arial" w:hAnsi="Arial" w:cs="Arial"/>
        </w:rPr>
      </w:pPr>
    </w:p>
    <w:p w:rsidR="00A6180B" w:rsidRPr="003B01CD" w:rsidRDefault="00A6180B" w:rsidP="00AF75AF">
      <w:pPr>
        <w:spacing w:line="276" w:lineRule="auto"/>
        <w:jc w:val="both"/>
        <w:rPr>
          <w:rFonts w:ascii="Arial" w:hAnsi="Arial" w:cs="Arial"/>
        </w:rPr>
      </w:pPr>
      <w:r w:rsidRPr="003B01CD">
        <w:rPr>
          <w:rFonts w:ascii="Arial" w:hAnsi="Arial" w:cs="Arial"/>
        </w:rPr>
        <w:t>En el Anexo No.10 – Informe Subdirección General de Desarrollo Urbano, se encuentra el detalle de las gestiones adelantadas durante el periodo 2016-2019.</w:t>
      </w:r>
    </w:p>
    <w:p w:rsidR="00A6180B" w:rsidRPr="003B01CD" w:rsidRDefault="00A6180B" w:rsidP="00AF75AF">
      <w:pPr>
        <w:spacing w:line="276" w:lineRule="auto"/>
        <w:jc w:val="both"/>
        <w:rPr>
          <w:rFonts w:ascii="Arial" w:eastAsia="Arial Unicode MS" w:hAnsi="Arial" w:cs="Arial"/>
          <w:b/>
        </w:rPr>
      </w:pPr>
    </w:p>
    <w:p w:rsidR="00A6180B" w:rsidRPr="003B01CD" w:rsidRDefault="00A6180B" w:rsidP="00AF75AF">
      <w:pPr>
        <w:spacing w:line="276" w:lineRule="auto"/>
        <w:jc w:val="both"/>
        <w:rPr>
          <w:rFonts w:ascii="Arial" w:eastAsia="Arial Unicode MS" w:hAnsi="Arial" w:cs="Arial"/>
          <w:b/>
        </w:rPr>
      </w:pPr>
    </w:p>
    <w:p w:rsidR="00A6180B" w:rsidRPr="00EA580B" w:rsidRDefault="00A6180B" w:rsidP="00D0183B">
      <w:pPr>
        <w:pStyle w:val="Ttulo3"/>
        <w:keepNext w:val="0"/>
        <w:keepLines w:val="0"/>
        <w:numPr>
          <w:ilvl w:val="2"/>
          <w:numId w:val="54"/>
        </w:numPr>
        <w:tabs>
          <w:tab w:val="left" w:pos="1418"/>
        </w:tabs>
        <w:spacing w:before="0" w:line="360" w:lineRule="auto"/>
        <w:jc w:val="both"/>
        <w:rPr>
          <w:rFonts w:ascii="Arial" w:hAnsi="Arial" w:cs="Arial"/>
          <w:b/>
          <w:color w:val="auto"/>
          <w:sz w:val="22"/>
          <w:szCs w:val="22"/>
          <w:lang w:val="es-ES"/>
        </w:rPr>
      </w:pPr>
      <w:bookmarkStart w:id="141" w:name="_Toc27665257"/>
      <w:bookmarkStart w:id="142" w:name="_Toc30774640"/>
      <w:r w:rsidRPr="00EA580B">
        <w:rPr>
          <w:rFonts w:ascii="Arial" w:hAnsi="Arial" w:cs="Arial"/>
          <w:b/>
          <w:color w:val="auto"/>
          <w:sz w:val="22"/>
          <w:szCs w:val="22"/>
        </w:rPr>
        <w:t>USO Y APROVECHAMIENTO DEL ESPACIO PÚBLICO A CARGO DE LA ENTIDAD</w:t>
      </w:r>
      <w:bookmarkEnd w:id="141"/>
      <w:bookmarkEnd w:id="142"/>
    </w:p>
    <w:p w:rsidR="00A6180B" w:rsidRPr="003B01CD" w:rsidRDefault="00A6180B" w:rsidP="00AF75AF">
      <w:pPr>
        <w:spacing w:line="276" w:lineRule="auto"/>
        <w:jc w:val="both"/>
        <w:rPr>
          <w:rFonts w:ascii="Arial" w:eastAsia="Arial Unicode MS" w:hAnsi="Arial" w:cs="Arial"/>
        </w:rPr>
      </w:pPr>
    </w:p>
    <w:p w:rsidR="00A6180B" w:rsidRPr="003B01CD" w:rsidRDefault="00A6180B" w:rsidP="00AF75AF">
      <w:pPr>
        <w:spacing w:line="276" w:lineRule="auto"/>
        <w:jc w:val="both"/>
        <w:rPr>
          <w:rFonts w:ascii="Arial" w:hAnsi="Arial" w:cs="Arial"/>
        </w:rPr>
      </w:pPr>
      <w:r w:rsidRPr="003B01CD">
        <w:rPr>
          <w:rFonts w:ascii="Arial" w:hAnsi="Arial" w:cs="Arial"/>
        </w:rPr>
        <w:t>En busca de optimizar el uso del espacio público a cargo del Instituto, se realizaron las siguientes gestiones durante la vigencia 2016 - 2019:</w:t>
      </w:r>
    </w:p>
    <w:p w:rsidR="00A6180B" w:rsidRPr="003B01CD" w:rsidRDefault="00A6180B" w:rsidP="00AF75AF">
      <w:pPr>
        <w:spacing w:line="276" w:lineRule="auto"/>
        <w:jc w:val="both"/>
        <w:rPr>
          <w:rFonts w:ascii="Arial" w:hAnsi="Arial" w:cs="Arial"/>
        </w:rPr>
      </w:pPr>
    </w:p>
    <w:p w:rsidR="00A6180B" w:rsidRPr="00EA580B" w:rsidRDefault="00A6180B" w:rsidP="00D0183B">
      <w:pPr>
        <w:pStyle w:val="Ttulo4"/>
        <w:keepNext w:val="0"/>
        <w:keepLines w:val="0"/>
        <w:numPr>
          <w:ilvl w:val="3"/>
          <w:numId w:val="54"/>
        </w:numPr>
        <w:spacing w:before="0" w:line="276" w:lineRule="auto"/>
        <w:jc w:val="both"/>
        <w:rPr>
          <w:rFonts w:ascii="Arial" w:hAnsi="Arial" w:cs="Arial"/>
          <w:b/>
          <w:i w:val="0"/>
          <w:color w:val="auto"/>
        </w:rPr>
      </w:pPr>
      <w:r w:rsidRPr="00EA580B">
        <w:rPr>
          <w:rFonts w:ascii="Arial" w:hAnsi="Arial" w:cs="Arial"/>
          <w:b/>
          <w:i w:val="0"/>
          <w:color w:val="auto"/>
        </w:rPr>
        <w:t>Usos temporales</w:t>
      </w:r>
    </w:p>
    <w:p w:rsidR="00A6180B" w:rsidRPr="003B01CD" w:rsidRDefault="00A6180B" w:rsidP="00AF75AF">
      <w:pPr>
        <w:spacing w:line="276" w:lineRule="auto"/>
        <w:jc w:val="both"/>
        <w:rPr>
          <w:rFonts w:ascii="Arial" w:hAnsi="Arial" w:cs="Arial"/>
        </w:rPr>
      </w:pPr>
    </w:p>
    <w:p w:rsidR="00A6180B" w:rsidRPr="003B01CD" w:rsidRDefault="00A6180B" w:rsidP="00D0183B">
      <w:pPr>
        <w:pStyle w:val="Prrafodelista"/>
        <w:numPr>
          <w:ilvl w:val="0"/>
          <w:numId w:val="33"/>
        </w:numPr>
        <w:spacing w:after="0" w:line="276" w:lineRule="auto"/>
        <w:jc w:val="both"/>
        <w:rPr>
          <w:rFonts w:ascii="Arial" w:hAnsi="Arial" w:cs="Arial"/>
          <w:szCs w:val="24"/>
        </w:rPr>
      </w:pPr>
      <w:r w:rsidRPr="003B01CD">
        <w:rPr>
          <w:rFonts w:ascii="Arial" w:hAnsi="Arial" w:cs="Arial"/>
          <w:b/>
          <w:szCs w:val="24"/>
        </w:rPr>
        <w:t>Uso temporal de espacio público</w:t>
      </w:r>
    </w:p>
    <w:p w:rsidR="00A6180B" w:rsidRPr="003B01CD" w:rsidRDefault="00A6180B" w:rsidP="00AF75AF">
      <w:pPr>
        <w:pStyle w:val="Prrafodelista"/>
        <w:spacing w:line="276" w:lineRule="auto"/>
        <w:jc w:val="both"/>
        <w:rPr>
          <w:rFonts w:ascii="Arial" w:hAnsi="Arial" w:cs="Arial"/>
          <w:szCs w:val="24"/>
        </w:rPr>
      </w:pPr>
    </w:p>
    <w:p w:rsidR="00A6180B" w:rsidRPr="003B01CD" w:rsidRDefault="00A6180B" w:rsidP="00AF75AF">
      <w:pPr>
        <w:spacing w:line="276" w:lineRule="auto"/>
        <w:jc w:val="both"/>
        <w:rPr>
          <w:rFonts w:ascii="Arial" w:hAnsi="Arial" w:cs="Arial"/>
          <w:szCs w:val="24"/>
        </w:rPr>
      </w:pPr>
      <w:r w:rsidRPr="003B01CD">
        <w:rPr>
          <w:rFonts w:ascii="Arial" w:hAnsi="Arial" w:cs="Arial"/>
          <w:szCs w:val="24"/>
        </w:rPr>
        <w:t>Corresponde al préstamo de elementos de espacio público construido para la realización de eventos sin ánimo de lucro, como ferias institucionales, ferias de servicios de la Secretaría General, eventos de Entidades Nacionales y Distritales; y jornadas de donación de sangre.</w:t>
      </w:r>
    </w:p>
    <w:p w:rsidR="00A6180B" w:rsidRPr="003B01CD" w:rsidRDefault="00A6180B" w:rsidP="00AF75AF">
      <w:pPr>
        <w:spacing w:line="276" w:lineRule="auto"/>
        <w:jc w:val="both"/>
        <w:rPr>
          <w:rFonts w:ascii="Arial" w:hAnsi="Arial" w:cs="Arial"/>
          <w:szCs w:val="24"/>
        </w:rPr>
      </w:pPr>
    </w:p>
    <w:p w:rsidR="00A6180B" w:rsidRPr="003B01CD" w:rsidRDefault="00A6180B" w:rsidP="00AF75AF">
      <w:pPr>
        <w:spacing w:line="276" w:lineRule="auto"/>
        <w:jc w:val="both"/>
        <w:rPr>
          <w:rFonts w:ascii="Arial" w:hAnsi="Arial" w:cs="Arial"/>
        </w:rPr>
      </w:pPr>
      <w:r w:rsidRPr="003B01CD">
        <w:rPr>
          <w:rFonts w:ascii="Arial" w:hAnsi="Arial" w:cs="Arial"/>
        </w:rPr>
        <w:lastRenderedPageBreak/>
        <w:t>Durante el periodo comprendido entre el 2016 y el 2019 el uso temporal de espacio público se gestionó de la siguiente manera:</w:t>
      </w:r>
    </w:p>
    <w:p w:rsidR="00A6180B" w:rsidRPr="00EA580B" w:rsidRDefault="00A6180B" w:rsidP="00AF75AF">
      <w:pPr>
        <w:spacing w:line="276" w:lineRule="auto"/>
        <w:jc w:val="both"/>
        <w:rPr>
          <w:rFonts w:ascii="Arial" w:hAnsi="Arial" w:cs="Arial"/>
          <w:b/>
        </w:rPr>
      </w:pPr>
    </w:p>
    <w:p w:rsidR="00A6180B" w:rsidRPr="00EA580B" w:rsidRDefault="00A6180B" w:rsidP="00EA580B">
      <w:pPr>
        <w:pStyle w:val="Descripcin"/>
        <w:spacing w:after="0"/>
        <w:ind w:left="708" w:firstLine="708"/>
        <w:rPr>
          <w:rFonts w:ascii="Arial" w:hAnsi="Arial" w:cs="Arial"/>
          <w:color w:val="auto"/>
        </w:rPr>
      </w:pPr>
      <w:bookmarkStart w:id="143" w:name="_Toc27665375"/>
      <w:r w:rsidRPr="00EA580B">
        <w:rPr>
          <w:rFonts w:ascii="Arial" w:hAnsi="Arial" w:cs="Arial"/>
          <w:color w:val="auto"/>
        </w:rPr>
        <w:t>Acciones adelantadas para el uso temporal de espacio público.</w:t>
      </w:r>
      <w:bookmarkEnd w:id="143"/>
    </w:p>
    <w:tbl>
      <w:tblPr>
        <w:tblW w:w="6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620"/>
        <w:gridCol w:w="1080"/>
      </w:tblGrid>
      <w:tr w:rsidR="00A6180B" w:rsidRPr="003B01CD" w:rsidTr="00B85448">
        <w:trPr>
          <w:trHeight w:val="330"/>
          <w:jc w:val="center"/>
        </w:trPr>
        <w:tc>
          <w:tcPr>
            <w:tcW w:w="5620" w:type="dxa"/>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sz w:val="20"/>
                <w:lang w:val="es-ES" w:eastAsia="es-CO"/>
              </w:rPr>
            </w:pPr>
            <w:r w:rsidRPr="003B01CD">
              <w:rPr>
                <w:rFonts w:ascii="Arial" w:eastAsia="Arial Unicode MS" w:hAnsi="Arial" w:cs="Arial"/>
                <w:b/>
                <w:bCs/>
                <w:sz w:val="20"/>
              </w:rPr>
              <w:t>Acciones adelantadas</w:t>
            </w:r>
          </w:p>
        </w:tc>
        <w:tc>
          <w:tcPr>
            <w:tcW w:w="1080" w:type="dxa"/>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sz w:val="20"/>
                <w:lang w:val="es-ES" w:eastAsia="es-ES"/>
              </w:rPr>
            </w:pPr>
            <w:r w:rsidRPr="003B01CD">
              <w:rPr>
                <w:rFonts w:ascii="Arial" w:eastAsia="Arial Unicode MS" w:hAnsi="Arial" w:cs="Arial"/>
                <w:b/>
                <w:bCs/>
                <w:sz w:val="20"/>
              </w:rPr>
              <w:t xml:space="preserve">Cantidad </w:t>
            </w:r>
          </w:p>
        </w:tc>
      </w:tr>
      <w:tr w:rsidR="00A6180B" w:rsidRPr="003B01CD" w:rsidTr="00B85448">
        <w:trPr>
          <w:trHeight w:val="330"/>
          <w:jc w:val="center"/>
        </w:trPr>
        <w:tc>
          <w:tcPr>
            <w:tcW w:w="5620" w:type="dxa"/>
            <w:noWrap/>
            <w:vAlign w:val="center"/>
            <w:hideMark/>
          </w:tcPr>
          <w:p w:rsidR="00A6180B" w:rsidRPr="003B01CD" w:rsidRDefault="00A6180B" w:rsidP="00AF75AF">
            <w:pPr>
              <w:spacing w:line="276" w:lineRule="auto"/>
              <w:jc w:val="both"/>
              <w:rPr>
                <w:rFonts w:ascii="Arial" w:eastAsia="Arial Unicode MS" w:hAnsi="Arial" w:cs="Arial"/>
                <w:sz w:val="20"/>
                <w:lang w:val="es-ES" w:eastAsia="es-ES"/>
              </w:rPr>
            </w:pPr>
            <w:r w:rsidRPr="003B01CD">
              <w:rPr>
                <w:rFonts w:ascii="Arial" w:eastAsia="Arial Unicode MS" w:hAnsi="Arial" w:cs="Arial"/>
                <w:sz w:val="20"/>
              </w:rPr>
              <w:t>Plaza y plazoletas a cargo del IDU facilitadas para eventos</w:t>
            </w:r>
          </w:p>
        </w:tc>
        <w:tc>
          <w:tcPr>
            <w:tcW w:w="1080" w:type="dxa"/>
            <w:noWrap/>
            <w:vAlign w:val="center"/>
            <w:hideMark/>
          </w:tcPr>
          <w:p w:rsidR="00A6180B" w:rsidRPr="003B01CD" w:rsidRDefault="00A6180B" w:rsidP="00AF75AF">
            <w:pPr>
              <w:spacing w:line="276" w:lineRule="auto"/>
              <w:jc w:val="both"/>
              <w:rPr>
                <w:rFonts w:ascii="Arial" w:eastAsia="Arial Unicode MS" w:hAnsi="Arial" w:cs="Arial"/>
                <w:sz w:val="20"/>
                <w:lang w:val="es-ES" w:eastAsia="es-ES"/>
              </w:rPr>
            </w:pPr>
            <w:r w:rsidRPr="003B01CD">
              <w:rPr>
                <w:rFonts w:ascii="Arial" w:eastAsia="Arial Unicode MS" w:hAnsi="Arial" w:cs="Arial"/>
                <w:sz w:val="20"/>
              </w:rPr>
              <w:t>72</w:t>
            </w:r>
          </w:p>
        </w:tc>
      </w:tr>
      <w:tr w:rsidR="00A6180B" w:rsidRPr="003B01CD" w:rsidTr="00B85448">
        <w:trPr>
          <w:trHeight w:val="330"/>
          <w:jc w:val="center"/>
        </w:trPr>
        <w:tc>
          <w:tcPr>
            <w:tcW w:w="5620" w:type="dxa"/>
            <w:noWrap/>
            <w:vAlign w:val="center"/>
            <w:hideMark/>
          </w:tcPr>
          <w:p w:rsidR="00A6180B" w:rsidRPr="003B01CD" w:rsidRDefault="00A6180B" w:rsidP="00AF75AF">
            <w:pPr>
              <w:spacing w:line="276" w:lineRule="auto"/>
              <w:jc w:val="both"/>
              <w:rPr>
                <w:rFonts w:ascii="Arial" w:eastAsia="Arial Unicode MS" w:hAnsi="Arial" w:cs="Arial"/>
                <w:sz w:val="20"/>
                <w:lang w:val="es-ES" w:eastAsia="es-ES"/>
              </w:rPr>
            </w:pPr>
            <w:r w:rsidRPr="003B01CD">
              <w:rPr>
                <w:rFonts w:ascii="Arial" w:eastAsia="Arial Unicode MS" w:hAnsi="Arial" w:cs="Arial"/>
                <w:sz w:val="20"/>
              </w:rPr>
              <w:t>Espacios Públicos autorizados para jornadas donación sangre</w:t>
            </w:r>
          </w:p>
        </w:tc>
        <w:tc>
          <w:tcPr>
            <w:tcW w:w="1080" w:type="dxa"/>
            <w:noWrap/>
            <w:vAlign w:val="center"/>
            <w:hideMark/>
          </w:tcPr>
          <w:p w:rsidR="00A6180B" w:rsidRPr="003B01CD" w:rsidRDefault="00A6180B" w:rsidP="00AF75AF">
            <w:pPr>
              <w:spacing w:line="276" w:lineRule="auto"/>
              <w:jc w:val="both"/>
              <w:rPr>
                <w:rFonts w:ascii="Arial" w:eastAsia="Arial Unicode MS" w:hAnsi="Arial" w:cs="Arial"/>
                <w:sz w:val="20"/>
                <w:lang w:val="es-ES" w:eastAsia="es-ES"/>
              </w:rPr>
            </w:pPr>
            <w:r w:rsidRPr="003B01CD">
              <w:rPr>
                <w:rFonts w:ascii="Arial" w:eastAsia="Arial Unicode MS" w:hAnsi="Arial" w:cs="Arial"/>
                <w:sz w:val="20"/>
              </w:rPr>
              <w:t>85</w:t>
            </w:r>
          </w:p>
        </w:tc>
      </w:tr>
      <w:tr w:rsidR="00A6180B" w:rsidRPr="003B01CD" w:rsidTr="00B85448">
        <w:trPr>
          <w:trHeight w:val="330"/>
          <w:jc w:val="center"/>
        </w:trPr>
        <w:tc>
          <w:tcPr>
            <w:tcW w:w="5620" w:type="dxa"/>
            <w:noWrap/>
            <w:vAlign w:val="center"/>
            <w:hideMark/>
          </w:tcPr>
          <w:p w:rsidR="00A6180B" w:rsidRPr="003B01CD" w:rsidRDefault="00A6180B" w:rsidP="00AF75AF">
            <w:pPr>
              <w:spacing w:line="276" w:lineRule="auto"/>
              <w:jc w:val="both"/>
              <w:rPr>
                <w:rFonts w:ascii="Arial" w:eastAsia="Arial Unicode MS" w:hAnsi="Arial" w:cs="Arial"/>
                <w:sz w:val="20"/>
                <w:lang w:val="es-ES" w:eastAsia="es-ES"/>
              </w:rPr>
            </w:pPr>
            <w:r w:rsidRPr="003B01CD">
              <w:rPr>
                <w:rFonts w:ascii="Arial" w:eastAsia="Arial Unicode MS" w:hAnsi="Arial" w:cs="Arial"/>
                <w:sz w:val="20"/>
              </w:rPr>
              <w:t>Permisos aprobados para actividades en el espacio público</w:t>
            </w:r>
          </w:p>
        </w:tc>
        <w:tc>
          <w:tcPr>
            <w:tcW w:w="1080" w:type="dxa"/>
            <w:noWrap/>
            <w:vAlign w:val="center"/>
            <w:hideMark/>
          </w:tcPr>
          <w:p w:rsidR="00A6180B" w:rsidRPr="003B01CD" w:rsidRDefault="00A6180B" w:rsidP="00AF75AF">
            <w:pPr>
              <w:spacing w:line="276" w:lineRule="auto"/>
              <w:jc w:val="both"/>
              <w:rPr>
                <w:rFonts w:ascii="Arial" w:eastAsia="Arial Unicode MS" w:hAnsi="Arial" w:cs="Arial"/>
                <w:sz w:val="20"/>
                <w:lang w:val="es-ES" w:eastAsia="es-ES"/>
              </w:rPr>
            </w:pPr>
            <w:r w:rsidRPr="003B01CD">
              <w:rPr>
                <w:rFonts w:ascii="Arial" w:eastAsia="Arial Unicode MS" w:hAnsi="Arial" w:cs="Arial"/>
                <w:sz w:val="20"/>
              </w:rPr>
              <w:t>1.149</w:t>
            </w:r>
          </w:p>
        </w:tc>
      </w:tr>
      <w:tr w:rsidR="00A6180B" w:rsidRPr="003B01CD" w:rsidTr="00B85448">
        <w:trPr>
          <w:trHeight w:val="330"/>
          <w:jc w:val="center"/>
        </w:trPr>
        <w:tc>
          <w:tcPr>
            <w:tcW w:w="5620" w:type="dxa"/>
            <w:noWrap/>
            <w:vAlign w:val="center"/>
            <w:hideMark/>
          </w:tcPr>
          <w:p w:rsidR="00A6180B" w:rsidRPr="003B01CD" w:rsidRDefault="00A6180B" w:rsidP="00AF75AF">
            <w:pPr>
              <w:spacing w:line="276" w:lineRule="auto"/>
              <w:jc w:val="both"/>
              <w:rPr>
                <w:rFonts w:ascii="Arial" w:eastAsia="Arial Unicode MS" w:hAnsi="Arial" w:cs="Arial"/>
                <w:sz w:val="20"/>
                <w:lang w:val="es-ES" w:eastAsia="es-ES"/>
              </w:rPr>
            </w:pPr>
            <w:r w:rsidRPr="003B01CD">
              <w:rPr>
                <w:rFonts w:ascii="Arial" w:eastAsia="Arial Unicode MS" w:hAnsi="Arial" w:cs="Arial"/>
                <w:sz w:val="20"/>
              </w:rPr>
              <w:t>Permisos negados para actividades en el espacio público</w:t>
            </w:r>
          </w:p>
        </w:tc>
        <w:tc>
          <w:tcPr>
            <w:tcW w:w="1080" w:type="dxa"/>
            <w:noWrap/>
            <w:vAlign w:val="center"/>
            <w:hideMark/>
          </w:tcPr>
          <w:p w:rsidR="00A6180B" w:rsidRPr="003B01CD" w:rsidRDefault="00A6180B" w:rsidP="00AF75AF">
            <w:pPr>
              <w:spacing w:line="276" w:lineRule="auto"/>
              <w:jc w:val="both"/>
              <w:rPr>
                <w:rFonts w:ascii="Arial" w:eastAsia="Arial Unicode MS" w:hAnsi="Arial" w:cs="Arial"/>
                <w:sz w:val="20"/>
                <w:lang w:val="es-ES" w:eastAsia="es-ES"/>
              </w:rPr>
            </w:pPr>
            <w:r w:rsidRPr="003B01CD">
              <w:rPr>
                <w:rFonts w:ascii="Arial" w:eastAsia="Arial Unicode MS" w:hAnsi="Arial" w:cs="Arial"/>
                <w:sz w:val="20"/>
              </w:rPr>
              <w:t>225</w:t>
            </w:r>
          </w:p>
        </w:tc>
      </w:tr>
      <w:tr w:rsidR="00A6180B" w:rsidRPr="003B01CD" w:rsidTr="00B85448">
        <w:trPr>
          <w:trHeight w:val="330"/>
          <w:jc w:val="center"/>
        </w:trPr>
        <w:tc>
          <w:tcPr>
            <w:tcW w:w="5620" w:type="dxa"/>
            <w:noWrap/>
            <w:vAlign w:val="center"/>
            <w:hideMark/>
          </w:tcPr>
          <w:p w:rsidR="00A6180B" w:rsidRPr="003B01CD" w:rsidRDefault="00A6180B" w:rsidP="00AF75AF">
            <w:pPr>
              <w:spacing w:line="276" w:lineRule="auto"/>
              <w:jc w:val="both"/>
              <w:rPr>
                <w:rFonts w:ascii="Arial" w:eastAsia="Arial Unicode MS" w:hAnsi="Arial" w:cs="Arial"/>
                <w:sz w:val="20"/>
                <w:lang w:val="es-ES" w:eastAsia="es-ES"/>
              </w:rPr>
            </w:pPr>
            <w:r w:rsidRPr="003B01CD">
              <w:rPr>
                <w:rFonts w:ascii="Arial" w:eastAsia="Arial Unicode MS" w:hAnsi="Arial" w:cs="Arial"/>
                <w:sz w:val="20"/>
              </w:rPr>
              <w:t>Reservas</w:t>
            </w:r>
          </w:p>
        </w:tc>
        <w:tc>
          <w:tcPr>
            <w:tcW w:w="1080" w:type="dxa"/>
            <w:noWrap/>
            <w:vAlign w:val="center"/>
            <w:hideMark/>
          </w:tcPr>
          <w:p w:rsidR="00A6180B" w:rsidRPr="003B01CD" w:rsidRDefault="00A6180B" w:rsidP="00AF75AF">
            <w:pPr>
              <w:spacing w:line="276" w:lineRule="auto"/>
              <w:jc w:val="both"/>
              <w:rPr>
                <w:rFonts w:ascii="Arial" w:eastAsia="Arial Unicode MS" w:hAnsi="Arial" w:cs="Arial"/>
                <w:sz w:val="20"/>
                <w:lang w:val="es-ES" w:eastAsia="es-ES"/>
              </w:rPr>
            </w:pPr>
            <w:r w:rsidRPr="003B01CD">
              <w:rPr>
                <w:rFonts w:ascii="Arial" w:eastAsia="Arial Unicode MS" w:hAnsi="Arial" w:cs="Arial"/>
                <w:sz w:val="20"/>
              </w:rPr>
              <w:t>230</w:t>
            </w:r>
          </w:p>
        </w:tc>
      </w:tr>
      <w:tr w:rsidR="00A6180B" w:rsidRPr="003B01CD" w:rsidTr="00B85448">
        <w:trPr>
          <w:trHeight w:val="330"/>
          <w:jc w:val="center"/>
        </w:trPr>
        <w:tc>
          <w:tcPr>
            <w:tcW w:w="5620" w:type="dxa"/>
            <w:noWrap/>
            <w:vAlign w:val="center"/>
            <w:hideMark/>
          </w:tcPr>
          <w:p w:rsidR="00A6180B" w:rsidRPr="003B01CD" w:rsidRDefault="00A6180B" w:rsidP="00AF75AF">
            <w:pPr>
              <w:spacing w:line="276" w:lineRule="auto"/>
              <w:jc w:val="both"/>
              <w:rPr>
                <w:rFonts w:ascii="Arial" w:eastAsia="Arial Unicode MS" w:hAnsi="Arial" w:cs="Arial"/>
                <w:sz w:val="20"/>
                <w:lang w:val="es-ES" w:eastAsia="es-ES"/>
              </w:rPr>
            </w:pPr>
            <w:r w:rsidRPr="003B01CD">
              <w:rPr>
                <w:rFonts w:ascii="Arial" w:eastAsia="Arial Unicode MS" w:hAnsi="Arial" w:cs="Arial"/>
                <w:sz w:val="20"/>
              </w:rPr>
              <w:t>Solicitud de información</w:t>
            </w:r>
          </w:p>
        </w:tc>
        <w:tc>
          <w:tcPr>
            <w:tcW w:w="1080" w:type="dxa"/>
            <w:noWrap/>
            <w:vAlign w:val="center"/>
            <w:hideMark/>
          </w:tcPr>
          <w:p w:rsidR="00A6180B" w:rsidRPr="003B01CD" w:rsidRDefault="00A6180B" w:rsidP="00AF75AF">
            <w:pPr>
              <w:spacing w:line="276" w:lineRule="auto"/>
              <w:jc w:val="both"/>
              <w:rPr>
                <w:rFonts w:ascii="Arial" w:eastAsia="Arial Unicode MS" w:hAnsi="Arial" w:cs="Arial"/>
                <w:sz w:val="20"/>
                <w:lang w:val="es-ES" w:eastAsia="es-ES"/>
              </w:rPr>
            </w:pPr>
            <w:r w:rsidRPr="003B01CD">
              <w:rPr>
                <w:rFonts w:ascii="Arial" w:eastAsia="Arial Unicode MS" w:hAnsi="Arial" w:cs="Arial"/>
                <w:sz w:val="20"/>
              </w:rPr>
              <w:t>1.376</w:t>
            </w:r>
          </w:p>
        </w:tc>
      </w:tr>
    </w:tbl>
    <w:p w:rsidR="00A6180B" w:rsidRPr="003B01CD" w:rsidRDefault="00A6180B" w:rsidP="00AF75AF">
      <w:pPr>
        <w:spacing w:line="276" w:lineRule="auto"/>
        <w:jc w:val="both"/>
        <w:rPr>
          <w:rFonts w:ascii="Arial" w:hAnsi="Arial" w:cs="Arial"/>
          <w:sz w:val="20"/>
          <w:lang w:val="es-ES" w:eastAsia="es-ES"/>
        </w:rPr>
      </w:pPr>
      <w:r w:rsidRPr="003B01CD">
        <w:rPr>
          <w:rFonts w:ascii="Arial" w:hAnsi="Arial" w:cs="Arial"/>
          <w:sz w:val="20"/>
        </w:rPr>
        <w:t>Fuente: Dirección Técnica de Administración de Infraestructura IDU</w:t>
      </w:r>
    </w:p>
    <w:p w:rsidR="00A6180B" w:rsidRPr="003B01CD" w:rsidRDefault="00A6180B" w:rsidP="00AF75AF">
      <w:pPr>
        <w:spacing w:line="276" w:lineRule="auto"/>
        <w:jc w:val="both"/>
        <w:rPr>
          <w:rFonts w:ascii="Arial" w:hAnsi="Arial" w:cs="Arial"/>
          <w:b/>
          <w:lang w:val="es-ES"/>
        </w:rPr>
      </w:pPr>
    </w:p>
    <w:p w:rsidR="00A6180B" w:rsidRPr="003B01CD" w:rsidRDefault="00A6180B" w:rsidP="00D0183B">
      <w:pPr>
        <w:pStyle w:val="Prrafodelista"/>
        <w:numPr>
          <w:ilvl w:val="0"/>
          <w:numId w:val="33"/>
        </w:numPr>
        <w:spacing w:after="0" w:line="276" w:lineRule="auto"/>
        <w:jc w:val="both"/>
        <w:rPr>
          <w:rFonts w:ascii="Arial" w:hAnsi="Arial" w:cs="Arial"/>
          <w:szCs w:val="24"/>
        </w:rPr>
      </w:pPr>
      <w:r w:rsidRPr="003B01CD">
        <w:rPr>
          <w:rFonts w:ascii="Arial" w:hAnsi="Arial" w:cs="Arial"/>
          <w:b/>
          <w:szCs w:val="24"/>
        </w:rPr>
        <w:t>Uso temporal de antejardines</w:t>
      </w:r>
    </w:p>
    <w:p w:rsidR="00A6180B" w:rsidRPr="003B01CD" w:rsidRDefault="00A6180B" w:rsidP="00AF75AF">
      <w:pPr>
        <w:pStyle w:val="Prrafodelista"/>
        <w:spacing w:line="276" w:lineRule="auto"/>
        <w:jc w:val="both"/>
        <w:rPr>
          <w:rFonts w:ascii="Arial" w:hAnsi="Arial" w:cs="Arial"/>
          <w:szCs w:val="24"/>
        </w:rPr>
      </w:pPr>
    </w:p>
    <w:p w:rsidR="00A6180B" w:rsidRPr="003B01CD" w:rsidRDefault="00A6180B" w:rsidP="00AF75AF">
      <w:pPr>
        <w:spacing w:line="276" w:lineRule="auto"/>
        <w:jc w:val="both"/>
        <w:rPr>
          <w:rFonts w:ascii="Arial" w:hAnsi="Arial" w:cs="Arial"/>
          <w:szCs w:val="24"/>
        </w:rPr>
      </w:pPr>
      <w:r w:rsidRPr="003B01CD">
        <w:rPr>
          <w:rFonts w:ascii="Arial" w:hAnsi="Arial" w:cs="Arial"/>
          <w:szCs w:val="24"/>
        </w:rPr>
        <w:t>Corresponde a permisos otorgados a dueños de restaurantes, cafés o cafeterías para colocar mobiliario en los antejardines para uso comercial; no se genera cobro por esta actividad toda vez que es propiedad privada con afectación al uso público. El control y vigilancia es responsabilidad de las Alcaldías Locales.</w:t>
      </w:r>
    </w:p>
    <w:p w:rsidR="00A6180B" w:rsidRPr="003B01CD" w:rsidRDefault="00A6180B" w:rsidP="00AF75AF">
      <w:pPr>
        <w:spacing w:line="276" w:lineRule="auto"/>
        <w:jc w:val="both"/>
        <w:rPr>
          <w:rFonts w:ascii="Arial" w:hAnsi="Arial" w:cs="Arial"/>
          <w:b/>
          <w:szCs w:val="24"/>
        </w:rPr>
      </w:pPr>
    </w:p>
    <w:p w:rsidR="00A6180B" w:rsidRPr="003B01CD" w:rsidRDefault="00A6180B" w:rsidP="00AF75AF">
      <w:pPr>
        <w:spacing w:line="276" w:lineRule="auto"/>
        <w:jc w:val="both"/>
        <w:rPr>
          <w:rFonts w:ascii="Arial" w:hAnsi="Arial" w:cs="Arial"/>
        </w:rPr>
      </w:pPr>
      <w:r w:rsidRPr="003B01CD">
        <w:rPr>
          <w:rFonts w:ascii="Arial" w:hAnsi="Arial" w:cs="Arial"/>
        </w:rPr>
        <w:t>En cumplimiento del Art. 270 del Decreto 190 de 2004, el cual delega al IDU la responsabilidad de otorgar este tipo de autorizaciones, y se reglamenta a través del Decreto 200 de 2019.  Durante el periodo comprendido entre el 2016 y el 2019 el uso temporal de antejardines se comportó de la siguiente manera:</w:t>
      </w:r>
    </w:p>
    <w:p w:rsidR="00A6180B" w:rsidRPr="003B01CD" w:rsidRDefault="00A6180B" w:rsidP="00AF75AF">
      <w:pPr>
        <w:spacing w:line="276" w:lineRule="auto"/>
        <w:jc w:val="both"/>
        <w:rPr>
          <w:rFonts w:ascii="Arial" w:hAnsi="Arial" w:cs="Arial"/>
          <w:b/>
        </w:rPr>
      </w:pPr>
      <w:r w:rsidRPr="003B01CD">
        <w:rPr>
          <w:rFonts w:ascii="Arial" w:hAnsi="Arial" w:cs="Arial"/>
          <w:b/>
        </w:rPr>
        <w:t xml:space="preserve"> </w:t>
      </w:r>
    </w:p>
    <w:p w:rsidR="00A6180B" w:rsidRPr="00EA580B" w:rsidRDefault="00A6180B" w:rsidP="00EA580B">
      <w:pPr>
        <w:pStyle w:val="Descripcin"/>
        <w:spacing w:after="0" w:line="276" w:lineRule="auto"/>
        <w:ind w:left="708" w:firstLine="708"/>
        <w:rPr>
          <w:rFonts w:ascii="Arial" w:hAnsi="Arial" w:cs="Arial"/>
          <w:color w:val="auto"/>
          <w:lang w:val="es-ES"/>
        </w:rPr>
      </w:pPr>
      <w:bookmarkStart w:id="144" w:name="_Toc27665376"/>
      <w:r w:rsidRPr="00EA580B">
        <w:rPr>
          <w:rFonts w:ascii="Arial" w:hAnsi="Arial" w:cs="Arial"/>
          <w:color w:val="auto"/>
        </w:rPr>
        <w:t>Acciones adelantadas para el uso temporal de antejardines.</w:t>
      </w:r>
      <w:bookmarkEnd w:id="144"/>
    </w:p>
    <w:tbl>
      <w:tblPr>
        <w:tblW w:w="6700" w:type="dxa"/>
        <w:jc w:val="center"/>
        <w:tblCellMar>
          <w:left w:w="70" w:type="dxa"/>
          <w:right w:w="70" w:type="dxa"/>
        </w:tblCellMar>
        <w:tblLook w:val="04A0" w:firstRow="1" w:lastRow="0" w:firstColumn="1" w:lastColumn="0" w:noHBand="0" w:noVBand="1"/>
      </w:tblPr>
      <w:tblGrid>
        <w:gridCol w:w="5620"/>
        <w:gridCol w:w="1080"/>
      </w:tblGrid>
      <w:tr w:rsidR="00A6180B" w:rsidRPr="003B01CD" w:rsidTr="00B85448">
        <w:trPr>
          <w:trHeight w:val="330"/>
          <w:jc w:val="center"/>
        </w:trPr>
        <w:tc>
          <w:tcPr>
            <w:tcW w:w="5620"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sz w:val="20"/>
                <w:lang w:val="es-ES" w:eastAsia="es-CO"/>
              </w:rPr>
            </w:pPr>
            <w:r w:rsidRPr="003B01CD">
              <w:rPr>
                <w:rFonts w:ascii="Arial" w:eastAsia="Arial Unicode MS" w:hAnsi="Arial" w:cs="Arial"/>
                <w:b/>
                <w:bCs/>
                <w:sz w:val="20"/>
                <w:lang w:eastAsia="zh-TW"/>
              </w:rPr>
              <w:t xml:space="preserve">Acciones adelantadas </w:t>
            </w:r>
          </w:p>
        </w:tc>
        <w:tc>
          <w:tcPr>
            <w:tcW w:w="108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sz w:val="20"/>
                <w:lang w:val="es-ES" w:eastAsia="es-ES"/>
              </w:rPr>
            </w:pPr>
            <w:r w:rsidRPr="003B01CD">
              <w:rPr>
                <w:rFonts w:ascii="Arial" w:eastAsia="Arial Unicode MS" w:hAnsi="Arial" w:cs="Arial"/>
                <w:b/>
                <w:bCs/>
                <w:sz w:val="20"/>
                <w:lang w:eastAsia="zh-TW"/>
              </w:rPr>
              <w:t>Cantidad</w:t>
            </w:r>
          </w:p>
        </w:tc>
      </w:tr>
      <w:tr w:rsidR="00A6180B" w:rsidRPr="003B01CD" w:rsidTr="00B85448">
        <w:trPr>
          <w:trHeight w:val="330"/>
          <w:jc w:val="center"/>
        </w:trPr>
        <w:tc>
          <w:tcPr>
            <w:tcW w:w="5620" w:type="dxa"/>
            <w:tcBorders>
              <w:top w:val="nil"/>
              <w:left w:val="single" w:sz="4" w:space="0" w:color="auto"/>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sz w:val="20"/>
                <w:lang w:val="es-ES" w:eastAsia="es-ES"/>
              </w:rPr>
            </w:pPr>
            <w:r w:rsidRPr="003B01CD">
              <w:rPr>
                <w:rFonts w:ascii="Arial" w:eastAsia="Arial Unicode MS" w:hAnsi="Arial" w:cs="Arial"/>
                <w:sz w:val="20"/>
                <w:lang w:eastAsia="zh-TW"/>
              </w:rPr>
              <w:t>Permisos de usos temporal de antejardines aprobados</w:t>
            </w:r>
          </w:p>
        </w:tc>
        <w:tc>
          <w:tcPr>
            <w:tcW w:w="108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sz w:val="20"/>
                <w:lang w:val="es-ES" w:eastAsia="es-ES"/>
              </w:rPr>
            </w:pPr>
            <w:r w:rsidRPr="003B01CD">
              <w:rPr>
                <w:rFonts w:ascii="Arial" w:eastAsia="Arial Unicode MS" w:hAnsi="Arial" w:cs="Arial"/>
                <w:sz w:val="20"/>
                <w:lang w:eastAsia="zh-TW"/>
              </w:rPr>
              <w:t>62</w:t>
            </w:r>
          </w:p>
        </w:tc>
      </w:tr>
      <w:tr w:rsidR="00A6180B" w:rsidRPr="003B01CD" w:rsidTr="00B85448">
        <w:trPr>
          <w:trHeight w:val="330"/>
          <w:jc w:val="center"/>
        </w:trPr>
        <w:tc>
          <w:tcPr>
            <w:tcW w:w="5620" w:type="dxa"/>
            <w:tcBorders>
              <w:top w:val="nil"/>
              <w:left w:val="single" w:sz="4" w:space="0" w:color="auto"/>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sz w:val="20"/>
                <w:lang w:val="es-ES" w:eastAsia="es-ES"/>
              </w:rPr>
            </w:pPr>
            <w:r w:rsidRPr="003B01CD">
              <w:rPr>
                <w:rFonts w:ascii="Arial" w:eastAsia="Arial Unicode MS" w:hAnsi="Arial" w:cs="Arial"/>
                <w:sz w:val="20"/>
                <w:lang w:eastAsia="zh-TW"/>
              </w:rPr>
              <w:t>Permisos de usos temporal de antejardines negados</w:t>
            </w:r>
          </w:p>
        </w:tc>
        <w:tc>
          <w:tcPr>
            <w:tcW w:w="108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sz w:val="20"/>
                <w:lang w:val="es-ES" w:eastAsia="es-ES"/>
              </w:rPr>
            </w:pPr>
            <w:r w:rsidRPr="003B01CD">
              <w:rPr>
                <w:rFonts w:ascii="Arial" w:eastAsia="Arial Unicode MS" w:hAnsi="Arial" w:cs="Arial"/>
                <w:sz w:val="20"/>
                <w:lang w:eastAsia="zh-TW"/>
              </w:rPr>
              <w:t>447</w:t>
            </w:r>
          </w:p>
        </w:tc>
      </w:tr>
      <w:tr w:rsidR="00A6180B" w:rsidRPr="003B01CD" w:rsidTr="00B85448">
        <w:trPr>
          <w:trHeight w:val="330"/>
          <w:jc w:val="center"/>
        </w:trPr>
        <w:tc>
          <w:tcPr>
            <w:tcW w:w="5620" w:type="dxa"/>
            <w:tcBorders>
              <w:top w:val="nil"/>
              <w:left w:val="single" w:sz="4" w:space="0" w:color="auto"/>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sz w:val="20"/>
                <w:lang w:val="es-ES" w:eastAsia="es-ES"/>
              </w:rPr>
            </w:pPr>
            <w:r w:rsidRPr="003B01CD">
              <w:rPr>
                <w:rFonts w:ascii="Arial" w:eastAsia="Arial Unicode MS" w:hAnsi="Arial" w:cs="Arial"/>
                <w:sz w:val="20"/>
                <w:lang w:eastAsia="zh-TW"/>
              </w:rPr>
              <w:t>Correspondencia tramitada: solicitudes de información</w:t>
            </w:r>
          </w:p>
        </w:tc>
        <w:tc>
          <w:tcPr>
            <w:tcW w:w="108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sz w:val="20"/>
                <w:lang w:val="es-ES" w:eastAsia="es-ES"/>
              </w:rPr>
            </w:pPr>
            <w:r w:rsidRPr="003B01CD">
              <w:rPr>
                <w:rFonts w:ascii="Arial" w:eastAsia="Arial Unicode MS" w:hAnsi="Arial" w:cs="Arial"/>
                <w:sz w:val="20"/>
                <w:lang w:eastAsia="zh-TW"/>
              </w:rPr>
              <w:t>111</w:t>
            </w:r>
          </w:p>
        </w:tc>
      </w:tr>
    </w:tbl>
    <w:p w:rsidR="00A6180B" w:rsidRPr="003B01CD" w:rsidRDefault="00A6180B" w:rsidP="00AF75AF">
      <w:pPr>
        <w:spacing w:line="276" w:lineRule="auto"/>
        <w:jc w:val="both"/>
        <w:rPr>
          <w:rFonts w:ascii="Arial" w:hAnsi="Arial" w:cs="Arial"/>
          <w:sz w:val="20"/>
          <w:lang w:val="es-ES" w:eastAsia="es-ES"/>
        </w:rPr>
      </w:pPr>
      <w:r w:rsidRPr="003B01CD">
        <w:rPr>
          <w:rFonts w:ascii="Arial" w:hAnsi="Arial" w:cs="Arial"/>
          <w:sz w:val="20"/>
        </w:rPr>
        <w:t>Fuente: Dirección Técnica de Administración de Infraestructura IDU</w:t>
      </w:r>
    </w:p>
    <w:p w:rsidR="00FF0D20" w:rsidRPr="00FF0D20" w:rsidRDefault="00FF0D20" w:rsidP="00FF0D20">
      <w:pPr>
        <w:pStyle w:val="Ttulo4"/>
        <w:keepNext w:val="0"/>
        <w:keepLines w:val="0"/>
        <w:spacing w:before="0" w:line="276" w:lineRule="auto"/>
        <w:jc w:val="both"/>
        <w:rPr>
          <w:rFonts w:ascii="Arial" w:eastAsiaTheme="minorHAnsi" w:hAnsi="Arial" w:cs="Arial"/>
          <w:i w:val="0"/>
          <w:iCs w:val="0"/>
          <w:color w:val="auto"/>
          <w:lang w:val="es-ES"/>
        </w:rPr>
      </w:pPr>
    </w:p>
    <w:p w:rsidR="00A6180B" w:rsidRPr="00FF0D20" w:rsidRDefault="00A6180B" w:rsidP="00D0183B">
      <w:pPr>
        <w:pStyle w:val="Ttulo4"/>
        <w:keepNext w:val="0"/>
        <w:keepLines w:val="0"/>
        <w:numPr>
          <w:ilvl w:val="3"/>
          <w:numId w:val="54"/>
        </w:numPr>
        <w:spacing w:before="0" w:line="276" w:lineRule="auto"/>
        <w:jc w:val="both"/>
        <w:rPr>
          <w:rFonts w:ascii="Arial" w:hAnsi="Arial" w:cs="Arial"/>
          <w:b/>
          <w:i w:val="0"/>
          <w:color w:val="auto"/>
        </w:rPr>
      </w:pPr>
      <w:r w:rsidRPr="00FF0D20">
        <w:rPr>
          <w:rFonts w:ascii="Arial" w:hAnsi="Arial" w:cs="Arial"/>
          <w:b/>
          <w:i w:val="0"/>
          <w:color w:val="auto"/>
        </w:rPr>
        <w:lastRenderedPageBreak/>
        <w:t>Aprovechamiento económico</w:t>
      </w:r>
    </w:p>
    <w:p w:rsidR="00A6180B" w:rsidRPr="00FF0D20" w:rsidRDefault="00A6180B" w:rsidP="00AF75AF">
      <w:pPr>
        <w:spacing w:line="276" w:lineRule="auto"/>
        <w:jc w:val="both"/>
        <w:rPr>
          <w:rFonts w:ascii="Arial" w:hAnsi="Arial" w:cs="Arial"/>
        </w:rPr>
      </w:pPr>
    </w:p>
    <w:p w:rsidR="00A6180B" w:rsidRPr="003B01CD" w:rsidRDefault="00A6180B" w:rsidP="00AF75AF">
      <w:pPr>
        <w:spacing w:line="276" w:lineRule="auto"/>
        <w:jc w:val="both"/>
        <w:rPr>
          <w:rFonts w:ascii="Arial" w:hAnsi="Arial" w:cs="Arial"/>
        </w:rPr>
      </w:pPr>
      <w:r w:rsidRPr="003B01CD">
        <w:rPr>
          <w:rFonts w:ascii="Arial" w:hAnsi="Arial" w:cs="Arial"/>
        </w:rPr>
        <w:t>En cumplimiento del Decreto 552 de 2018 “Por el cual se adopta el Marco Regulatorio de Aprovechamiento Económico del Espacio Público”, el IDU recibe retribuciones como gestor y como administrador:</w:t>
      </w:r>
    </w:p>
    <w:p w:rsidR="00A6180B" w:rsidRPr="003B01CD" w:rsidRDefault="00A6180B" w:rsidP="00AF75AF">
      <w:pPr>
        <w:spacing w:line="276" w:lineRule="auto"/>
        <w:jc w:val="both"/>
        <w:rPr>
          <w:rFonts w:ascii="Arial" w:hAnsi="Arial" w:cs="Arial"/>
        </w:rPr>
      </w:pPr>
    </w:p>
    <w:p w:rsidR="00A6180B" w:rsidRPr="003B01CD" w:rsidRDefault="00A6180B" w:rsidP="00D0183B">
      <w:pPr>
        <w:pStyle w:val="Prrafodelista"/>
        <w:numPr>
          <w:ilvl w:val="0"/>
          <w:numId w:val="33"/>
        </w:numPr>
        <w:spacing w:after="0" w:line="276" w:lineRule="auto"/>
        <w:jc w:val="both"/>
        <w:rPr>
          <w:rFonts w:ascii="Arial" w:hAnsi="Arial" w:cs="Arial"/>
          <w:b/>
          <w:szCs w:val="24"/>
        </w:rPr>
      </w:pPr>
      <w:r w:rsidRPr="003B01CD">
        <w:rPr>
          <w:rFonts w:ascii="Arial" w:hAnsi="Arial" w:cs="Arial"/>
          <w:b/>
          <w:szCs w:val="24"/>
        </w:rPr>
        <w:t>Como gestor</w:t>
      </w:r>
    </w:p>
    <w:p w:rsidR="00A6180B" w:rsidRPr="003B01CD" w:rsidRDefault="00A6180B" w:rsidP="00AF75AF">
      <w:pPr>
        <w:pStyle w:val="Prrafodelista"/>
        <w:spacing w:line="276" w:lineRule="auto"/>
        <w:jc w:val="both"/>
        <w:rPr>
          <w:rFonts w:ascii="Arial" w:hAnsi="Arial" w:cs="Arial"/>
          <w:b/>
          <w:szCs w:val="24"/>
        </w:rPr>
      </w:pPr>
    </w:p>
    <w:p w:rsidR="00A6180B" w:rsidRPr="003B01CD" w:rsidRDefault="00A6180B" w:rsidP="00AF75AF">
      <w:pPr>
        <w:spacing w:line="276" w:lineRule="auto"/>
        <w:jc w:val="both"/>
        <w:rPr>
          <w:rFonts w:ascii="Arial" w:hAnsi="Arial" w:cs="Arial"/>
        </w:rPr>
      </w:pPr>
      <w:r w:rsidRPr="003B01CD">
        <w:rPr>
          <w:rFonts w:ascii="Arial" w:hAnsi="Arial" w:cs="Arial"/>
        </w:rPr>
        <w:t>Durante la vigencia 2016 - 2019, se ha tenido el siguiente comportamiento de recaudo por aprovechamiento económico del espacio público del IDU como gestor:</w:t>
      </w:r>
    </w:p>
    <w:p w:rsidR="00A6180B" w:rsidRPr="00FF0D20" w:rsidRDefault="00A6180B" w:rsidP="00AF75AF">
      <w:pPr>
        <w:pStyle w:val="Descripcin"/>
        <w:spacing w:after="0"/>
        <w:rPr>
          <w:rFonts w:ascii="Arial" w:hAnsi="Arial" w:cs="Arial"/>
          <w:color w:val="auto"/>
          <w:lang w:val="es-ES" w:eastAsia="es-ES"/>
        </w:rPr>
      </w:pPr>
      <w:bookmarkStart w:id="145" w:name="_Toc27665377"/>
      <w:r w:rsidRPr="00FF0D20">
        <w:rPr>
          <w:rFonts w:ascii="Arial" w:hAnsi="Arial" w:cs="Arial"/>
          <w:color w:val="auto"/>
        </w:rPr>
        <w:t>Recaudo por aprovechamiento económico como gestor.</w:t>
      </w:r>
      <w:bookmarkEnd w:id="145"/>
    </w:p>
    <w:tbl>
      <w:tblPr>
        <w:tblW w:w="9356" w:type="dxa"/>
        <w:jc w:val="center"/>
        <w:tblCellMar>
          <w:left w:w="70" w:type="dxa"/>
          <w:right w:w="70" w:type="dxa"/>
        </w:tblCellMar>
        <w:tblLook w:val="04A0" w:firstRow="1" w:lastRow="0" w:firstColumn="1" w:lastColumn="0" w:noHBand="0" w:noVBand="1"/>
      </w:tblPr>
      <w:tblGrid>
        <w:gridCol w:w="1843"/>
        <w:gridCol w:w="1418"/>
        <w:gridCol w:w="1559"/>
        <w:gridCol w:w="1417"/>
        <w:gridCol w:w="1520"/>
        <w:gridCol w:w="1599"/>
      </w:tblGrid>
      <w:tr w:rsidR="00A6180B" w:rsidRPr="003B01CD" w:rsidTr="00B85448">
        <w:trPr>
          <w:trHeight w:val="420"/>
          <w:jc w:val="center"/>
        </w:trPr>
        <w:tc>
          <w:tcPr>
            <w:tcW w:w="1843"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CO"/>
              </w:rPr>
            </w:pPr>
            <w:r w:rsidRPr="003B01CD">
              <w:rPr>
                <w:rFonts w:ascii="Arial" w:eastAsia="Arial Unicode MS" w:hAnsi="Arial" w:cs="Arial"/>
                <w:b/>
                <w:bCs/>
                <w:color w:val="000000"/>
                <w:sz w:val="18"/>
              </w:rPr>
              <w:t>Actividad</w:t>
            </w:r>
          </w:p>
        </w:tc>
        <w:tc>
          <w:tcPr>
            <w:tcW w:w="1418"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2016</w:t>
            </w:r>
          </w:p>
        </w:tc>
        <w:tc>
          <w:tcPr>
            <w:tcW w:w="1559"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2017</w:t>
            </w:r>
          </w:p>
        </w:tc>
        <w:tc>
          <w:tcPr>
            <w:tcW w:w="1417"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2018</w:t>
            </w:r>
          </w:p>
        </w:tc>
        <w:tc>
          <w:tcPr>
            <w:tcW w:w="152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2019</w:t>
            </w:r>
          </w:p>
        </w:tc>
        <w:tc>
          <w:tcPr>
            <w:tcW w:w="1599"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Recaudo x actividad</w:t>
            </w:r>
          </w:p>
        </w:tc>
      </w:tr>
      <w:tr w:rsidR="00A6180B" w:rsidRPr="003B01CD" w:rsidTr="00B85448">
        <w:trPr>
          <w:trHeight w:val="330"/>
          <w:jc w:val="center"/>
        </w:trPr>
        <w:tc>
          <w:tcPr>
            <w:tcW w:w="1843" w:type="dxa"/>
            <w:tcBorders>
              <w:top w:val="nil"/>
              <w:left w:val="single" w:sz="4" w:space="0" w:color="auto"/>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Campamentos de obra</w:t>
            </w:r>
          </w:p>
        </w:tc>
        <w:tc>
          <w:tcPr>
            <w:tcW w:w="1418"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$ 541.549.466</w:t>
            </w:r>
          </w:p>
        </w:tc>
        <w:tc>
          <w:tcPr>
            <w:tcW w:w="1559"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$ 508.178.863</w:t>
            </w:r>
          </w:p>
        </w:tc>
        <w:tc>
          <w:tcPr>
            <w:tcW w:w="1417"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$ 371.054.891</w:t>
            </w:r>
          </w:p>
        </w:tc>
        <w:tc>
          <w:tcPr>
            <w:tcW w:w="152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$ 177.649.778</w:t>
            </w:r>
          </w:p>
        </w:tc>
        <w:tc>
          <w:tcPr>
            <w:tcW w:w="1599"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$ 1.598.432.998</w:t>
            </w:r>
          </w:p>
        </w:tc>
      </w:tr>
      <w:tr w:rsidR="00A6180B" w:rsidRPr="003B01CD" w:rsidTr="00B85448">
        <w:trPr>
          <w:trHeight w:val="330"/>
          <w:jc w:val="center"/>
        </w:trPr>
        <w:tc>
          <w:tcPr>
            <w:tcW w:w="1843" w:type="dxa"/>
            <w:tcBorders>
              <w:top w:val="nil"/>
              <w:left w:val="single" w:sz="4" w:space="0" w:color="auto"/>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Ocupaciones temporales de obra</w:t>
            </w:r>
          </w:p>
        </w:tc>
        <w:tc>
          <w:tcPr>
            <w:tcW w:w="1418"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$ 0</w:t>
            </w:r>
          </w:p>
        </w:tc>
        <w:tc>
          <w:tcPr>
            <w:tcW w:w="1559"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$ 325.564.429</w:t>
            </w:r>
          </w:p>
        </w:tc>
        <w:tc>
          <w:tcPr>
            <w:tcW w:w="1417"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$ 275.418.251</w:t>
            </w:r>
          </w:p>
        </w:tc>
        <w:tc>
          <w:tcPr>
            <w:tcW w:w="152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$ 651.301.493</w:t>
            </w:r>
          </w:p>
        </w:tc>
        <w:tc>
          <w:tcPr>
            <w:tcW w:w="1599"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$ 1.252.284.173</w:t>
            </w:r>
          </w:p>
        </w:tc>
      </w:tr>
      <w:tr w:rsidR="00A6180B" w:rsidRPr="003B01CD" w:rsidTr="00B85448">
        <w:trPr>
          <w:trHeight w:val="330"/>
          <w:jc w:val="center"/>
        </w:trPr>
        <w:tc>
          <w:tcPr>
            <w:tcW w:w="1843" w:type="dxa"/>
            <w:tcBorders>
              <w:top w:val="nil"/>
              <w:left w:val="single" w:sz="4" w:space="0" w:color="auto"/>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xml:space="preserve">Corto plazo </w:t>
            </w:r>
          </w:p>
        </w:tc>
        <w:tc>
          <w:tcPr>
            <w:tcW w:w="1418"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$ 240.806.123</w:t>
            </w:r>
          </w:p>
        </w:tc>
        <w:tc>
          <w:tcPr>
            <w:tcW w:w="1559"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$ 290.819.963</w:t>
            </w:r>
          </w:p>
        </w:tc>
        <w:tc>
          <w:tcPr>
            <w:tcW w:w="1417"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$ 291.407.010</w:t>
            </w:r>
          </w:p>
        </w:tc>
        <w:tc>
          <w:tcPr>
            <w:tcW w:w="152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$ 231.338.730</w:t>
            </w:r>
          </w:p>
        </w:tc>
        <w:tc>
          <w:tcPr>
            <w:tcW w:w="1599"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$ 1.054.371.826</w:t>
            </w:r>
          </w:p>
        </w:tc>
      </w:tr>
      <w:tr w:rsidR="00A6180B" w:rsidRPr="003B01CD" w:rsidTr="00B85448">
        <w:trPr>
          <w:trHeight w:val="278"/>
          <w:jc w:val="center"/>
        </w:trPr>
        <w:tc>
          <w:tcPr>
            <w:tcW w:w="1843" w:type="dxa"/>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Recaudo x año</w:t>
            </w:r>
          </w:p>
        </w:tc>
        <w:tc>
          <w:tcPr>
            <w:tcW w:w="1418"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$ 782.355.589</w:t>
            </w:r>
          </w:p>
        </w:tc>
        <w:tc>
          <w:tcPr>
            <w:tcW w:w="1559"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$ 1.124.563.255</w:t>
            </w:r>
          </w:p>
        </w:tc>
        <w:tc>
          <w:tcPr>
            <w:tcW w:w="1417"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$ 937.880.152</w:t>
            </w:r>
          </w:p>
        </w:tc>
        <w:tc>
          <w:tcPr>
            <w:tcW w:w="1520"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$ 1.060.290.001</w:t>
            </w:r>
          </w:p>
        </w:tc>
        <w:tc>
          <w:tcPr>
            <w:tcW w:w="1599"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$ 3.905.088.997</w:t>
            </w:r>
          </w:p>
        </w:tc>
      </w:tr>
    </w:tbl>
    <w:p w:rsidR="00A6180B" w:rsidRPr="003B01CD" w:rsidRDefault="00A6180B" w:rsidP="00AF75AF">
      <w:pPr>
        <w:spacing w:line="276" w:lineRule="auto"/>
        <w:jc w:val="both"/>
        <w:rPr>
          <w:rFonts w:ascii="Arial" w:hAnsi="Arial" w:cs="Arial"/>
          <w:sz w:val="20"/>
          <w:lang w:val="es-ES" w:eastAsia="es-ES"/>
        </w:rPr>
      </w:pPr>
      <w:r w:rsidRPr="003B01CD">
        <w:rPr>
          <w:rFonts w:ascii="Arial" w:hAnsi="Arial" w:cs="Arial"/>
          <w:sz w:val="20"/>
        </w:rPr>
        <w:t>Fuente: Dirección Técnica de Administración de Infraestructura IDU</w:t>
      </w:r>
    </w:p>
    <w:p w:rsidR="00A6180B" w:rsidRPr="003B01CD" w:rsidRDefault="00A6180B" w:rsidP="00AF75AF">
      <w:pPr>
        <w:spacing w:line="276" w:lineRule="auto"/>
        <w:jc w:val="both"/>
        <w:rPr>
          <w:rFonts w:ascii="Arial" w:hAnsi="Arial" w:cs="Arial"/>
          <w:sz w:val="20"/>
          <w:lang w:val="es-ES" w:eastAsia="es-ES"/>
        </w:rPr>
      </w:pPr>
    </w:p>
    <w:p w:rsidR="00A6180B" w:rsidRPr="003B01CD" w:rsidRDefault="00A6180B" w:rsidP="00D0183B">
      <w:pPr>
        <w:pStyle w:val="Prrafodelista"/>
        <w:numPr>
          <w:ilvl w:val="0"/>
          <w:numId w:val="33"/>
        </w:numPr>
        <w:spacing w:after="0" w:line="276" w:lineRule="auto"/>
        <w:jc w:val="both"/>
        <w:rPr>
          <w:rFonts w:ascii="Arial" w:hAnsi="Arial" w:cs="Arial"/>
          <w:b/>
          <w:szCs w:val="24"/>
        </w:rPr>
      </w:pPr>
      <w:r w:rsidRPr="003B01CD">
        <w:rPr>
          <w:rFonts w:ascii="Arial" w:hAnsi="Arial" w:cs="Arial"/>
          <w:b/>
          <w:szCs w:val="24"/>
        </w:rPr>
        <w:t>Como administrador</w:t>
      </w:r>
    </w:p>
    <w:p w:rsidR="00A6180B" w:rsidRPr="003B01CD" w:rsidRDefault="00A6180B" w:rsidP="00AF75AF">
      <w:pPr>
        <w:pStyle w:val="Prrafodelista"/>
        <w:spacing w:line="276" w:lineRule="auto"/>
        <w:jc w:val="both"/>
        <w:rPr>
          <w:rFonts w:ascii="Arial" w:hAnsi="Arial" w:cs="Arial"/>
          <w:b/>
          <w:szCs w:val="24"/>
        </w:rPr>
      </w:pPr>
    </w:p>
    <w:p w:rsidR="00A6180B" w:rsidRPr="003B01CD" w:rsidRDefault="00A6180B" w:rsidP="00AF75AF">
      <w:pPr>
        <w:spacing w:line="276" w:lineRule="auto"/>
        <w:jc w:val="both"/>
        <w:rPr>
          <w:rFonts w:ascii="Arial" w:hAnsi="Arial" w:cs="Arial"/>
        </w:rPr>
      </w:pPr>
      <w:r w:rsidRPr="003B01CD">
        <w:rPr>
          <w:rFonts w:ascii="Arial" w:hAnsi="Arial" w:cs="Arial"/>
        </w:rPr>
        <w:t>Durante la vigencia 2016 - 2019, se ha tenido el siguiente comportamiento de recaudo por aprovechamiento económico del espacio público del IDU como administrador:</w:t>
      </w:r>
    </w:p>
    <w:p w:rsidR="00A6180B" w:rsidRPr="008C48CA" w:rsidRDefault="00A6180B" w:rsidP="00AF75AF">
      <w:pPr>
        <w:pStyle w:val="Descripcin"/>
        <w:spacing w:after="0"/>
        <w:rPr>
          <w:rFonts w:ascii="Arial" w:hAnsi="Arial" w:cs="Arial"/>
          <w:color w:val="auto"/>
          <w:lang w:val="es-ES" w:eastAsia="es-ES"/>
        </w:rPr>
      </w:pPr>
      <w:bookmarkStart w:id="146" w:name="_Toc27665378"/>
      <w:r w:rsidRPr="008C48CA">
        <w:rPr>
          <w:rFonts w:ascii="Arial" w:hAnsi="Arial" w:cs="Arial"/>
          <w:color w:val="auto"/>
        </w:rPr>
        <w:t>Recaudo por aprovechamiento económico como administrador.</w:t>
      </w:r>
      <w:bookmarkEnd w:id="146"/>
    </w:p>
    <w:tbl>
      <w:tblPr>
        <w:tblW w:w="9639" w:type="dxa"/>
        <w:tblInd w:w="-356" w:type="dxa"/>
        <w:tblCellMar>
          <w:left w:w="70" w:type="dxa"/>
          <w:right w:w="70" w:type="dxa"/>
        </w:tblCellMar>
        <w:tblLook w:val="04A0" w:firstRow="1" w:lastRow="0" w:firstColumn="1" w:lastColumn="0" w:noHBand="0" w:noVBand="1"/>
      </w:tblPr>
      <w:tblGrid>
        <w:gridCol w:w="2835"/>
        <w:gridCol w:w="1300"/>
        <w:gridCol w:w="1300"/>
        <w:gridCol w:w="1300"/>
        <w:gridCol w:w="1300"/>
        <w:gridCol w:w="1604"/>
      </w:tblGrid>
      <w:tr w:rsidR="00A6180B" w:rsidRPr="003B01CD" w:rsidTr="00B85448">
        <w:trPr>
          <w:trHeight w:val="330"/>
        </w:trPr>
        <w:tc>
          <w:tcPr>
            <w:tcW w:w="2835"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CO"/>
              </w:rPr>
            </w:pPr>
            <w:r w:rsidRPr="003B01CD">
              <w:rPr>
                <w:rFonts w:ascii="Arial" w:eastAsia="Arial Unicode MS" w:hAnsi="Arial" w:cs="Arial"/>
                <w:b/>
                <w:bCs/>
                <w:color w:val="000000"/>
                <w:sz w:val="18"/>
              </w:rPr>
              <w:t>Actividad</w:t>
            </w:r>
          </w:p>
        </w:tc>
        <w:tc>
          <w:tcPr>
            <w:tcW w:w="130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2016</w:t>
            </w:r>
          </w:p>
        </w:tc>
        <w:tc>
          <w:tcPr>
            <w:tcW w:w="130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2017</w:t>
            </w:r>
          </w:p>
        </w:tc>
        <w:tc>
          <w:tcPr>
            <w:tcW w:w="130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2018</w:t>
            </w:r>
          </w:p>
        </w:tc>
        <w:tc>
          <w:tcPr>
            <w:tcW w:w="130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2019</w:t>
            </w:r>
          </w:p>
        </w:tc>
        <w:tc>
          <w:tcPr>
            <w:tcW w:w="1604"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Recaudo x actividad</w:t>
            </w:r>
          </w:p>
        </w:tc>
      </w:tr>
      <w:tr w:rsidR="00A6180B" w:rsidRPr="003B01CD" w:rsidTr="00B85448">
        <w:trPr>
          <w:trHeight w:val="33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Permiso unificado de filmaciones PUFA (IDARTES)</w:t>
            </w:r>
          </w:p>
        </w:tc>
        <w:tc>
          <w:tcPr>
            <w:tcW w:w="1300"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$ 217.761.030</w:t>
            </w:r>
          </w:p>
        </w:tc>
        <w:tc>
          <w:tcPr>
            <w:tcW w:w="1300"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$ 314.282.266</w:t>
            </w:r>
          </w:p>
        </w:tc>
        <w:tc>
          <w:tcPr>
            <w:tcW w:w="1300"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$ 783.225.846</w:t>
            </w:r>
          </w:p>
        </w:tc>
        <w:tc>
          <w:tcPr>
            <w:tcW w:w="1300"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$ 343.910.850</w:t>
            </w:r>
          </w:p>
        </w:tc>
        <w:tc>
          <w:tcPr>
            <w:tcW w:w="1604" w:type="dxa"/>
            <w:tcBorders>
              <w:top w:val="single" w:sz="4" w:space="0" w:color="auto"/>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b/>
                <w:color w:val="000000"/>
                <w:sz w:val="18"/>
                <w:lang w:val="es-ES" w:eastAsia="es-ES"/>
              </w:rPr>
            </w:pPr>
            <w:r w:rsidRPr="003B01CD">
              <w:rPr>
                <w:rFonts w:ascii="Arial" w:eastAsia="Arial Unicode MS" w:hAnsi="Arial" w:cs="Arial"/>
                <w:b/>
                <w:color w:val="000000"/>
                <w:sz w:val="18"/>
              </w:rPr>
              <w:t>$ 1.659.179.992</w:t>
            </w:r>
          </w:p>
        </w:tc>
      </w:tr>
      <w:tr w:rsidR="00A6180B" w:rsidRPr="003B01CD" w:rsidTr="00B85448">
        <w:trPr>
          <w:trHeight w:val="33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Carrera atléticas (IDRD)</w:t>
            </w:r>
          </w:p>
        </w:tc>
        <w:tc>
          <w:tcPr>
            <w:tcW w:w="1300"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$ 63.364.688</w:t>
            </w:r>
          </w:p>
        </w:tc>
        <w:tc>
          <w:tcPr>
            <w:tcW w:w="1300"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$ 78.184.945</w:t>
            </w:r>
          </w:p>
        </w:tc>
        <w:tc>
          <w:tcPr>
            <w:tcW w:w="1300"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$ 95.536.139</w:t>
            </w:r>
          </w:p>
        </w:tc>
        <w:tc>
          <w:tcPr>
            <w:tcW w:w="1300"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$ 73.891.701</w:t>
            </w:r>
          </w:p>
        </w:tc>
        <w:tc>
          <w:tcPr>
            <w:tcW w:w="1604" w:type="dxa"/>
            <w:tcBorders>
              <w:top w:val="single" w:sz="4" w:space="0" w:color="auto"/>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b/>
                <w:color w:val="000000"/>
                <w:sz w:val="18"/>
                <w:lang w:val="es-ES" w:eastAsia="es-ES"/>
              </w:rPr>
            </w:pPr>
            <w:r w:rsidRPr="003B01CD">
              <w:rPr>
                <w:rFonts w:ascii="Arial" w:eastAsia="Arial Unicode MS" w:hAnsi="Arial" w:cs="Arial"/>
                <w:b/>
                <w:color w:val="000000"/>
                <w:sz w:val="18"/>
              </w:rPr>
              <w:t>$ 310.977.473</w:t>
            </w:r>
          </w:p>
        </w:tc>
      </w:tr>
      <w:tr w:rsidR="00A6180B" w:rsidRPr="003B01CD" w:rsidTr="00B85448">
        <w:trPr>
          <w:trHeight w:val="33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Mercados temporales (SDDE)</w:t>
            </w:r>
          </w:p>
        </w:tc>
        <w:tc>
          <w:tcPr>
            <w:tcW w:w="1300"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$ 0</w:t>
            </w:r>
          </w:p>
        </w:tc>
        <w:tc>
          <w:tcPr>
            <w:tcW w:w="1300"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$ 4.864.779</w:t>
            </w:r>
          </w:p>
        </w:tc>
        <w:tc>
          <w:tcPr>
            <w:tcW w:w="1300"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$ 58.728.806</w:t>
            </w:r>
          </w:p>
        </w:tc>
        <w:tc>
          <w:tcPr>
            <w:tcW w:w="1300"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$ 59.470.598</w:t>
            </w:r>
          </w:p>
        </w:tc>
        <w:tc>
          <w:tcPr>
            <w:tcW w:w="1604" w:type="dxa"/>
            <w:tcBorders>
              <w:top w:val="single" w:sz="4" w:space="0" w:color="auto"/>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b/>
                <w:color w:val="000000"/>
                <w:sz w:val="18"/>
                <w:lang w:val="es-ES" w:eastAsia="es-ES"/>
              </w:rPr>
            </w:pPr>
            <w:r w:rsidRPr="003B01CD">
              <w:rPr>
                <w:rFonts w:ascii="Arial" w:eastAsia="Arial Unicode MS" w:hAnsi="Arial" w:cs="Arial"/>
                <w:b/>
                <w:color w:val="000000"/>
                <w:sz w:val="18"/>
              </w:rPr>
              <w:t>$ 123.064.183</w:t>
            </w:r>
          </w:p>
        </w:tc>
      </w:tr>
      <w:tr w:rsidR="00A6180B" w:rsidRPr="003B01CD" w:rsidTr="00B85448">
        <w:trPr>
          <w:trHeight w:val="33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Otros proyectos</w:t>
            </w:r>
          </w:p>
        </w:tc>
        <w:tc>
          <w:tcPr>
            <w:tcW w:w="1300"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$ 10.560.698</w:t>
            </w:r>
          </w:p>
        </w:tc>
        <w:tc>
          <w:tcPr>
            <w:tcW w:w="1300"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$ 0</w:t>
            </w:r>
          </w:p>
        </w:tc>
        <w:tc>
          <w:tcPr>
            <w:tcW w:w="1300"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$ 0</w:t>
            </w:r>
          </w:p>
        </w:tc>
        <w:tc>
          <w:tcPr>
            <w:tcW w:w="1300"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$ 0</w:t>
            </w:r>
          </w:p>
        </w:tc>
        <w:tc>
          <w:tcPr>
            <w:tcW w:w="1604" w:type="dxa"/>
            <w:tcBorders>
              <w:top w:val="single" w:sz="4" w:space="0" w:color="auto"/>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b/>
                <w:color w:val="000000"/>
                <w:sz w:val="18"/>
                <w:lang w:val="es-ES" w:eastAsia="es-ES"/>
              </w:rPr>
            </w:pPr>
            <w:r w:rsidRPr="003B01CD">
              <w:rPr>
                <w:rFonts w:ascii="Arial" w:eastAsia="Arial Unicode MS" w:hAnsi="Arial" w:cs="Arial"/>
                <w:b/>
                <w:color w:val="000000"/>
                <w:sz w:val="18"/>
              </w:rPr>
              <w:t>$ 10.560.698</w:t>
            </w:r>
          </w:p>
        </w:tc>
      </w:tr>
      <w:tr w:rsidR="00A6180B" w:rsidRPr="003B01CD" w:rsidTr="00B85448">
        <w:trPr>
          <w:trHeight w:val="238"/>
        </w:trPr>
        <w:tc>
          <w:tcPr>
            <w:tcW w:w="2835" w:type="dxa"/>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Recaudo x año</w:t>
            </w:r>
          </w:p>
        </w:tc>
        <w:tc>
          <w:tcPr>
            <w:tcW w:w="1300"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$ 291.686.416</w:t>
            </w:r>
          </w:p>
        </w:tc>
        <w:tc>
          <w:tcPr>
            <w:tcW w:w="1300"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$ 397.331.990</w:t>
            </w:r>
          </w:p>
        </w:tc>
        <w:tc>
          <w:tcPr>
            <w:tcW w:w="1300"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$ 937.490.791</w:t>
            </w:r>
          </w:p>
        </w:tc>
        <w:tc>
          <w:tcPr>
            <w:tcW w:w="1300"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$ 477.273.149</w:t>
            </w:r>
          </w:p>
        </w:tc>
        <w:tc>
          <w:tcPr>
            <w:tcW w:w="1604"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$ 2.103.782.346</w:t>
            </w:r>
          </w:p>
        </w:tc>
      </w:tr>
    </w:tbl>
    <w:p w:rsidR="00A6180B" w:rsidRPr="003B01CD" w:rsidRDefault="00A6180B" w:rsidP="00AF75AF">
      <w:pPr>
        <w:spacing w:line="276" w:lineRule="auto"/>
        <w:jc w:val="both"/>
        <w:rPr>
          <w:rFonts w:ascii="Arial" w:hAnsi="Arial" w:cs="Arial"/>
          <w:sz w:val="20"/>
          <w:lang w:val="es-ES" w:eastAsia="es-ES"/>
        </w:rPr>
      </w:pPr>
      <w:r w:rsidRPr="003B01CD">
        <w:rPr>
          <w:rFonts w:ascii="Arial" w:hAnsi="Arial" w:cs="Arial"/>
          <w:sz w:val="20"/>
        </w:rPr>
        <w:t>Fuente: Dirección Técnica de Administración de Infraestructura IDU</w:t>
      </w:r>
    </w:p>
    <w:p w:rsidR="00A6180B" w:rsidRPr="003B01CD" w:rsidRDefault="00A6180B" w:rsidP="00AF75AF">
      <w:pPr>
        <w:spacing w:line="276" w:lineRule="auto"/>
        <w:jc w:val="both"/>
        <w:rPr>
          <w:rFonts w:ascii="Arial" w:hAnsi="Arial" w:cs="Arial"/>
          <w:lang w:val="es-ES"/>
        </w:rPr>
      </w:pPr>
    </w:p>
    <w:p w:rsidR="00A6180B" w:rsidRPr="003B01CD" w:rsidRDefault="00A6180B" w:rsidP="00D0183B">
      <w:pPr>
        <w:pStyle w:val="Prrafodelista"/>
        <w:numPr>
          <w:ilvl w:val="0"/>
          <w:numId w:val="33"/>
        </w:numPr>
        <w:spacing w:after="0" w:line="276" w:lineRule="auto"/>
        <w:jc w:val="both"/>
        <w:rPr>
          <w:rFonts w:ascii="Arial" w:hAnsi="Arial" w:cs="Arial"/>
          <w:b/>
          <w:szCs w:val="24"/>
        </w:rPr>
      </w:pPr>
      <w:r w:rsidRPr="003B01CD">
        <w:rPr>
          <w:rFonts w:ascii="Arial" w:hAnsi="Arial" w:cs="Arial"/>
          <w:b/>
          <w:szCs w:val="24"/>
        </w:rPr>
        <w:t>Estaciones radioeléctricas</w:t>
      </w:r>
    </w:p>
    <w:p w:rsidR="00A6180B" w:rsidRPr="003B01CD" w:rsidRDefault="00A6180B" w:rsidP="00AF75AF">
      <w:pPr>
        <w:pStyle w:val="Prrafodelista"/>
        <w:spacing w:line="276" w:lineRule="auto"/>
        <w:jc w:val="both"/>
        <w:rPr>
          <w:rFonts w:ascii="Arial" w:hAnsi="Arial" w:cs="Arial"/>
          <w:b/>
          <w:szCs w:val="24"/>
        </w:rPr>
      </w:pPr>
    </w:p>
    <w:p w:rsidR="00A6180B" w:rsidRPr="003B01CD" w:rsidRDefault="00A6180B" w:rsidP="00AF75AF">
      <w:pPr>
        <w:spacing w:line="276" w:lineRule="auto"/>
        <w:jc w:val="both"/>
        <w:rPr>
          <w:rFonts w:ascii="Arial" w:hAnsi="Arial" w:cs="Arial"/>
          <w:szCs w:val="24"/>
        </w:rPr>
      </w:pPr>
      <w:r w:rsidRPr="003B01CD">
        <w:rPr>
          <w:rFonts w:ascii="Arial" w:hAnsi="Arial" w:cs="Arial"/>
          <w:szCs w:val="24"/>
        </w:rPr>
        <w:t>El IDU recibe los recursos provenientes de la instalación de estaciones radioeléctricas ubicadas en elementos de espacio público administrado por la Entidad, en cumplimiento del Decreto 397 de 2017.</w:t>
      </w:r>
    </w:p>
    <w:p w:rsidR="00A6180B" w:rsidRPr="003B01CD" w:rsidRDefault="00A6180B" w:rsidP="00AF75AF">
      <w:pPr>
        <w:spacing w:line="276" w:lineRule="auto"/>
        <w:jc w:val="both"/>
        <w:rPr>
          <w:rFonts w:ascii="Arial" w:hAnsi="Arial" w:cs="Arial"/>
          <w:szCs w:val="24"/>
        </w:rPr>
      </w:pPr>
    </w:p>
    <w:p w:rsidR="00A6180B" w:rsidRPr="003B01CD" w:rsidRDefault="00A6180B" w:rsidP="00AF75AF">
      <w:pPr>
        <w:spacing w:line="276" w:lineRule="auto"/>
        <w:jc w:val="both"/>
        <w:rPr>
          <w:rFonts w:ascii="Arial" w:hAnsi="Arial" w:cs="Arial"/>
        </w:rPr>
      </w:pPr>
      <w:r w:rsidRPr="003B01CD">
        <w:rPr>
          <w:rFonts w:ascii="Arial" w:hAnsi="Arial" w:cs="Arial"/>
        </w:rPr>
        <w:t>Durante la vigencia 2016 - 2019, se ha tenido el siguiente comportamiento de recaudo de aprovechamiento económico por estaciones radioeléctricas:</w:t>
      </w:r>
    </w:p>
    <w:p w:rsidR="00A6180B" w:rsidRPr="003B01CD" w:rsidRDefault="00A6180B" w:rsidP="00AF75AF">
      <w:pPr>
        <w:spacing w:line="276" w:lineRule="auto"/>
        <w:jc w:val="both"/>
        <w:rPr>
          <w:rFonts w:ascii="Arial" w:hAnsi="Arial" w:cs="Arial"/>
        </w:rPr>
      </w:pPr>
    </w:p>
    <w:p w:rsidR="00A6180B" w:rsidRPr="00695450" w:rsidRDefault="00A6180B" w:rsidP="00695450">
      <w:pPr>
        <w:pStyle w:val="Descripcin"/>
        <w:spacing w:after="0"/>
        <w:ind w:firstLine="708"/>
        <w:rPr>
          <w:rFonts w:ascii="Arial" w:hAnsi="Arial" w:cs="Arial"/>
          <w:color w:val="auto"/>
        </w:rPr>
      </w:pPr>
      <w:bookmarkStart w:id="147" w:name="_Toc27665379"/>
      <w:r w:rsidRPr="00695450">
        <w:rPr>
          <w:rFonts w:ascii="Arial" w:hAnsi="Arial" w:cs="Arial"/>
          <w:color w:val="auto"/>
        </w:rPr>
        <w:t>Recaudo de aprovechamiento económico por estaciones radioeléctricas.</w:t>
      </w:r>
      <w:bookmarkEnd w:id="147"/>
    </w:p>
    <w:tbl>
      <w:tblPr>
        <w:tblW w:w="7780" w:type="dxa"/>
        <w:jc w:val="center"/>
        <w:tblCellMar>
          <w:left w:w="70" w:type="dxa"/>
          <w:right w:w="70" w:type="dxa"/>
        </w:tblCellMar>
        <w:tblLook w:val="04A0" w:firstRow="1" w:lastRow="0" w:firstColumn="1" w:lastColumn="0" w:noHBand="0" w:noVBand="1"/>
      </w:tblPr>
      <w:tblGrid>
        <w:gridCol w:w="3220"/>
        <w:gridCol w:w="1300"/>
        <w:gridCol w:w="1300"/>
        <w:gridCol w:w="1960"/>
      </w:tblGrid>
      <w:tr w:rsidR="00A6180B" w:rsidRPr="003B01CD" w:rsidTr="00B85448">
        <w:trPr>
          <w:trHeight w:val="330"/>
          <w:jc w:val="center"/>
        </w:trPr>
        <w:tc>
          <w:tcPr>
            <w:tcW w:w="3220"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CO"/>
              </w:rPr>
            </w:pPr>
            <w:r w:rsidRPr="003B01CD">
              <w:rPr>
                <w:rFonts w:ascii="Arial" w:eastAsia="Arial Unicode MS" w:hAnsi="Arial" w:cs="Arial"/>
                <w:b/>
                <w:bCs/>
                <w:color w:val="000000"/>
                <w:sz w:val="18"/>
              </w:rPr>
              <w:t>Actividad</w:t>
            </w:r>
          </w:p>
        </w:tc>
        <w:tc>
          <w:tcPr>
            <w:tcW w:w="130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2018</w:t>
            </w:r>
          </w:p>
        </w:tc>
        <w:tc>
          <w:tcPr>
            <w:tcW w:w="130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2019</w:t>
            </w:r>
          </w:p>
        </w:tc>
        <w:tc>
          <w:tcPr>
            <w:tcW w:w="196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Recaudo x actividad</w:t>
            </w:r>
          </w:p>
        </w:tc>
      </w:tr>
      <w:tr w:rsidR="00A6180B" w:rsidRPr="003B01CD" w:rsidTr="00B85448">
        <w:trPr>
          <w:trHeight w:val="510"/>
          <w:jc w:val="center"/>
        </w:trPr>
        <w:tc>
          <w:tcPr>
            <w:tcW w:w="3220" w:type="dxa"/>
            <w:tcBorders>
              <w:top w:val="nil"/>
              <w:left w:val="single" w:sz="4" w:space="0" w:color="auto"/>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Estaciones radioeléctricas (SDP)</w:t>
            </w:r>
          </w:p>
        </w:tc>
        <w:tc>
          <w:tcPr>
            <w:tcW w:w="130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$ 106.598.396</w:t>
            </w:r>
          </w:p>
        </w:tc>
        <w:tc>
          <w:tcPr>
            <w:tcW w:w="1300" w:type="dxa"/>
            <w:tcBorders>
              <w:top w:val="nil"/>
              <w:left w:val="nil"/>
              <w:bottom w:val="single" w:sz="4" w:space="0" w:color="auto"/>
              <w:right w:val="single" w:sz="4" w:space="0" w:color="auto"/>
            </w:tcBorders>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$ 859.745.895</w:t>
            </w:r>
          </w:p>
        </w:tc>
        <w:tc>
          <w:tcPr>
            <w:tcW w:w="1960"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$ 966.344.291</w:t>
            </w:r>
          </w:p>
        </w:tc>
      </w:tr>
    </w:tbl>
    <w:p w:rsidR="00A6180B" w:rsidRPr="003B01CD" w:rsidRDefault="00A6180B" w:rsidP="00AF75AF">
      <w:pPr>
        <w:spacing w:line="276" w:lineRule="auto"/>
        <w:jc w:val="both"/>
        <w:rPr>
          <w:rFonts w:ascii="Arial" w:hAnsi="Arial" w:cs="Arial"/>
          <w:sz w:val="20"/>
        </w:rPr>
      </w:pPr>
      <w:r w:rsidRPr="003B01CD">
        <w:rPr>
          <w:rFonts w:ascii="Arial" w:hAnsi="Arial" w:cs="Arial"/>
          <w:sz w:val="20"/>
        </w:rPr>
        <w:t>Fuente: Dirección Técnica de Administración de Infraestructura IDU</w:t>
      </w:r>
    </w:p>
    <w:p w:rsidR="00A6180B" w:rsidRPr="003B01CD" w:rsidRDefault="00A6180B" w:rsidP="00AF75AF">
      <w:pPr>
        <w:spacing w:line="276" w:lineRule="auto"/>
        <w:jc w:val="both"/>
        <w:rPr>
          <w:rFonts w:ascii="Arial" w:hAnsi="Arial" w:cs="Arial"/>
          <w:sz w:val="20"/>
          <w:lang w:val="es-ES" w:eastAsia="es-ES"/>
        </w:rPr>
      </w:pPr>
    </w:p>
    <w:p w:rsidR="00A6180B" w:rsidRPr="003B01CD" w:rsidRDefault="00A6180B" w:rsidP="00D0183B">
      <w:pPr>
        <w:pStyle w:val="Prrafodelista"/>
        <w:numPr>
          <w:ilvl w:val="0"/>
          <w:numId w:val="33"/>
        </w:numPr>
        <w:spacing w:after="0" w:line="276" w:lineRule="auto"/>
        <w:jc w:val="both"/>
        <w:rPr>
          <w:rFonts w:ascii="Arial" w:hAnsi="Arial" w:cs="Arial"/>
          <w:b/>
          <w:szCs w:val="24"/>
        </w:rPr>
      </w:pPr>
      <w:r w:rsidRPr="003B01CD">
        <w:rPr>
          <w:rFonts w:ascii="Arial" w:hAnsi="Arial" w:cs="Arial"/>
          <w:b/>
          <w:szCs w:val="24"/>
        </w:rPr>
        <w:t>Estado general de recaudo por aprovechamiento económico</w:t>
      </w:r>
    </w:p>
    <w:p w:rsidR="00A6180B" w:rsidRPr="003B01CD" w:rsidRDefault="00A6180B" w:rsidP="00AF75AF">
      <w:pPr>
        <w:spacing w:line="276" w:lineRule="auto"/>
        <w:jc w:val="both"/>
        <w:rPr>
          <w:rFonts w:ascii="Arial" w:hAnsi="Arial" w:cs="Arial"/>
          <w:szCs w:val="24"/>
        </w:rPr>
      </w:pPr>
    </w:p>
    <w:p w:rsidR="00A6180B" w:rsidRPr="003B01CD" w:rsidRDefault="00A6180B" w:rsidP="00AF75AF">
      <w:pPr>
        <w:spacing w:line="276" w:lineRule="auto"/>
        <w:jc w:val="both"/>
        <w:rPr>
          <w:rFonts w:ascii="Arial" w:hAnsi="Arial" w:cs="Arial"/>
          <w:szCs w:val="24"/>
        </w:rPr>
      </w:pPr>
      <w:r w:rsidRPr="003B01CD">
        <w:rPr>
          <w:rFonts w:ascii="Arial" w:hAnsi="Arial" w:cs="Arial"/>
          <w:szCs w:val="24"/>
        </w:rPr>
        <w:t xml:space="preserve">En la presente administración se logró un recaudo total de </w:t>
      </w:r>
      <w:r w:rsidRPr="003B01CD">
        <w:rPr>
          <w:rFonts w:ascii="Arial" w:hAnsi="Arial" w:cs="Arial"/>
          <w:b/>
          <w:szCs w:val="24"/>
        </w:rPr>
        <w:t>$6.975.215.634</w:t>
      </w:r>
      <w:r w:rsidRPr="003B01CD">
        <w:rPr>
          <w:rFonts w:ascii="Arial" w:hAnsi="Arial" w:cs="Arial"/>
          <w:szCs w:val="24"/>
        </w:rPr>
        <w:t>.</w:t>
      </w:r>
    </w:p>
    <w:p w:rsidR="00A6180B" w:rsidRPr="007F07B1" w:rsidRDefault="00A6180B" w:rsidP="00AF75AF">
      <w:pPr>
        <w:spacing w:line="276" w:lineRule="auto"/>
        <w:jc w:val="both"/>
        <w:rPr>
          <w:rFonts w:ascii="Arial" w:hAnsi="Arial" w:cs="Arial"/>
        </w:rPr>
      </w:pPr>
    </w:p>
    <w:p w:rsidR="00A6180B" w:rsidRPr="007F07B1" w:rsidRDefault="00A6180B" w:rsidP="00D0183B">
      <w:pPr>
        <w:pStyle w:val="Ttulo3"/>
        <w:keepNext w:val="0"/>
        <w:keepLines w:val="0"/>
        <w:numPr>
          <w:ilvl w:val="1"/>
          <w:numId w:val="54"/>
        </w:numPr>
        <w:tabs>
          <w:tab w:val="left" w:pos="993"/>
        </w:tabs>
        <w:spacing w:before="0" w:line="276" w:lineRule="auto"/>
        <w:ind w:left="567" w:hanging="283"/>
        <w:jc w:val="both"/>
        <w:rPr>
          <w:rFonts w:ascii="Arial" w:hAnsi="Arial" w:cs="Arial"/>
          <w:b/>
          <w:color w:val="auto"/>
          <w:sz w:val="22"/>
          <w:szCs w:val="22"/>
          <w:lang w:val="es-ES"/>
        </w:rPr>
      </w:pPr>
      <w:bookmarkStart w:id="148" w:name="_Toc27665258"/>
      <w:bookmarkStart w:id="149" w:name="_Toc30774641"/>
      <w:r w:rsidRPr="007F07B1">
        <w:rPr>
          <w:rFonts w:ascii="Arial" w:hAnsi="Arial" w:cs="Arial"/>
          <w:b/>
          <w:color w:val="auto"/>
          <w:sz w:val="22"/>
          <w:szCs w:val="22"/>
        </w:rPr>
        <w:t>ADMINISTRACIÓN DE PARQUEADEROS A CARGO DE LA ENTIDAD</w:t>
      </w:r>
      <w:bookmarkEnd w:id="148"/>
      <w:bookmarkEnd w:id="149"/>
    </w:p>
    <w:p w:rsidR="00A6180B" w:rsidRPr="007F07B1" w:rsidRDefault="00A6180B" w:rsidP="00AF75AF">
      <w:pPr>
        <w:spacing w:line="276" w:lineRule="auto"/>
        <w:jc w:val="both"/>
        <w:rPr>
          <w:rFonts w:ascii="Arial" w:hAnsi="Arial" w:cs="Arial"/>
        </w:rPr>
      </w:pPr>
    </w:p>
    <w:p w:rsidR="00A6180B" w:rsidRPr="003B01CD" w:rsidRDefault="00A6180B" w:rsidP="00AF75AF">
      <w:pPr>
        <w:spacing w:line="276" w:lineRule="auto"/>
        <w:jc w:val="both"/>
        <w:rPr>
          <w:rFonts w:ascii="Arial" w:hAnsi="Arial" w:cs="Arial"/>
        </w:rPr>
      </w:pPr>
      <w:r w:rsidRPr="003B01CD">
        <w:rPr>
          <w:rFonts w:ascii="Arial" w:hAnsi="Arial" w:cs="Arial"/>
        </w:rPr>
        <w:t>El Instituto ha venido administrando diez (10) parqueaderos, cuatro (4) parqueaderos subterráneos y seis (6) parqueaderos a nivel, para lo cual se adelantaron las siguientes gestiones.</w:t>
      </w:r>
    </w:p>
    <w:p w:rsidR="00A6180B" w:rsidRPr="007F07B1" w:rsidRDefault="00A6180B" w:rsidP="00AF75AF">
      <w:pPr>
        <w:spacing w:line="276" w:lineRule="auto"/>
        <w:jc w:val="both"/>
        <w:rPr>
          <w:rFonts w:ascii="Arial" w:eastAsia="Arial Unicode MS" w:hAnsi="Arial" w:cs="Arial"/>
        </w:rPr>
      </w:pPr>
    </w:p>
    <w:p w:rsidR="00A6180B" w:rsidRPr="007F07B1" w:rsidRDefault="00A6180B" w:rsidP="00D0183B">
      <w:pPr>
        <w:pStyle w:val="Ttulo4"/>
        <w:keepNext w:val="0"/>
        <w:keepLines w:val="0"/>
        <w:numPr>
          <w:ilvl w:val="2"/>
          <w:numId w:val="55"/>
        </w:numPr>
        <w:spacing w:before="0" w:line="276" w:lineRule="auto"/>
        <w:jc w:val="both"/>
        <w:rPr>
          <w:rFonts w:ascii="Arial" w:hAnsi="Arial" w:cs="Arial"/>
          <w:b/>
          <w:i w:val="0"/>
          <w:color w:val="auto"/>
        </w:rPr>
      </w:pPr>
      <w:r w:rsidRPr="007F07B1">
        <w:rPr>
          <w:rFonts w:ascii="Arial" w:hAnsi="Arial" w:cs="Arial"/>
          <w:b/>
          <w:i w:val="0"/>
          <w:color w:val="auto"/>
        </w:rPr>
        <w:t xml:space="preserve"> Parqueaderos subterráneos</w:t>
      </w:r>
    </w:p>
    <w:p w:rsidR="00A6180B" w:rsidRPr="007F07B1" w:rsidRDefault="00A6180B" w:rsidP="00AF75AF">
      <w:pPr>
        <w:spacing w:line="276" w:lineRule="auto"/>
        <w:jc w:val="both"/>
        <w:rPr>
          <w:rFonts w:ascii="Arial" w:hAnsi="Arial" w:cs="Arial"/>
        </w:rPr>
      </w:pPr>
    </w:p>
    <w:p w:rsidR="00A6180B" w:rsidRPr="003B01CD" w:rsidRDefault="00A6180B" w:rsidP="00AF75AF">
      <w:pPr>
        <w:spacing w:line="276" w:lineRule="auto"/>
        <w:jc w:val="both"/>
        <w:rPr>
          <w:rFonts w:ascii="Arial" w:eastAsiaTheme="minorEastAsia" w:hAnsi="Arial" w:cs="Arial"/>
          <w:szCs w:val="24"/>
        </w:rPr>
      </w:pPr>
      <w:r w:rsidRPr="003B01CD">
        <w:rPr>
          <w:rFonts w:ascii="Arial" w:eastAsiaTheme="minorEastAsia" w:hAnsi="Arial" w:cs="Arial"/>
        </w:rPr>
        <w:t>El IDU y el DADEP suscribieron 4 convenios, por medio de los cuales el IDU recibió un espacio público en comodato a 30 años, localizado en la Cra. 16 # 78-10, Cl. 85 # 16-07, Cl. 92 # 16-05 y Cra. 14 # 96-55, con el fin de construir parqueaderos subterráneos que permitieran liberar los andenes de la carrera 15 del parqueo ilegal de vehículos.</w:t>
      </w:r>
    </w:p>
    <w:p w:rsidR="00A6180B" w:rsidRPr="003B01CD" w:rsidRDefault="00A6180B" w:rsidP="00AF75AF">
      <w:pPr>
        <w:spacing w:line="276" w:lineRule="auto"/>
        <w:jc w:val="both"/>
        <w:rPr>
          <w:rFonts w:ascii="Arial" w:eastAsiaTheme="minorEastAsia" w:hAnsi="Arial" w:cs="Arial"/>
        </w:rPr>
      </w:pPr>
    </w:p>
    <w:p w:rsidR="00A6180B" w:rsidRPr="003B01CD" w:rsidRDefault="00A6180B" w:rsidP="00AF75AF">
      <w:pPr>
        <w:pStyle w:val="Descripcin"/>
        <w:spacing w:after="0"/>
        <w:rPr>
          <w:rFonts w:ascii="Arial" w:hAnsi="Arial" w:cs="Arial"/>
        </w:rPr>
      </w:pPr>
      <w:bookmarkStart w:id="150" w:name="_Toc27665380"/>
      <w:r w:rsidRPr="007F07B1">
        <w:rPr>
          <w:rFonts w:ascii="Arial" w:hAnsi="Arial" w:cs="Arial"/>
          <w:color w:val="auto"/>
        </w:rPr>
        <w:lastRenderedPageBreak/>
        <w:t>Relación de parqueaderos subterráneos administrados por el IDU.</w:t>
      </w:r>
      <w:bookmarkEnd w:id="150"/>
    </w:p>
    <w:tbl>
      <w:tblPr>
        <w:tblW w:w="9393" w:type="dxa"/>
        <w:tblInd w:w="-5" w:type="dxa"/>
        <w:tblCellMar>
          <w:left w:w="70" w:type="dxa"/>
          <w:right w:w="70" w:type="dxa"/>
        </w:tblCellMar>
        <w:tblLook w:val="0420" w:firstRow="1" w:lastRow="0" w:firstColumn="0" w:lastColumn="0" w:noHBand="0" w:noVBand="1"/>
      </w:tblPr>
      <w:tblGrid>
        <w:gridCol w:w="1418"/>
        <w:gridCol w:w="1377"/>
        <w:gridCol w:w="763"/>
        <w:gridCol w:w="1687"/>
        <w:gridCol w:w="1263"/>
        <w:gridCol w:w="1241"/>
        <w:gridCol w:w="1644"/>
      </w:tblGrid>
      <w:tr w:rsidR="00A6180B" w:rsidRPr="00C00F56" w:rsidTr="00C00F56">
        <w:trPr>
          <w:trHeight w:val="405"/>
        </w:trPr>
        <w:tc>
          <w:tcPr>
            <w:tcW w:w="1418"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A6180B" w:rsidRPr="00C00F56" w:rsidRDefault="00A6180B" w:rsidP="00AF75AF">
            <w:pPr>
              <w:spacing w:line="276" w:lineRule="auto"/>
              <w:jc w:val="both"/>
              <w:rPr>
                <w:rFonts w:ascii="Arial" w:eastAsia="Arial Unicode MS" w:hAnsi="Arial" w:cs="Arial"/>
                <w:b/>
                <w:bCs/>
                <w:sz w:val="18"/>
                <w:lang w:val="es-ES" w:eastAsia="es-CO"/>
              </w:rPr>
            </w:pPr>
            <w:r w:rsidRPr="00C00F56">
              <w:rPr>
                <w:rFonts w:ascii="Arial" w:eastAsia="Arial Unicode MS" w:hAnsi="Arial" w:cs="Arial"/>
                <w:b/>
                <w:bCs/>
                <w:sz w:val="18"/>
              </w:rPr>
              <w:t>Contrato</w:t>
            </w:r>
          </w:p>
        </w:tc>
        <w:tc>
          <w:tcPr>
            <w:tcW w:w="1377"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C00F56" w:rsidRDefault="00A6180B" w:rsidP="00AF75AF">
            <w:pPr>
              <w:spacing w:line="276" w:lineRule="auto"/>
              <w:jc w:val="both"/>
              <w:rPr>
                <w:rFonts w:ascii="Arial" w:eastAsia="Arial Unicode MS" w:hAnsi="Arial" w:cs="Arial"/>
                <w:b/>
                <w:bCs/>
                <w:sz w:val="18"/>
                <w:lang w:val="es-ES" w:eastAsia="es-ES"/>
              </w:rPr>
            </w:pPr>
            <w:r w:rsidRPr="00C00F56">
              <w:rPr>
                <w:rFonts w:ascii="Arial" w:eastAsia="Arial Unicode MS" w:hAnsi="Arial" w:cs="Arial"/>
                <w:b/>
                <w:bCs/>
                <w:sz w:val="18"/>
              </w:rPr>
              <w:t>Ubicación</w:t>
            </w:r>
          </w:p>
        </w:tc>
        <w:tc>
          <w:tcPr>
            <w:tcW w:w="763"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C00F56" w:rsidRDefault="00A6180B" w:rsidP="00AF75AF">
            <w:pPr>
              <w:spacing w:line="276" w:lineRule="auto"/>
              <w:jc w:val="both"/>
              <w:rPr>
                <w:rFonts w:ascii="Arial" w:eastAsia="Arial Unicode MS" w:hAnsi="Arial" w:cs="Arial"/>
                <w:b/>
                <w:bCs/>
                <w:sz w:val="18"/>
                <w:lang w:val="es-ES" w:eastAsia="es-ES"/>
              </w:rPr>
            </w:pPr>
            <w:r w:rsidRPr="00C00F56">
              <w:rPr>
                <w:rFonts w:ascii="Arial" w:eastAsia="Arial Unicode MS" w:hAnsi="Arial" w:cs="Arial"/>
                <w:b/>
                <w:bCs/>
                <w:sz w:val="18"/>
              </w:rPr>
              <w:t>Cupos</w:t>
            </w:r>
          </w:p>
        </w:tc>
        <w:tc>
          <w:tcPr>
            <w:tcW w:w="1687"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C00F56" w:rsidRDefault="00A6180B" w:rsidP="00AF75AF">
            <w:pPr>
              <w:spacing w:line="276" w:lineRule="auto"/>
              <w:jc w:val="both"/>
              <w:rPr>
                <w:rFonts w:ascii="Arial" w:eastAsia="Arial Unicode MS" w:hAnsi="Arial" w:cs="Arial"/>
                <w:b/>
                <w:bCs/>
                <w:sz w:val="18"/>
                <w:lang w:val="es-ES" w:eastAsia="es-ES"/>
              </w:rPr>
            </w:pPr>
            <w:r w:rsidRPr="00C00F56">
              <w:rPr>
                <w:rFonts w:ascii="Arial" w:eastAsia="Arial Unicode MS" w:hAnsi="Arial" w:cs="Arial"/>
                <w:b/>
                <w:bCs/>
                <w:sz w:val="18"/>
              </w:rPr>
              <w:t>Contratista</w:t>
            </w:r>
          </w:p>
        </w:tc>
        <w:tc>
          <w:tcPr>
            <w:tcW w:w="1263"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C00F56" w:rsidRDefault="00A6180B" w:rsidP="00AF75AF">
            <w:pPr>
              <w:spacing w:line="276" w:lineRule="auto"/>
              <w:jc w:val="both"/>
              <w:rPr>
                <w:rFonts w:ascii="Arial" w:eastAsia="Arial Unicode MS" w:hAnsi="Arial" w:cs="Arial"/>
                <w:b/>
                <w:bCs/>
                <w:sz w:val="18"/>
                <w:lang w:val="es-ES" w:eastAsia="es-ES"/>
              </w:rPr>
            </w:pPr>
            <w:r w:rsidRPr="00C00F56">
              <w:rPr>
                <w:rFonts w:ascii="Arial" w:eastAsia="Arial Unicode MS" w:hAnsi="Arial" w:cs="Arial"/>
                <w:b/>
                <w:bCs/>
                <w:sz w:val="18"/>
              </w:rPr>
              <w:t>Inicio</w:t>
            </w:r>
          </w:p>
        </w:tc>
        <w:tc>
          <w:tcPr>
            <w:tcW w:w="1241"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C00F56" w:rsidRDefault="00A6180B" w:rsidP="00AF75AF">
            <w:pPr>
              <w:spacing w:line="276" w:lineRule="auto"/>
              <w:jc w:val="both"/>
              <w:rPr>
                <w:rFonts w:ascii="Arial" w:eastAsia="Arial Unicode MS" w:hAnsi="Arial" w:cs="Arial"/>
                <w:b/>
                <w:bCs/>
                <w:sz w:val="18"/>
                <w:lang w:val="es-ES" w:eastAsia="es-ES"/>
              </w:rPr>
            </w:pPr>
            <w:r w:rsidRPr="00C00F56">
              <w:rPr>
                <w:rFonts w:ascii="Arial" w:eastAsia="Arial Unicode MS" w:hAnsi="Arial" w:cs="Arial"/>
                <w:b/>
                <w:bCs/>
                <w:sz w:val="18"/>
              </w:rPr>
              <w:t>Fin</w:t>
            </w:r>
          </w:p>
        </w:tc>
        <w:tc>
          <w:tcPr>
            <w:tcW w:w="1644"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C00F56" w:rsidRDefault="00A6180B" w:rsidP="00AF75AF">
            <w:pPr>
              <w:spacing w:line="276" w:lineRule="auto"/>
              <w:jc w:val="both"/>
              <w:rPr>
                <w:rFonts w:ascii="Arial" w:eastAsia="Arial Unicode MS" w:hAnsi="Arial" w:cs="Arial"/>
                <w:b/>
                <w:bCs/>
                <w:sz w:val="18"/>
                <w:lang w:val="es-ES" w:eastAsia="es-ES"/>
              </w:rPr>
            </w:pPr>
            <w:r w:rsidRPr="00C00F56">
              <w:rPr>
                <w:rFonts w:ascii="Arial" w:eastAsia="Arial Unicode MS" w:hAnsi="Arial" w:cs="Arial"/>
                <w:b/>
                <w:bCs/>
                <w:sz w:val="18"/>
              </w:rPr>
              <w:t>Estado</w:t>
            </w:r>
          </w:p>
        </w:tc>
      </w:tr>
      <w:tr w:rsidR="00A6180B" w:rsidRPr="00C00F56" w:rsidTr="00C00F56">
        <w:trPr>
          <w:trHeight w:val="660"/>
        </w:trPr>
        <w:tc>
          <w:tcPr>
            <w:tcW w:w="1418" w:type="dxa"/>
            <w:tcBorders>
              <w:top w:val="nil"/>
              <w:left w:val="single" w:sz="4" w:space="0" w:color="auto"/>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IDU-386-1999</w:t>
            </w:r>
          </w:p>
        </w:tc>
        <w:tc>
          <w:tcPr>
            <w:tcW w:w="1377"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Kr. 6A # 78-10</w:t>
            </w:r>
          </w:p>
        </w:tc>
        <w:tc>
          <w:tcPr>
            <w:tcW w:w="763"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300</w:t>
            </w:r>
          </w:p>
        </w:tc>
        <w:tc>
          <w:tcPr>
            <w:tcW w:w="1687"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Concesión parqueadero calle 77 S.A.</w:t>
            </w:r>
          </w:p>
        </w:tc>
        <w:tc>
          <w:tcPr>
            <w:tcW w:w="1263"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23/jul/1999</w:t>
            </w:r>
          </w:p>
        </w:tc>
        <w:tc>
          <w:tcPr>
            <w:tcW w:w="1241"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26/sep/2019</w:t>
            </w:r>
          </w:p>
        </w:tc>
        <w:tc>
          <w:tcPr>
            <w:tcW w:w="1644"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Terminado y en proceso de liquidación</w:t>
            </w:r>
          </w:p>
        </w:tc>
      </w:tr>
      <w:tr w:rsidR="00A6180B" w:rsidRPr="00C00F56" w:rsidTr="00C00F56">
        <w:trPr>
          <w:trHeight w:val="660"/>
        </w:trPr>
        <w:tc>
          <w:tcPr>
            <w:tcW w:w="1418" w:type="dxa"/>
            <w:tcBorders>
              <w:top w:val="nil"/>
              <w:left w:val="single" w:sz="4" w:space="0" w:color="auto"/>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IDU-387-1999</w:t>
            </w:r>
          </w:p>
        </w:tc>
        <w:tc>
          <w:tcPr>
            <w:tcW w:w="1377"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Cl. 85 # 16-07</w:t>
            </w:r>
          </w:p>
        </w:tc>
        <w:tc>
          <w:tcPr>
            <w:tcW w:w="763"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380</w:t>
            </w:r>
          </w:p>
        </w:tc>
        <w:tc>
          <w:tcPr>
            <w:tcW w:w="1687"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Concesión parqueadero calle 85 S.A.</w:t>
            </w:r>
          </w:p>
        </w:tc>
        <w:tc>
          <w:tcPr>
            <w:tcW w:w="1263"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23/jul/1999</w:t>
            </w:r>
          </w:p>
        </w:tc>
        <w:tc>
          <w:tcPr>
            <w:tcW w:w="1241"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26/sep/2019</w:t>
            </w:r>
          </w:p>
        </w:tc>
        <w:tc>
          <w:tcPr>
            <w:tcW w:w="1644"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Terminado y en proceso de liquidación</w:t>
            </w:r>
          </w:p>
        </w:tc>
      </w:tr>
      <w:tr w:rsidR="00A6180B" w:rsidRPr="00C00F56" w:rsidTr="00C00F56">
        <w:trPr>
          <w:trHeight w:val="660"/>
        </w:trPr>
        <w:tc>
          <w:tcPr>
            <w:tcW w:w="1418" w:type="dxa"/>
            <w:tcBorders>
              <w:top w:val="nil"/>
              <w:left w:val="single" w:sz="4" w:space="0" w:color="auto"/>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IDU-388-1999</w:t>
            </w:r>
          </w:p>
        </w:tc>
        <w:tc>
          <w:tcPr>
            <w:tcW w:w="1377"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Kr. 14 # 96-55</w:t>
            </w:r>
          </w:p>
        </w:tc>
        <w:tc>
          <w:tcPr>
            <w:tcW w:w="763"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300</w:t>
            </w:r>
          </w:p>
        </w:tc>
        <w:tc>
          <w:tcPr>
            <w:tcW w:w="1687"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Concesión parqueadero calle 97 S.A.S.</w:t>
            </w:r>
          </w:p>
        </w:tc>
        <w:tc>
          <w:tcPr>
            <w:tcW w:w="1263"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23/jul/1999</w:t>
            </w:r>
          </w:p>
        </w:tc>
        <w:tc>
          <w:tcPr>
            <w:tcW w:w="1241"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26/sep/2019</w:t>
            </w:r>
          </w:p>
        </w:tc>
        <w:tc>
          <w:tcPr>
            <w:tcW w:w="1644"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Terminado y en proceso de liquidación</w:t>
            </w:r>
          </w:p>
        </w:tc>
      </w:tr>
      <w:tr w:rsidR="00A6180B" w:rsidRPr="00C00F56" w:rsidTr="00C00F56">
        <w:trPr>
          <w:trHeight w:val="660"/>
        </w:trPr>
        <w:tc>
          <w:tcPr>
            <w:tcW w:w="1418" w:type="dxa"/>
            <w:tcBorders>
              <w:top w:val="nil"/>
              <w:left w:val="single" w:sz="4" w:space="0" w:color="auto"/>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IDU-385-1999</w:t>
            </w:r>
          </w:p>
        </w:tc>
        <w:tc>
          <w:tcPr>
            <w:tcW w:w="1377"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Cl. 92 # 16-05</w:t>
            </w:r>
          </w:p>
        </w:tc>
        <w:tc>
          <w:tcPr>
            <w:tcW w:w="763"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300</w:t>
            </w:r>
          </w:p>
        </w:tc>
        <w:tc>
          <w:tcPr>
            <w:tcW w:w="1687"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Concesión parqueadero calle 90 S.A.</w:t>
            </w:r>
          </w:p>
        </w:tc>
        <w:tc>
          <w:tcPr>
            <w:tcW w:w="1263"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23/jul/1999</w:t>
            </w:r>
          </w:p>
        </w:tc>
        <w:tc>
          <w:tcPr>
            <w:tcW w:w="1241"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26/jun/2020</w:t>
            </w:r>
          </w:p>
        </w:tc>
        <w:tc>
          <w:tcPr>
            <w:tcW w:w="1644"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En ejecución</w:t>
            </w:r>
          </w:p>
        </w:tc>
      </w:tr>
      <w:tr w:rsidR="00A6180B" w:rsidRPr="00C00F56" w:rsidTr="00C00F56">
        <w:trPr>
          <w:trHeight w:val="660"/>
        </w:trPr>
        <w:tc>
          <w:tcPr>
            <w:tcW w:w="1418" w:type="dxa"/>
            <w:tcBorders>
              <w:top w:val="nil"/>
              <w:left w:val="single" w:sz="4" w:space="0" w:color="auto"/>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IDU-854-2017</w:t>
            </w:r>
          </w:p>
        </w:tc>
        <w:tc>
          <w:tcPr>
            <w:tcW w:w="2140" w:type="dxa"/>
            <w:gridSpan w:val="2"/>
            <w:tcBorders>
              <w:top w:val="single" w:sz="4" w:space="0" w:color="auto"/>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Interventoría</w:t>
            </w:r>
          </w:p>
        </w:tc>
        <w:tc>
          <w:tcPr>
            <w:tcW w:w="1687"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GC&amp;Q Ingenieros Consultores S.A.S.</w:t>
            </w:r>
          </w:p>
        </w:tc>
        <w:tc>
          <w:tcPr>
            <w:tcW w:w="1263"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03/mar/2018</w:t>
            </w:r>
          </w:p>
        </w:tc>
        <w:tc>
          <w:tcPr>
            <w:tcW w:w="1241"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28/jul/2020</w:t>
            </w:r>
          </w:p>
        </w:tc>
        <w:tc>
          <w:tcPr>
            <w:tcW w:w="1644" w:type="dxa"/>
            <w:tcBorders>
              <w:top w:val="nil"/>
              <w:left w:val="nil"/>
              <w:bottom w:val="single" w:sz="4" w:space="0" w:color="auto"/>
              <w:right w:val="single" w:sz="4" w:space="0" w:color="auto"/>
            </w:tcBorders>
            <w:vAlign w:val="center"/>
            <w:hideMark/>
          </w:tcPr>
          <w:p w:rsidR="00A6180B" w:rsidRPr="00C00F56" w:rsidRDefault="00A6180B" w:rsidP="00AF75AF">
            <w:pPr>
              <w:spacing w:line="276" w:lineRule="auto"/>
              <w:jc w:val="both"/>
              <w:rPr>
                <w:rFonts w:ascii="Arial" w:eastAsia="Arial Unicode MS" w:hAnsi="Arial" w:cs="Arial"/>
                <w:color w:val="000000"/>
                <w:sz w:val="18"/>
                <w:lang w:val="es-ES" w:eastAsia="es-ES"/>
              </w:rPr>
            </w:pPr>
            <w:r w:rsidRPr="00C00F56">
              <w:rPr>
                <w:rFonts w:ascii="Arial" w:eastAsia="Arial Unicode MS" w:hAnsi="Arial" w:cs="Arial"/>
                <w:color w:val="000000"/>
                <w:sz w:val="18"/>
              </w:rPr>
              <w:t>En ejecución</w:t>
            </w:r>
          </w:p>
        </w:tc>
      </w:tr>
    </w:tbl>
    <w:p w:rsidR="00A6180B" w:rsidRPr="007F07B1" w:rsidRDefault="00A6180B" w:rsidP="00AF75AF">
      <w:pPr>
        <w:spacing w:line="276" w:lineRule="auto"/>
        <w:jc w:val="both"/>
        <w:rPr>
          <w:rFonts w:ascii="Arial" w:hAnsi="Arial" w:cs="Arial"/>
          <w:sz w:val="20"/>
          <w:lang w:eastAsia="es-ES"/>
        </w:rPr>
      </w:pPr>
      <w:r w:rsidRPr="003B01CD">
        <w:rPr>
          <w:rFonts w:ascii="Arial" w:hAnsi="Arial" w:cs="Arial"/>
          <w:sz w:val="20"/>
        </w:rPr>
        <w:t>Fuente: Dirección Técnica de Administración de Infraestructura IDU</w:t>
      </w:r>
    </w:p>
    <w:p w:rsidR="00A6180B" w:rsidRPr="003B01CD" w:rsidRDefault="00A6180B" w:rsidP="00AF75AF">
      <w:pPr>
        <w:spacing w:line="276" w:lineRule="auto"/>
        <w:jc w:val="both"/>
        <w:rPr>
          <w:rFonts w:ascii="Arial" w:eastAsiaTheme="minorEastAsia" w:hAnsi="Arial" w:cs="Arial"/>
        </w:rPr>
      </w:pPr>
      <w:r w:rsidRPr="003B01CD">
        <w:rPr>
          <w:rFonts w:ascii="Arial" w:eastAsiaTheme="minorEastAsia" w:hAnsi="Arial" w:cs="Arial"/>
        </w:rPr>
        <w:t>Los contratos 386, 387 y 388 de 1999 terminaron el 26 de septiembre de 2019, razón por la cual la infraestructura fue revertida al IDU, acorde con lo establecido en los contratos de concesión que se encuentran en proceso de liquidación, entre tanto, el contrato 385 de 1999 se encuentra en ejecución hasta el 26 de junio de 2020.</w:t>
      </w:r>
    </w:p>
    <w:p w:rsidR="00A6180B" w:rsidRPr="003B01CD" w:rsidRDefault="00A6180B" w:rsidP="00AF75AF">
      <w:pPr>
        <w:spacing w:line="276" w:lineRule="auto"/>
        <w:jc w:val="both"/>
        <w:rPr>
          <w:rFonts w:ascii="Arial" w:eastAsiaTheme="minorEastAsia" w:hAnsi="Arial" w:cs="Arial"/>
        </w:rPr>
      </w:pPr>
    </w:p>
    <w:p w:rsidR="00A6180B" w:rsidRPr="007F07B1" w:rsidRDefault="00A6180B" w:rsidP="00D0183B">
      <w:pPr>
        <w:pStyle w:val="Ttulo4"/>
        <w:keepNext w:val="0"/>
        <w:keepLines w:val="0"/>
        <w:numPr>
          <w:ilvl w:val="2"/>
          <w:numId w:val="55"/>
        </w:numPr>
        <w:spacing w:before="0" w:line="276" w:lineRule="auto"/>
        <w:ind w:left="709"/>
        <w:jc w:val="both"/>
        <w:rPr>
          <w:rFonts w:ascii="Arial" w:hAnsi="Arial" w:cs="Arial"/>
          <w:b/>
          <w:i w:val="0"/>
          <w:color w:val="auto"/>
        </w:rPr>
      </w:pPr>
      <w:r w:rsidRPr="007F07B1">
        <w:rPr>
          <w:rFonts w:ascii="Arial" w:hAnsi="Arial" w:cs="Arial"/>
          <w:b/>
          <w:i w:val="0"/>
          <w:color w:val="auto"/>
        </w:rPr>
        <w:t>Parqueaderos a nivel</w:t>
      </w:r>
    </w:p>
    <w:p w:rsidR="00A6180B" w:rsidRPr="003B01CD" w:rsidRDefault="00A6180B" w:rsidP="00AF75AF">
      <w:pPr>
        <w:spacing w:line="276" w:lineRule="auto"/>
        <w:jc w:val="both"/>
        <w:rPr>
          <w:rFonts w:ascii="Arial" w:hAnsi="Arial" w:cs="Arial"/>
        </w:rPr>
      </w:pPr>
    </w:p>
    <w:p w:rsidR="00A6180B" w:rsidRPr="003B01CD" w:rsidRDefault="00A6180B" w:rsidP="00AF75AF">
      <w:pPr>
        <w:spacing w:line="276" w:lineRule="auto"/>
        <w:jc w:val="both"/>
        <w:rPr>
          <w:rFonts w:ascii="Arial" w:eastAsia="Calibri" w:hAnsi="Arial" w:cs="Arial"/>
          <w:szCs w:val="24"/>
        </w:rPr>
      </w:pPr>
      <w:r w:rsidRPr="003B01CD">
        <w:rPr>
          <w:rFonts w:ascii="Arial" w:eastAsia="Calibri" w:hAnsi="Arial" w:cs="Arial"/>
        </w:rPr>
        <w:t>Los cinco (5) parqueaderos a nivel de propiedad del IDU están localizados en la Av. Calle 72 # 5-67, Carrera 12 # 84-42, Carrera 11A # 88-49, Calle 109 # 17-46 y Carrera 11 # 93A-72.</w:t>
      </w:r>
    </w:p>
    <w:p w:rsidR="00A6180B" w:rsidRPr="003B01CD" w:rsidRDefault="00A6180B" w:rsidP="00AF75AF">
      <w:pPr>
        <w:spacing w:line="276" w:lineRule="auto"/>
        <w:jc w:val="both"/>
        <w:rPr>
          <w:rFonts w:ascii="Arial" w:eastAsia="Times New Roman" w:hAnsi="Arial" w:cs="Arial"/>
          <w:b/>
        </w:rPr>
      </w:pPr>
    </w:p>
    <w:p w:rsidR="00A6180B" w:rsidRPr="007F07B1" w:rsidRDefault="00A6180B" w:rsidP="00AF75AF">
      <w:pPr>
        <w:pStyle w:val="Descripcin"/>
        <w:spacing w:after="0"/>
        <w:rPr>
          <w:rFonts w:ascii="Arial" w:hAnsi="Arial" w:cs="Arial"/>
          <w:color w:val="auto"/>
        </w:rPr>
      </w:pPr>
      <w:bookmarkStart w:id="151" w:name="_Toc27665381"/>
      <w:r w:rsidRPr="007F07B1">
        <w:rPr>
          <w:rFonts w:ascii="Arial" w:hAnsi="Arial" w:cs="Arial"/>
          <w:color w:val="auto"/>
        </w:rPr>
        <w:t>Relación de parqueaderos a nivel administrados por el IDU.</w:t>
      </w:r>
      <w:bookmarkEnd w:id="151"/>
    </w:p>
    <w:tbl>
      <w:tblPr>
        <w:tblW w:w="9440" w:type="dxa"/>
        <w:tblInd w:w="-5" w:type="dxa"/>
        <w:tblCellMar>
          <w:left w:w="70" w:type="dxa"/>
          <w:right w:w="70" w:type="dxa"/>
        </w:tblCellMar>
        <w:tblLook w:val="0420" w:firstRow="1" w:lastRow="0" w:firstColumn="0" w:lastColumn="0" w:noHBand="0" w:noVBand="1"/>
      </w:tblPr>
      <w:tblGrid>
        <w:gridCol w:w="1363"/>
        <w:gridCol w:w="1924"/>
        <w:gridCol w:w="763"/>
        <w:gridCol w:w="1718"/>
        <w:gridCol w:w="1186"/>
        <w:gridCol w:w="1180"/>
        <w:gridCol w:w="1306"/>
      </w:tblGrid>
      <w:tr w:rsidR="00A6180B" w:rsidRPr="003B01CD" w:rsidTr="00B85448">
        <w:trPr>
          <w:trHeight w:val="330"/>
        </w:trPr>
        <w:tc>
          <w:tcPr>
            <w:tcW w:w="1363"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eastAsia="Arial Unicode MS" w:hAnsi="Arial" w:cs="Arial"/>
                <w:b/>
                <w:bCs/>
                <w:color w:val="000000"/>
                <w:sz w:val="20"/>
                <w:lang w:val="es-ES" w:eastAsia="es-CO"/>
              </w:rPr>
            </w:pPr>
            <w:r w:rsidRPr="003B01CD">
              <w:rPr>
                <w:rFonts w:ascii="Arial" w:eastAsia="Arial Unicode MS" w:hAnsi="Arial" w:cs="Arial"/>
                <w:b/>
                <w:bCs/>
                <w:color w:val="000000"/>
                <w:sz w:val="20"/>
              </w:rPr>
              <w:t>Contrato</w:t>
            </w:r>
          </w:p>
        </w:tc>
        <w:tc>
          <w:tcPr>
            <w:tcW w:w="1924"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eastAsia="Arial Unicode MS" w:hAnsi="Arial" w:cs="Arial"/>
                <w:b/>
                <w:bCs/>
                <w:color w:val="000000"/>
                <w:sz w:val="20"/>
                <w:lang w:val="es-ES" w:eastAsia="es-ES"/>
              </w:rPr>
            </w:pPr>
            <w:r w:rsidRPr="003B01CD">
              <w:rPr>
                <w:rFonts w:ascii="Arial" w:eastAsia="Arial Unicode MS" w:hAnsi="Arial" w:cs="Arial"/>
                <w:b/>
                <w:bCs/>
                <w:color w:val="000000"/>
                <w:sz w:val="20"/>
              </w:rPr>
              <w:t>Ubicación</w:t>
            </w:r>
          </w:p>
        </w:tc>
        <w:tc>
          <w:tcPr>
            <w:tcW w:w="763"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eastAsia="Arial Unicode MS" w:hAnsi="Arial" w:cs="Arial"/>
                <w:b/>
                <w:bCs/>
                <w:color w:val="000000"/>
                <w:sz w:val="20"/>
                <w:lang w:val="es-ES" w:eastAsia="es-ES"/>
              </w:rPr>
            </w:pPr>
            <w:r w:rsidRPr="003B01CD">
              <w:rPr>
                <w:rFonts w:ascii="Arial" w:eastAsia="Arial Unicode MS" w:hAnsi="Arial" w:cs="Arial"/>
                <w:b/>
                <w:bCs/>
                <w:color w:val="000000"/>
                <w:sz w:val="20"/>
              </w:rPr>
              <w:t>Cupos</w:t>
            </w:r>
          </w:p>
        </w:tc>
        <w:tc>
          <w:tcPr>
            <w:tcW w:w="1718"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eastAsia="Arial Unicode MS" w:hAnsi="Arial" w:cs="Arial"/>
                <w:b/>
                <w:bCs/>
                <w:color w:val="000000"/>
                <w:sz w:val="20"/>
                <w:lang w:val="es-ES" w:eastAsia="es-ES"/>
              </w:rPr>
            </w:pPr>
            <w:r w:rsidRPr="003B01CD">
              <w:rPr>
                <w:rFonts w:ascii="Arial" w:eastAsia="Arial Unicode MS" w:hAnsi="Arial" w:cs="Arial"/>
                <w:b/>
                <w:bCs/>
                <w:color w:val="000000"/>
                <w:sz w:val="20"/>
              </w:rPr>
              <w:t>Contratista</w:t>
            </w:r>
          </w:p>
        </w:tc>
        <w:tc>
          <w:tcPr>
            <w:tcW w:w="1186"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eastAsia="Arial Unicode MS" w:hAnsi="Arial" w:cs="Arial"/>
                <w:b/>
                <w:bCs/>
                <w:color w:val="000000"/>
                <w:sz w:val="20"/>
                <w:lang w:val="es-ES" w:eastAsia="es-ES"/>
              </w:rPr>
            </w:pPr>
            <w:r w:rsidRPr="003B01CD">
              <w:rPr>
                <w:rFonts w:ascii="Arial" w:eastAsia="Arial Unicode MS" w:hAnsi="Arial" w:cs="Arial"/>
                <w:b/>
                <w:bCs/>
                <w:color w:val="000000"/>
                <w:sz w:val="20"/>
              </w:rPr>
              <w:t>Inicio</w:t>
            </w:r>
          </w:p>
        </w:tc>
        <w:tc>
          <w:tcPr>
            <w:tcW w:w="1180"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eastAsia="Arial Unicode MS" w:hAnsi="Arial" w:cs="Arial"/>
                <w:b/>
                <w:bCs/>
                <w:color w:val="000000"/>
                <w:sz w:val="20"/>
                <w:lang w:val="es-ES" w:eastAsia="es-ES"/>
              </w:rPr>
            </w:pPr>
            <w:r w:rsidRPr="003B01CD">
              <w:rPr>
                <w:rFonts w:ascii="Arial" w:eastAsia="Arial Unicode MS" w:hAnsi="Arial" w:cs="Arial"/>
                <w:b/>
                <w:bCs/>
                <w:color w:val="000000"/>
                <w:sz w:val="20"/>
              </w:rPr>
              <w:t>Fin</w:t>
            </w:r>
          </w:p>
        </w:tc>
        <w:tc>
          <w:tcPr>
            <w:tcW w:w="1306"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eastAsia="Arial Unicode MS" w:hAnsi="Arial" w:cs="Arial"/>
                <w:b/>
                <w:bCs/>
                <w:color w:val="000000"/>
                <w:sz w:val="20"/>
                <w:lang w:val="es-ES" w:eastAsia="es-ES"/>
              </w:rPr>
            </w:pPr>
            <w:r w:rsidRPr="003B01CD">
              <w:rPr>
                <w:rFonts w:ascii="Arial" w:eastAsia="Arial Unicode MS" w:hAnsi="Arial" w:cs="Arial"/>
                <w:b/>
                <w:bCs/>
                <w:color w:val="000000"/>
                <w:sz w:val="20"/>
              </w:rPr>
              <w:t>Estado</w:t>
            </w:r>
          </w:p>
        </w:tc>
      </w:tr>
      <w:tr w:rsidR="00A6180B" w:rsidRPr="003B01CD" w:rsidTr="00B85448">
        <w:trPr>
          <w:trHeight w:val="330"/>
        </w:trPr>
        <w:tc>
          <w:tcPr>
            <w:tcW w:w="1363" w:type="dxa"/>
            <w:vMerge w:val="restart"/>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IDU-1445-2018</w:t>
            </w:r>
          </w:p>
        </w:tc>
        <w:tc>
          <w:tcPr>
            <w:tcW w:w="1924"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Av. Calle 72 # 5-67</w:t>
            </w:r>
          </w:p>
        </w:tc>
        <w:tc>
          <w:tcPr>
            <w:tcW w:w="763"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21</w:t>
            </w:r>
          </w:p>
        </w:tc>
        <w:tc>
          <w:tcPr>
            <w:tcW w:w="1718" w:type="dxa"/>
            <w:vMerge w:val="restart"/>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Terminal de Transportes S.A.</w:t>
            </w:r>
          </w:p>
        </w:tc>
        <w:tc>
          <w:tcPr>
            <w:tcW w:w="1186" w:type="dxa"/>
            <w:vMerge w:val="restart"/>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27/jun/2019</w:t>
            </w:r>
          </w:p>
        </w:tc>
        <w:tc>
          <w:tcPr>
            <w:tcW w:w="1180" w:type="dxa"/>
            <w:vMerge w:val="restart"/>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26/dic/2019</w:t>
            </w:r>
          </w:p>
        </w:tc>
        <w:tc>
          <w:tcPr>
            <w:tcW w:w="1306" w:type="dxa"/>
            <w:vMerge w:val="restart"/>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En ejecución</w:t>
            </w:r>
          </w:p>
        </w:tc>
      </w:tr>
      <w:tr w:rsidR="00A6180B" w:rsidRPr="003B01CD" w:rsidTr="00B85448">
        <w:trPr>
          <w:trHeight w:val="330"/>
        </w:trPr>
        <w:tc>
          <w:tcPr>
            <w:tcW w:w="0" w:type="auto"/>
            <w:vMerge/>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p>
        </w:tc>
        <w:tc>
          <w:tcPr>
            <w:tcW w:w="1924"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Carrera 12 # 84-42</w:t>
            </w:r>
          </w:p>
        </w:tc>
        <w:tc>
          <w:tcPr>
            <w:tcW w:w="763"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74</w:t>
            </w:r>
          </w:p>
        </w:tc>
        <w:tc>
          <w:tcPr>
            <w:tcW w:w="0" w:type="auto"/>
            <w:vMerge/>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p>
        </w:tc>
        <w:tc>
          <w:tcPr>
            <w:tcW w:w="0" w:type="auto"/>
            <w:vMerge/>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p>
        </w:tc>
        <w:tc>
          <w:tcPr>
            <w:tcW w:w="0" w:type="auto"/>
            <w:vMerge/>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p>
        </w:tc>
        <w:tc>
          <w:tcPr>
            <w:tcW w:w="0" w:type="auto"/>
            <w:vMerge/>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p>
        </w:tc>
      </w:tr>
      <w:tr w:rsidR="00A6180B" w:rsidRPr="003B01CD" w:rsidTr="00B85448">
        <w:trPr>
          <w:trHeight w:val="330"/>
        </w:trPr>
        <w:tc>
          <w:tcPr>
            <w:tcW w:w="0" w:type="auto"/>
            <w:vMerge/>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p>
        </w:tc>
        <w:tc>
          <w:tcPr>
            <w:tcW w:w="1924"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Carrera 11A # 88-49</w:t>
            </w:r>
          </w:p>
        </w:tc>
        <w:tc>
          <w:tcPr>
            <w:tcW w:w="763"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53</w:t>
            </w:r>
          </w:p>
        </w:tc>
        <w:tc>
          <w:tcPr>
            <w:tcW w:w="0" w:type="auto"/>
            <w:vMerge/>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p>
        </w:tc>
        <w:tc>
          <w:tcPr>
            <w:tcW w:w="0" w:type="auto"/>
            <w:vMerge/>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p>
        </w:tc>
        <w:tc>
          <w:tcPr>
            <w:tcW w:w="0" w:type="auto"/>
            <w:vMerge/>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p>
        </w:tc>
        <w:tc>
          <w:tcPr>
            <w:tcW w:w="0" w:type="auto"/>
            <w:vMerge/>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p>
        </w:tc>
      </w:tr>
      <w:tr w:rsidR="00A6180B" w:rsidRPr="003B01CD" w:rsidTr="00B85448">
        <w:trPr>
          <w:trHeight w:val="330"/>
        </w:trPr>
        <w:tc>
          <w:tcPr>
            <w:tcW w:w="0" w:type="auto"/>
            <w:vMerge/>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p>
        </w:tc>
        <w:tc>
          <w:tcPr>
            <w:tcW w:w="1924"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Calle 109 # 17-46</w:t>
            </w:r>
          </w:p>
        </w:tc>
        <w:tc>
          <w:tcPr>
            <w:tcW w:w="763"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34</w:t>
            </w:r>
          </w:p>
        </w:tc>
        <w:tc>
          <w:tcPr>
            <w:tcW w:w="0" w:type="auto"/>
            <w:vMerge/>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p>
        </w:tc>
        <w:tc>
          <w:tcPr>
            <w:tcW w:w="0" w:type="auto"/>
            <w:vMerge/>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p>
        </w:tc>
        <w:tc>
          <w:tcPr>
            <w:tcW w:w="0" w:type="auto"/>
            <w:vMerge/>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p>
        </w:tc>
        <w:tc>
          <w:tcPr>
            <w:tcW w:w="0" w:type="auto"/>
            <w:vMerge/>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p>
        </w:tc>
      </w:tr>
      <w:tr w:rsidR="00A6180B" w:rsidRPr="003B01CD" w:rsidTr="00B85448">
        <w:trPr>
          <w:trHeight w:val="330"/>
        </w:trPr>
        <w:tc>
          <w:tcPr>
            <w:tcW w:w="0" w:type="auto"/>
            <w:vMerge/>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p>
        </w:tc>
        <w:tc>
          <w:tcPr>
            <w:tcW w:w="1924"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Carrera 11 # 93A-72</w:t>
            </w:r>
          </w:p>
        </w:tc>
        <w:tc>
          <w:tcPr>
            <w:tcW w:w="763"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r w:rsidRPr="003B01CD">
              <w:rPr>
                <w:rFonts w:ascii="Arial" w:eastAsia="Arial Unicode MS" w:hAnsi="Arial" w:cs="Arial"/>
                <w:color w:val="000000"/>
                <w:sz w:val="20"/>
              </w:rPr>
              <w:t>53</w:t>
            </w:r>
          </w:p>
        </w:tc>
        <w:tc>
          <w:tcPr>
            <w:tcW w:w="0" w:type="auto"/>
            <w:vMerge/>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p>
        </w:tc>
        <w:tc>
          <w:tcPr>
            <w:tcW w:w="0" w:type="auto"/>
            <w:vMerge/>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p>
        </w:tc>
        <w:tc>
          <w:tcPr>
            <w:tcW w:w="0" w:type="auto"/>
            <w:vMerge/>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p>
        </w:tc>
        <w:tc>
          <w:tcPr>
            <w:tcW w:w="0" w:type="auto"/>
            <w:vMerge/>
            <w:tcBorders>
              <w:top w:val="nil"/>
              <w:left w:val="single" w:sz="4" w:space="0" w:color="auto"/>
              <w:bottom w:val="single" w:sz="4" w:space="0" w:color="000000"/>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color w:val="000000"/>
                <w:sz w:val="20"/>
                <w:lang w:val="es-ES" w:eastAsia="es-ES"/>
              </w:rPr>
            </w:pPr>
          </w:p>
        </w:tc>
      </w:tr>
    </w:tbl>
    <w:p w:rsidR="00A6180B" w:rsidRPr="003B01CD" w:rsidRDefault="00A6180B" w:rsidP="00AF75AF">
      <w:pPr>
        <w:spacing w:line="276" w:lineRule="auto"/>
        <w:jc w:val="both"/>
        <w:rPr>
          <w:rFonts w:ascii="Arial" w:hAnsi="Arial" w:cs="Arial"/>
          <w:sz w:val="20"/>
          <w:lang w:val="es-ES" w:eastAsia="es-ES"/>
        </w:rPr>
      </w:pPr>
      <w:r w:rsidRPr="003B01CD">
        <w:rPr>
          <w:rFonts w:ascii="Arial" w:hAnsi="Arial" w:cs="Arial"/>
          <w:sz w:val="20"/>
        </w:rPr>
        <w:t>Fuente: Dirección Técnica de Administración de Infraestructura IDU</w:t>
      </w:r>
    </w:p>
    <w:p w:rsidR="00A6180B" w:rsidRPr="003B01CD" w:rsidRDefault="00A6180B" w:rsidP="00AF75AF">
      <w:pPr>
        <w:spacing w:line="276" w:lineRule="auto"/>
        <w:jc w:val="both"/>
        <w:rPr>
          <w:rFonts w:ascii="Arial" w:hAnsi="Arial" w:cs="Arial"/>
          <w:lang w:val="es-ES"/>
        </w:rPr>
      </w:pPr>
    </w:p>
    <w:p w:rsidR="00A6180B" w:rsidRPr="003B01CD" w:rsidRDefault="00A6180B" w:rsidP="00AF75AF">
      <w:pPr>
        <w:spacing w:line="276" w:lineRule="auto"/>
        <w:jc w:val="both"/>
        <w:rPr>
          <w:rFonts w:ascii="Arial" w:hAnsi="Arial" w:cs="Arial"/>
        </w:rPr>
      </w:pPr>
      <w:r w:rsidRPr="003B01CD">
        <w:rPr>
          <w:rFonts w:ascii="Arial" w:hAnsi="Arial" w:cs="Arial"/>
        </w:rPr>
        <w:t xml:space="preserve">El mantenimiento, administración y operación de estos parqueaderos se realiza actualmente a través del contrato interadministrativo IDU-1445-2019 con la Terminal de Transporte que finalizó el 26 de diciembre de 2019.  </w:t>
      </w:r>
    </w:p>
    <w:p w:rsidR="00A6180B" w:rsidRPr="003B01CD" w:rsidRDefault="00A6180B" w:rsidP="00AF75AF">
      <w:pPr>
        <w:spacing w:line="276" w:lineRule="auto"/>
        <w:jc w:val="both"/>
        <w:rPr>
          <w:rFonts w:ascii="Arial" w:hAnsi="Arial" w:cs="Arial"/>
        </w:rPr>
      </w:pPr>
    </w:p>
    <w:p w:rsidR="00A6180B" w:rsidRPr="003B01CD" w:rsidRDefault="00A6180B" w:rsidP="00AF75AF">
      <w:pPr>
        <w:spacing w:line="276" w:lineRule="auto"/>
        <w:jc w:val="both"/>
        <w:rPr>
          <w:rFonts w:ascii="Arial" w:eastAsiaTheme="minorEastAsia" w:hAnsi="Arial" w:cs="Arial"/>
        </w:rPr>
      </w:pPr>
      <w:r w:rsidRPr="003B01CD">
        <w:rPr>
          <w:rFonts w:ascii="Arial" w:eastAsiaTheme="minorEastAsia" w:hAnsi="Arial" w:cs="Arial"/>
        </w:rPr>
        <w:t xml:space="preserve">Los ingresos recibidos por el IDU por concepto de participación fija y variable por la administración de los parqueaderos a nivel entre el 2016 y octubre de 2019 han sido de </w:t>
      </w:r>
      <w:r w:rsidRPr="003B01CD">
        <w:rPr>
          <w:rFonts w:ascii="Arial" w:eastAsiaTheme="minorEastAsia" w:hAnsi="Arial" w:cs="Arial"/>
          <w:b/>
        </w:rPr>
        <w:t>$6.653.918.267</w:t>
      </w:r>
      <w:r w:rsidRPr="003B01CD">
        <w:rPr>
          <w:rFonts w:ascii="Arial" w:eastAsiaTheme="minorEastAsia" w:hAnsi="Arial" w:cs="Arial"/>
        </w:rPr>
        <w:t>, y se detallan a continuación:</w:t>
      </w:r>
    </w:p>
    <w:p w:rsidR="00A6180B" w:rsidRPr="003B01CD" w:rsidRDefault="00A6180B" w:rsidP="00AF75AF">
      <w:pPr>
        <w:spacing w:line="276" w:lineRule="auto"/>
        <w:jc w:val="both"/>
        <w:rPr>
          <w:rFonts w:ascii="Arial" w:eastAsiaTheme="minorEastAsia" w:hAnsi="Arial" w:cs="Arial"/>
        </w:rPr>
      </w:pPr>
    </w:p>
    <w:p w:rsidR="00A6180B" w:rsidRPr="00C720BD" w:rsidRDefault="00A6180B" w:rsidP="00AF75AF">
      <w:pPr>
        <w:pStyle w:val="Descripcin"/>
        <w:spacing w:after="0"/>
        <w:rPr>
          <w:rFonts w:ascii="Arial" w:hAnsi="Arial" w:cs="Arial"/>
          <w:color w:val="auto"/>
        </w:rPr>
      </w:pPr>
      <w:bookmarkStart w:id="152" w:name="_Toc27665382"/>
      <w:r w:rsidRPr="00C720BD">
        <w:rPr>
          <w:rFonts w:ascii="Arial" w:hAnsi="Arial" w:cs="Arial"/>
          <w:color w:val="auto"/>
        </w:rPr>
        <w:t>Consolidado de ingresos por administración de parqueaderos a nivel.</w:t>
      </w:r>
      <w:bookmarkEnd w:id="152"/>
    </w:p>
    <w:tbl>
      <w:tblPr>
        <w:tblW w:w="9536" w:type="dxa"/>
        <w:tblInd w:w="-5" w:type="dxa"/>
        <w:tblCellMar>
          <w:left w:w="70" w:type="dxa"/>
          <w:right w:w="70" w:type="dxa"/>
        </w:tblCellMar>
        <w:tblLook w:val="04A0" w:firstRow="1" w:lastRow="0" w:firstColumn="1" w:lastColumn="0" w:noHBand="0" w:noVBand="1"/>
      </w:tblPr>
      <w:tblGrid>
        <w:gridCol w:w="1560"/>
        <w:gridCol w:w="1597"/>
        <w:gridCol w:w="1559"/>
        <w:gridCol w:w="1560"/>
        <w:gridCol w:w="1559"/>
        <w:gridCol w:w="1701"/>
      </w:tblGrid>
      <w:tr w:rsidR="00A6180B" w:rsidRPr="003B01CD" w:rsidTr="00B85448">
        <w:trPr>
          <w:trHeight w:val="330"/>
        </w:trPr>
        <w:tc>
          <w:tcPr>
            <w:tcW w:w="1560"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CO"/>
              </w:rPr>
            </w:pPr>
            <w:r w:rsidRPr="003B01CD">
              <w:rPr>
                <w:rFonts w:ascii="Arial" w:eastAsia="Arial Unicode MS" w:hAnsi="Arial" w:cs="Arial"/>
                <w:b/>
                <w:bCs/>
                <w:color w:val="000000"/>
                <w:sz w:val="18"/>
              </w:rPr>
              <w:t xml:space="preserve">Contrato </w:t>
            </w:r>
          </w:p>
        </w:tc>
        <w:tc>
          <w:tcPr>
            <w:tcW w:w="1597"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2016</w:t>
            </w:r>
          </w:p>
        </w:tc>
        <w:tc>
          <w:tcPr>
            <w:tcW w:w="1559"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2017</w:t>
            </w:r>
          </w:p>
        </w:tc>
        <w:tc>
          <w:tcPr>
            <w:tcW w:w="156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2018</w:t>
            </w:r>
          </w:p>
        </w:tc>
        <w:tc>
          <w:tcPr>
            <w:tcW w:w="1559"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2019</w:t>
            </w:r>
          </w:p>
        </w:tc>
        <w:tc>
          <w:tcPr>
            <w:tcW w:w="1701"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Ingreso x contrato</w:t>
            </w:r>
          </w:p>
        </w:tc>
      </w:tr>
      <w:tr w:rsidR="00A6180B" w:rsidRPr="003B01CD" w:rsidTr="00B85448">
        <w:trPr>
          <w:trHeight w:val="33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IDU-1706-2015</w:t>
            </w:r>
          </w:p>
        </w:tc>
        <w:tc>
          <w:tcPr>
            <w:tcW w:w="1597"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$ 1.747.316.550</w:t>
            </w:r>
          </w:p>
        </w:tc>
        <w:tc>
          <w:tcPr>
            <w:tcW w:w="1559"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$ 1.916.027.644</w:t>
            </w:r>
          </w:p>
        </w:tc>
        <w:tc>
          <w:tcPr>
            <w:tcW w:w="1560"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$ 1.510.106.307</w:t>
            </w:r>
          </w:p>
        </w:tc>
        <w:tc>
          <w:tcPr>
            <w:tcW w:w="1559"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w:t>
            </w:r>
          </w:p>
        </w:tc>
        <w:tc>
          <w:tcPr>
            <w:tcW w:w="1701"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$ 5.173.450.501</w:t>
            </w:r>
          </w:p>
        </w:tc>
      </w:tr>
      <w:tr w:rsidR="00A6180B" w:rsidRPr="003B01CD" w:rsidTr="00B85448">
        <w:trPr>
          <w:trHeight w:val="33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IDU-1436-2018</w:t>
            </w:r>
          </w:p>
        </w:tc>
        <w:tc>
          <w:tcPr>
            <w:tcW w:w="1597"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w:t>
            </w:r>
          </w:p>
        </w:tc>
        <w:tc>
          <w:tcPr>
            <w:tcW w:w="1559"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w:t>
            </w:r>
          </w:p>
        </w:tc>
        <w:tc>
          <w:tcPr>
            <w:tcW w:w="1560"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$ 307.577.140</w:t>
            </w:r>
          </w:p>
        </w:tc>
        <w:tc>
          <w:tcPr>
            <w:tcW w:w="1559"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$ 709.044.937</w:t>
            </w:r>
          </w:p>
        </w:tc>
        <w:tc>
          <w:tcPr>
            <w:tcW w:w="1701"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$ 1.016.622.077</w:t>
            </w:r>
          </w:p>
        </w:tc>
      </w:tr>
      <w:tr w:rsidR="00A6180B" w:rsidRPr="003B01CD" w:rsidTr="00B85448">
        <w:trPr>
          <w:trHeight w:val="33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IDU-1445-2019</w:t>
            </w:r>
          </w:p>
        </w:tc>
        <w:tc>
          <w:tcPr>
            <w:tcW w:w="1597"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w:t>
            </w:r>
          </w:p>
        </w:tc>
        <w:tc>
          <w:tcPr>
            <w:tcW w:w="1559"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w:t>
            </w:r>
          </w:p>
        </w:tc>
        <w:tc>
          <w:tcPr>
            <w:tcW w:w="1560"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w:t>
            </w:r>
          </w:p>
        </w:tc>
        <w:tc>
          <w:tcPr>
            <w:tcW w:w="1559"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color w:val="000000"/>
                <w:sz w:val="18"/>
                <w:lang w:val="es-ES" w:eastAsia="es-ES"/>
              </w:rPr>
            </w:pPr>
            <w:r w:rsidRPr="003B01CD">
              <w:rPr>
                <w:rFonts w:ascii="Arial" w:eastAsia="Arial Unicode MS" w:hAnsi="Arial" w:cs="Arial"/>
                <w:color w:val="000000"/>
                <w:sz w:val="18"/>
              </w:rPr>
              <w:t>$ 463.845.689</w:t>
            </w:r>
          </w:p>
        </w:tc>
        <w:tc>
          <w:tcPr>
            <w:tcW w:w="1701"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$ 463.845.689</w:t>
            </w:r>
          </w:p>
        </w:tc>
      </w:tr>
      <w:tr w:rsidR="00A6180B" w:rsidRPr="003B01CD" w:rsidTr="00B85448">
        <w:trPr>
          <w:trHeight w:val="393"/>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Ingreso x año</w:t>
            </w:r>
          </w:p>
        </w:tc>
        <w:tc>
          <w:tcPr>
            <w:tcW w:w="1597"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$ 1.747.316.550</w:t>
            </w:r>
          </w:p>
        </w:tc>
        <w:tc>
          <w:tcPr>
            <w:tcW w:w="1559"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$ 1.916.027.644</w:t>
            </w:r>
          </w:p>
        </w:tc>
        <w:tc>
          <w:tcPr>
            <w:tcW w:w="1560"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$ 1.817.683.447</w:t>
            </w:r>
          </w:p>
        </w:tc>
        <w:tc>
          <w:tcPr>
            <w:tcW w:w="1559"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$ 1.172.890.626</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$ 6.653.918.267</w:t>
            </w:r>
          </w:p>
        </w:tc>
      </w:tr>
    </w:tbl>
    <w:p w:rsidR="00A6180B" w:rsidRPr="003B01CD" w:rsidRDefault="00A6180B" w:rsidP="00AF75AF">
      <w:pPr>
        <w:spacing w:line="276" w:lineRule="auto"/>
        <w:jc w:val="both"/>
        <w:rPr>
          <w:rFonts w:ascii="Arial" w:hAnsi="Arial" w:cs="Arial"/>
          <w:sz w:val="20"/>
          <w:lang w:val="es-ES" w:eastAsia="es-ES"/>
        </w:rPr>
      </w:pPr>
      <w:r w:rsidRPr="003B01CD">
        <w:rPr>
          <w:rFonts w:ascii="Arial" w:hAnsi="Arial" w:cs="Arial"/>
          <w:sz w:val="20"/>
        </w:rPr>
        <w:t>Fuente: Dirección Técnica de Administración de Infraestructura IDU</w:t>
      </w:r>
    </w:p>
    <w:p w:rsidR="00A6180B" w:rsidRPr="003B01CD" w:rsidRDefault="00A6180B" w:rsidP="00AF75AF">
      <w:pPr>
        <w:spacing w:line="276" w:lineRule="auto"/>
        <w:jc w:val="both"/>
        <w:rPr>
          <w:rFonts w:ascii="Arial" w:eastAsiaTheme="minorEastAsia" w:hAnsi="Arial" w:cs="Arial"/>
          <w:lang w:val="es-ES"/>
        </w:rPr>
      </w:pPr>
    </w:p>
    <w:p w:rsidR="00A6180B" w:rsidRPr="003B01CD" w:rsidRDefault="00A6180B" w:rsidP="00AF75AF">
      <w:pPr>
        <w:spacing w:line="276" w:lineRule="auto"/>
        <w:jc w:val="both"/>
        <w:rPr>
          <w:rFonts w:ascii="Arial" w:eastAsiaTheme="minorEastAsia" w:hAnsi="Arial" w:cs="Arial"/>
        </w:rPr>
      </w:pPr>
      <w:r w:rsidRPr="003B01CD">
        <w:rPr>
          <w:rFonts w:ascii="Arial" w:eastAsiaTheme="minorEastAsia" w:hAnsi="Arial" w:cs="Arial"/>
        </w:rPr>
        <w:t>La Supervisión de los contrato de parqueaderos a nivel la ejerce directamente el IDU.</w:t>
      </w:r>
    </w:p>
    <w:p w:rsidR="00A6180B" w:rsidRPr="00A7458F" w:rsidRDefault="00A6180B" w:rsidP="00AF75AF">
      <w:pPr>
        <w:spacing w:line="276" w:lineRule="auto"/>
        <w:jc w:val="both"/>
        <w:rPr>
          <w:rFonts w:ascii="Arial" w:eastAsia="Arial Unicode MS" w:hAnsi="Arial" w:cs="Arial"/>
          <w:b/>
        </w:rPr>
      </w:pPr>
    </w:p>
    <w:p w:rsidR="00A6180B" w:rsidRPr="00A7458F" w:rsidRDefault="00A6180B" w:rsidP="00D0183B">
      <w:pPr>
        <w:pStyle w:val="Ttulo3"/>
        <w:keepNext w:val="0"/>
        <w:keepLines w:val="0"/>
        <w:numPr>
          <w:ilvl w:val="1"/>
          <w:numId w:val="55"/>
        </w:numPr>
        <w:tabs>
          <w:tab w:val="left" w:pos="993"/>
        </w:tabs>
        <w:spacing w:before="0" w:line="276" w:lineRule="auto"/>
        <w:ind w:left="567" w:hanging="283"/>
        <w:jc w:val="both"/>
        <w:rPr>
          <w:rFonts w:ascii="Arial" w:hAnsi="Arial" w:cs="Arial"/>
          <w:b/>
          <w:color w:val="auto"/>
          <w:sz w:val="22"/>
          <w:szCs w:val="22"/>
        </w:rPr>
      </w:pPr>
      <w:bookmarkStart w:id="153" w:name="_Toc27665259"/>
      <w:bookmarkStart w:id="154" w:name="_Toc30774642"/>
      <w:r w:rsidRPr="00A7458F">
        <w:rPr>
          <w:rFonts w:ascii="Arial" w:hAnsi="Arial" w:cs="Arial"/>
          <w:b/>
          <w:color w:val="auto"/>
          <w:sz w:val="22"/>
          <w:szCs w:val="22"/>
        </w:rPr>
        <w:t>CRUCE DE CUENTAS CON E.S.P.</w:t>
      </w:r>
      <w:bookmarkEnd w:id="153"/>
      <w:bookmarkEnd w:id="154"/>
    </w:p>
    <w:p w:rsidR="00A6180B" w:rsidRPr="00A7458F" w:rsidRDefault="00A6180B" w:rsidP="00AF75AF">
      <w:pPr>
        <w:spacing w:line="276" w:lineRule="auto"/>
        <w:jc w:val="both"/>
        <w:rPr>
          <w:rFonts w:ascii="Arial" w:hAnsi="Arial" w:cs="Arial"/>
          <w:b/>
        </w:rPr>
      </w:pPr>
    </w:p>
    <w:p w:rsidR="00A6180B" w:rsidRPr="003B01CD" w:rsidRDefault="00A6180B" w:rsidP="00AF75AF">
      <w:pPr>
        <w:spacing w:line="276" w:lineRule="auto"/>
        <w:jc w:val="both"/>
        <w:rPr>
          <w:rFonts w:ascii="Arial" w:hAnsi="Arial" w:cs="Arial"/>
          <w:lang w:eastAsia="zh-TW"/>
        </w:rPr>
      </w:pPr>
      <w:r w:rsidRPr="003B01CD">
        <w:rPr>
          <w:rFonts w:ascii="Arial" w:hAnsi="Arial" w:cs="Arial"/>
          <w:lang w:eastAsia="zh-TW"/>
        </w:rPr>
        <w:t>El cruce de cuentas se adelanta con base en lo establecido en los convenios interadministrativos firmados entre el IDU y las ESP (</w:t>
      </w:r>
      <w:r w:rsidRPr="003B01CD">
        <w:rPr>
          <w:rFonts w:ascii="Arial" w:hAnsi="Arial" w:cs="Arial"/>
          <w:i/>
          <w:lang w:eastAsia="zh-TW"/>
        </w:rPr>
        <w:t>antes de la entrada en vigencia de la Ley de infraestructura</w:t>
      </w:r>
      <w:r w:rsidRPr="003B01CD">
        <w:rPr>
          <w:rFonts w:ascii="Arial" w:hAnsi="Arial" w:cs="Arial"/>
          <w:lang w:eastAsia="zh-TW"/>
        </w:rPr>
        <w:t>), y se realizan mediante acta de cruce de cuentas donde se cruzan los valores de obras de infraestructura de redes de servicios ejecutadas por el IDU a solicitud de las ESP en los diferentes proyectos; y los valores de las maniobras (</w:t>
      </w:r>
      <w:r w:rsidRPr="003B01CD">
        <w:rPr>
          <w:rFonts w:ascii="Arial" w:hAnsi="Arial" w:cs="Arial"/>
          <w:i/>
          <w:lang w:eastAsia="zh-TW"/>
        </w:rPr>
        <w:t>obras especializadas</w:t>
      </w:r>
      <w:r w:rsidRPr="003B01CD">
        <w:rPr>
          <w:rFonts w:ascii="Arial" w:hAnsi="Arial" w:cs="Arial"/>
          <w:lang w:eastAsia="zh-TW"/>
        </w:rPr>
        <w:t>) realizadas por la ESP a solicitud del IDU.</w:t>
      </w:r>
    </w:p>
    <w:p w:rsidR="00A6180B" w:rsidRPr="003B01CD" w:rsidRDefault="00A6180B" w:rsidP="00AF75AF">
      <w:pPr>
        <w:spacing w:line="276" w:lineRule="auto"/>
        <w:jc w:val="both"/>
        <w:rPr>
          <w:rFonts w:ascii="Arial" w:hAnsi="Arial" w:cs="Arial"/>
          <w:lang w:eastAsia="zh-TW"/>
        </w:rPr>
      </w:pPr>
    </w:p>
    <w:p w:rsidR="00A6180B" w:rsidRPr="00A7458F" w:rsidRDefault="00A6180B" w:rsidP="00A7458F">
      <w:pPr>
        <w:pStyle w:val="Descripcin"/>
        <w:spacing w:after="0"/>
        <w:ind w:left="708" w:firstLine="708"/>
        <w:rPr>
          <w:rFonts w:ascii="Arial" w:hAnsi="Arial" w:cs="Arial"/>
          <w:color w:val="auto"/>
          <w:szCs w:val="20"/>
          <w:lang w:eastAsia="es-ES"/>
        </w:rPr>
      </w:pPr>
      <w:bookmarkStart w:id="155" w:name="_Toc27665383"/>
      <w:r w:rsidRPr="00A7458F">
        <w:rPr>
          <w:rFonts w:ascii="Arial" w:hAnsi="Arial" w:cs="Arial"/>
          <w:color w:val="auto"/>
          <w:szCs w:val="20"/>
        </w:rPr>
        <w:t>Descripción general de los convenios con Empresas de Servicios Públicos.</w:t>
      </w:r>
      <w:bookmarkEnd w:id="155"/>
    </w:p>
    <w:tbl>
      <w:tblPr>
        <w:tblW w:w="7052" w:type="dxa"/>
        <w:jc w:val="center"/>
        <w:tblCellMar>
          <w:left w:w="70" w:type="dxa"/>
          <w:right w:w="70" w:type="dxa"/>
        </w:tblCellMar>
        <w:tblLook w:val="04A0" w:firstRow="1" w:lastRow="0" w:firstColumn="1" w:lastColumn="0" w:noHBand="0" w:noVBand="1"/>
      </w:tblPr>
      <w:tblGrid>
        <w:gridCol w:w="1380"/>
        <w:gridCol w:w="1032"/>
        <w:gridCol w:w="1240"/>
        <w:gridCol w:w="1220"/>
        <w:gridCol w:w="1240"/>
        <w:gridCol w:w="940"/>
      </w:tblGrid>
      <w:tr w:rsidR="00A6180B" w:rsidRPr="003B01CD" w:rsidTr="00B85448">
        <w:trPr>
          <w:trHeight w:val="660"/>
          <w:tblHeader/>
          <w:jc w:val="center"/>
        </w:trPr>
        <w:tc>
          <w:tcPr>
            <w:tcW w:w="138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eastAsia="Arial Unicode MS" w:hAnsi="Arial" w:cs="Arial"/>
                <w:b/>
                <w:bCs/>
                <w:sz w:val="18"/>
                <w:szCs w:val="20"/>
                <w:lang w:val="es-ES" w:eastAsia="es-CO"/>
              </w:rPr>
            </w:pPr>
            <w:r w:rsidRPr="003B01CD">
              <w:rPr>
                <w:rFonts w:ascii="Arial" w:eastAsia="Arial Unicode MS" w:hAnsi="Arial" w:cs="Arial"/>
                <w:b/>
                <w:bCs/>
                <w:sz w:val="18"/>
                <w:szCs w:val="20"/>
              </w:rPr>
              <w:t>Convenio</w:t>
            </w:r>
          </w:p>
        </w:tc>
        <w:tc>
          <w:tcPr>
            <w:tcW w:w="1032"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eastAsia="Arial Unicode MS" w:hAnsi="Arial" w:cs="Arial"/>
                <w:b/>
                <w:bCs/>
                <w:sz w:val="18"/>
                <w:szCs w:val="20"/>
                <w:lang w:val="es-ES" w:eastAsia="es-ES"/>
              </w:rPr>
            </w:pPr>
            <w:r w:rsidRPr="003B01CD">
              <w:rPr>
                <w:rFonts w:ascii="Arial" w:eastAsia="Arial Unicode MS" w:hAnsi="Arial" w:cs="Arial"/>
                <w:b/>
                <w:bCs/>
                <w:sz w:val="18"/>
                <w:szCs w:val="20"/>
              </w:rPr>
              <w:t>ESP</w:t>
            </w:r>
          </w:p>
        </w:tc>
        <w:tc>
          <w:tcPr>
            <w:tcW w:w="1240"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eastAsia="Arial Unicode MS" w:hAnsi="Arial" w:cs="Arial"/>
                <w:b/>
                <w:bCs/>
                <w:sz w:val="18"/>
                <w:szCs w:val="20"/>
                <w:lang w:val="es-ES" w:eastAsia="es-ES"/>
              </w:rPr>
            </w:pPr>
            <w:r w:rsidRPr="003B01CD">
              <w:rPr>
                <w:rFonts w:ascii="Arial" w:eastAsia="Arial Unicode MS" w:hAnsi="Arial" w:cs="Arial"/>
                <w:b/>
                <w:bCs/>
                <w:sz w:val="18"/>
                <w:szCs w:val="20"/>
              </w:rPr>
              <w:t>Fecha de suscripción</w:t>
            </w:r>
          </w:p>
        </w:tc>
        <w:tc>
          <w:tcPr>
            <w:tcW w:w="1220"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eastAsia="Arial Unicode MS" w:hAnsi="Arial" w:cs="Arial"/>
                <w:b/>
                <w:bCs/>
                <w:sz w:val="18"/>
                <w:szCs w:val="20"/>
                <w:lang w:val="es-ES" w:eastAsia="es-ES"/>
              </w:rPr>
            </w:pPr>
            <w:r w:rsidRPr="003B01CD">
              <w:rPr>
                <w:rFonts w:ascii="Arial" w:eastAsia="Arial Unicode MS" w:hAnsi="Arial" w:cs="Arial"/>
                <w:b/>
                <w:bCs/>
                <w:sz w:val="18"/>
                <w:szCs w:val="20"/>
              </w:rPr>
              <w:t>Fecha de terminación</w:t>
            </w:r>
          </w:p>
        </w:tc>
        <w:tc>
          <w:tcPr>
            <w:tcW w:w="1240"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eastAsia="Arial Unicode MS" w:hAnsi="Arial" w:cs="Arial"/>
                <w:b/>
                <w:bCs/>
                <w:sz w:val="18"/>
                <w:szCs w:val="20"/>
                <w:lang w:val="es-ES" w:eastAsia="es-ES"/>
              </w:rPr>
            </w:pPr>
            <w:r w:rsidRPr="003B01CD">
              <w:rPr>
                <w:rFonts w:ascii="Arial" w:eastAsia="Arial Unicode MS" w:hAnsi="Arial" w:cs="Arial"/>
                <w:b/>
                <w:bCs/>
                <w:sz w:val="18"/>
                <w:szCs w:val="20"/>
              </w:rPr>
              <w:t>Fecha de Liquidación</w:t>
            </w:r>
          </w:p>
        </w:tc>
        <w:tc>
          <w:tcPr>
            <w:tcW w:w="940"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eastAsia="Arial Unicode MS" w:hAnsi="Arial" w:cs="Arial"/>
                <w:b/>
                <w:bCs/>
                <w:sz w:val="18"/>
                <w:szCs w:val="20"/>
                <w:lang w:val="es-ES" w:eastAsia="es-ES"/>
              </w:rPr>
            </w:pPr>
            <w:r w:rsidRPr="003B01CD">
              <w:rPr>
                <w:rFonts w:ascii="Arial" w:eastAsia="Arial Unicode MS" w:hAnsi="Arial" w:cs="Arial"/>
                <w:b/>
                <w:bCs/>
                <w:sz w:val="18"/>
                <w:szCs w:val="20"/>
              </w:rPr>
              <w:t>Estado</w:t>
            </w:r>
          </w:p>
        </w:tc>
      </w:tr>
      <w:tr w:rsidR="00A6180B" w:rsidRPr="003B01CD" w:rsidTr="00B85448">
        <w:trPr>
          <w:trHeight w:val="591"/>
          <w:jc w:val="center"/>
        </w:trPr>
        <w:tc>
          <w:tcPr>
            <w:tcW w:w="1380" w:type="dxa"/>
            <w:tcBorders>
              <w:top w:val="nil"/>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IDU-3501-1994</w:t>
            </w:r>
          </w:p>
        </w:tc>
        <w:tc>
          <w:tcPr>
            <w:tcW w:w="1032"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ETB</w:t>
            </w:r>
          </w:p>
        </w:tc>
        <w:tc>
          <w:tcPr>
            <w:tcW w:w="1240"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07/oct/1994</w:t>
            </w:r>
          </w:p>
        </w:tc>
        <w:tc>
          <w:tcPr>
            <w:tcW w:w="1220"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Indefinido</w:t>
            </w:r>
          </w:p>
        </w:tc>
        <w:tc>
          <w:tcPr>
            <w:tcW w:w="1240"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Sin liquidar</w:t>
            </w:r>
          </w:p>
        </w:tc>
        <w:tc>
          <w:tcPr>
            <w:tcW w:w="940"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Ejecución</w:t>
            </w:r>
          </w:p>
        </w:tc>
      </w:tr>
      <w:tr w:rsidR="00A6180B" w:rsidRPr="003B01CD" w:rsidTr="00B85448">
        <w:trPr>
          <w:trHeight w:val="415"/>
          <w:jc w:val="center"/>
        </w:trPr>
        <w:tc>
          <w:tcPr>
            <w:tcW w:w="1380" w:type="dxa"/>
            <w:tcBorders>
              <w:top w:val="nil"/>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IDU-5-2000</w:t>
            </w:r>
          </w:p>
        </w:tc>
        <w:tc>
          <w:tcPr>
            <w:tcW w:w="1032"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TELECOM</w:t>
            </w:r>
          </w:p>
        </w:tc>
        <w:tc>
          <w:tcPr>
            <w:tcW w:w="1240"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02/feb/2000</w:t>
            </w:r>
          </w:p>
        </w:tc>
        <w:tc>
          <w:tcPr>
            <w:tcW w:w="1220"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02/feb/2015</w:t>
            </w:r>
          </w:p>
        </w:tc>
        <w:tc>
          <w:tcPr>
            <w:tcW w:w="1240"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01/ago/2017</w:t>
            </w:r>
          </w:p>
        </w:tc>
        <w:tc>
          <w:tcPr>
            <w:tcW w:w="940"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Liquidado</w:t>
            </w:r>
          </w:p>
        </w:tc>
      </w:tr>
      <w:tr w:rsidR="00A6180B" w:rsidRPr="003B01CD" w:rsidTr="00B85448">
        <w:trPr>
          <w:trHeight w:val="564"/>
          <w:jc w:val="center"/>
        </w:trPr>
        <w:tc>
          <w:tcPr>
            <w:tcW w:w="1380" w:type="dxa"/>
            <w:tcBorders>
              <w:top w:val="nil"/>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lastRenderedPageBreak/>
              <w:t>IDU-34-2000</w:t>
            </w:r>
          </w:p>
        </w:tc>
        <w:tc>
          <w:tcPr>
            <w:tcW w:w="1032"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EPM BOGOTÁ</w:t>
            </w:r>
          </w:p>
        </w:tc>
        <w:tc>
          <w:tcPr>
            <w:tcW w:w="1240"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06/dic/2000</w:t>
            </w:r>
          </w:p>
        </w:tc>
        <w:tc>
          <w:tcPr>
            <w:tcW w:w="1220"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05/jun/2014</w:t>
            </w:r>
          </w:p>
        </w:tc>
        <w:tc>
          <w:tcPr>
            <w:tcW w:w="1240"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05/sep/2016</w:t>
            </w:r>
          </w:p>
        </w:tc>
        <w:tc>
          <w:tcPr>
            <w:tcW w:w="940"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Liquidado</w:t>
            </w:r>
          </w:p>
        </w:tc>
      </w:tr>
      <w:tr w:rsidR="00A6180B" w:rsidRPr="003B01CD" w:rsidTr="00B85448">
        <w:trPr>
          <w:trHeight w:val="543"/>
          <w:jc w:val="center"/>
        </w:trPr>
        <w:tc>
          <w:tcPr>
            <w:tcW w:w="1380" w:type="dxa"/>
            <w:tcBorders>
              <w:top w:val="nil"/>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IDU-24-2004</w:t>
            </w:r>
          </w:p>
        </w:tc>
        <w:tc>
          <w:tcPr>
            <w:tcW w:w="1032"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CODENSA</w:t>
            </w:r>
          </w:p>
        </w:tc>
        <w:tc>
          <w:tcPr>
            <w:tcW w:w="1240"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20/ago/2004</w:t>
            </w:r>
          </w:p>
        </w:tc>
        <w:tc>
          <w:tcPr>
            <w:tcW w:w="1220"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29/nov/2015</w:t>
            </w:r>
          </w:p>
        </w:tc>
        <w:tc>
          <w:tcPr>
            <w:tcW w:w="1240"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28/may/2018</w:t>
            </w:r>
          </w:p>
        </w:tc>
        <w:tc>
          <w:tcPr>
            <w:tcW w:w="940"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Liquidado</w:t>
            </w:r>
          </w:p>
        </w:tc>
      </w:tr>
      <w:tr w:rsidR="00A6180B" w:rsidRPr="003B01CD" w:rsidTr="00B85448">
        <w:trPr>
          <w:trHeight w:val="564"/>
          <w:jc w:val="center"/>
        </w:trPr>
        <w:tc>
          <w:tcPr>
            <w:tcW w:w="1380" w:type="dxa"/>
            <w:tcBorders>
              <w:top w:val="nil"/>
              <w:left w:val="single" w:sz="4" w:space="0" w:color="auto"/>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IDU-10-2008</w:t>
            </w:r>
          </w:p>
        </w:tc>
        <w:tc>
          <w:tcPr>
            <w:tcW w:w="1032"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EAB</w:t>
            </w:r>
          </w:p>
        </w:tc>
        <w:tc>
          <w:tcPr>
            <w:tcW w:w="1240"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20/may/2008</w:t>
            </w:r>
          </w:p>
        </w:tc>
        <w:tc>
          <w:tcPr>
            <w:tcW w:w="1220"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30/jul/2014</w:t>
            </w:r>
          </w:p>
        </w:tc>
        <w:tc>
          <w:tcPr>
            <w:tcW w:w="1240"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30/ene/2017</w:t>
            </w:r>
          </w:p>
        </w:tc>
        <w:tc>
          <w:tcPr>
            <w:tcW w:w="940" w:type="dxa"/>
            <w:tcBorders>
              <w:top w:val="nil"/>
              <w:left w:val="nil"/>
              <w:bottom w:val="single" w:sz="4" w:space="0" w:color="auto"/>
              <w:right w:val="single" w:sz="4" w:space="0" w:color="auto"/>
            </w:tcBorders>
            <w:vAlign w:val="center"/>
            <w:hideMark/>
          </w:tcPr>
          <w:p w:rsidR="00A6180B" w:rsidRPr="003B01CD" w:rsidRDefault="00A6180B" w:rsidP="00AF75AF">
            <w:pPr>
              <w:spacing w:line="276" w:lineRule="auto"/>
              <w:jc w:val="both"/>
              <w:rPr>
                <w:rFonts w:ascii="Arial" w:eastAsia="Arial Unicode MS" w:hAnsi="Arial" w:cs="Arial"/>
                <w:sz w:val="18"/>
                <w:szCs w:val="20"/>
                <w:lang w:val="es-ES" w:eastAsia="es-ES"/>
              </w:rPr>
            </w:pPr>
            <w:r w:rsidRPr="003B01CD">
              <w:rPr>
                <w:rFonts w:ascii="Arial" w:eastAsia="Arial Unicode MS" w:hAnsi="Arial" w:cs="Arial"/>
                <w:sz w:val="18"/>
                <w:szCs w:val="20"/>
              </w:rPr>
              <w:t>Liquidado</w:t>
            </w:r>
          </w:p>
        </w:tc>
      </w:tr>
    </w:tbl>
    <w:p w:rsidR="00A6180B" w:rsidRPr="003B01CD" w:rsidRDefault="00A6180B" w:rsidP="00AF75AF">
      <w:pPr>
        <w:spacing w:line="276" w:lineRule="auto"/>
        <w:jc w:val="both"/>
        <w:rPr>
          <w:rFonts w:ascii="Arial" w:hAnsi="Arial" w:cs="Arial"/>
          <w:sz w:val="20"/>
          <w:lang w:val="es-ES" w:eastAsia="es-ES"/>
        </w:rPr>
      </w:pPr>
      <w:r w:rsidRPr="003B01CD">
        <w:rPr>
          <w:rFonts w:ascii="Arial" w:hAnsi="Arial" w:cs="Arial"/>
          <w:sz w:val="20"/>
        </w:rPr>
        <w:t>Fuente: Dirección Técnica de Administración de Infraestructura IDU</w:t>
      </w:r>
    </w:p>
    <w:p w:rsidR="00A6180B" w:rsidRPr="003B01CD" w:rsidRDefault="00A6180B" w:rsidP="00AF75AF">
      <w:pPr>
        <w:spacing w:line="276" w:lineRule="auto"/>
        <w:jc w:val="both"/>
        <w:rPr>
          <w:rFonts w:ascii="Arial" w:eastAsia="Arial Unicode MS" w:hAnsi="Arial" w:cs="Arial"/>
          <w:b/>
          <w:u w:val="single"/>
          <w:lang w:val="es-ES"/>
        </w:rPr>
      </w:pPr>
    </w:p>
    <w:p w:rsidR="00A6180B" w:rsidRPr="003B01CD" w:rsidRDefault="00A6180B" w:rsidP="00D0183B">
      <w:pPr>
        <w:pStyle w:val="Prrafodelista"/>
        <w:numPr>
          <w:ilvl w:val="0"/>
          <w:numId w:val="34"/>
        </w:numPr>
        <w:spacing w:after="0" w:line="276" w:lineRule="auto"/>
        <w:jc w:val="both"/>
        <w:rPr>
          <w:rFonts w:ascii="Arial" w:eastAsia="Calibri" w:hAnsi="Arial" w:cs="Arial"/>
          <w:szCs w:val="24"/>
        </w:rPr>
      </w:pPr>
      <w:r w:rsidRPr="003B01CD">
        <w:rPr>
          <w:rFonts w:ascii="Arial" w:hAnsi="Arial" w:cs="Arial"/>
          <w:b/>
          <w:bCs/>
          <w:kern w:val="32"/>
          <w:szCs w:val="24"/>
        </w:rPr>
        <w:t>Consolidado de ingresos y egresos</w:t>
      </w:r>
    </w:p>
    <w:p w:rsidR="00A6180B" w:rsidRPr="003B01CD" w:rsidRDefault="00A6180B" w:rsidP="00AF75AF">
      <w:pPr>
        <w:pStyle w:val="Prrafodelista"/>
        <w:spacing w:line="276" w:lineRule="auto"/>
        <w:jc w:val="both"/>
        <w:rPr>
          <w:rFonts w:ascii="Arial" w:eastAsia="Calibri" w:hAnsi="Arial" w:cs="Arial"/>
          <w:szCs w:val="24"/>
        </w:rPr>
      </w:pPr>
    </w:p>
    <w:p w:rsidR="00A6180B" w:rsidRPr="003B01CD" w:rsidRDefault="00A6180B" w:rsidP="00AF75AF">
      <w:pPr>
        <w:spacing w:line="276" w:lineRule="auto"/>
        <w:jc w:val="both"/>
        <w:rPr>
          <w:rFonts w:ascii="Arial" w:eastAsia="Calibri" w:hAnsi="Arial" w:cs="Arial"/>
          <w:szCs w:val="24"/>
        </w:rPr>
      </w:pPr>
      <w:r w:rsidRPr="003B01CD">
        <w:rPr>
          <w:rFonts w:ascii="Arial" w:hAnsi="Arial" w:cs="Arial"/>
          <w:szCs w:val="24"/>
        </w:rPr>
        <w:t>En el cuadro a continuación se presenta el consolidado de recursos gestionado entre el 2016 y el 2019.</w:t>
      </w:r>
    </w:p>
    <w:p w:rsidR="00A6180B" w:rsidRPr="003B01CD" w:rsidRDefault="00A6180B" w:rsidP="00AF75AF">
      <w:pPr>
        <w:spacing w:line="276" w:lineRule="auto"/>
        <w:jc w:val="both"/>
        <w:rPr>
          <w:rFonts w:ascii="Arial" w:eastAsia="Arial Unicode MS" w:hAnsi="Arial" w:cs="Arial"/>
          <w:b/>
          <w:szCs w:val="24"/>
          <w:u w:val="single"/>
        </w:rPr>
      </w:pPr>
    </w:p>
    <w:p w:rsidR="00A6180B" w:rsidRPr="00485071" w:rsidRDefault="00A6180B" w:rsidP="00485071">
      <w:pPr>
        <w:pStyle w:val="Descripcin"/>
        <w:spacing w:after="0"/>
        <w:ind w:left="708" w:firstLine="708"/>
        <w:rPr>
          <w:rFonts w:ascii="Arial" w:hAnsi="Arial" w:cs="Arial"/>
          <w:color w:val="auto"/>
          <w:szCs w:val="20"/>
        </w:rPr>
      </w:pPr>
      <w:bookmarkStart w:id="156" w:name="_Toc27665384"/>
      <w:r w:rsidRPr="00485071">
        <w:rPr>
          <w:rFonts w:ascii="Arial" w:hAnsi="Arial" w:cs="Arial"/>
          <w:color w:val="auto"/>
          <w:szCs w:val="20"/>
        </w:rPr>
        <w:t>Consolidado de ingresos y egresos por cruces de cuentas.</w:t>
      </w:r>
      <w:bookmarkEnd w:id="156"/>
    </w:p>
    <w:tbl>
      <w:tblPr>
        <w:tblW w:w="7088" w:type="dxa"/>
        <w:jc w:val="center"/>
        <w:tblCellMar>
          <w:left w:w="70" w:type="dxa"/>
          <w:right w:w="70" w:type="dxa"/>
        </w:tblCellMar>
        <w:tblLook w:val="04A0" w:firstRow="1" w:lastRow="0" w:firstColumn="1" w:lastColumn="0" w:noHBand="0" w:noVBand="1"/>
      </w:tblPr>
      <w:tblGrid>
        <w:gridCol w:w="1985"/>
        <w:gridCol w:w="1701"/>
        <w:gridCol w:w="1701"/>
        <w:gridCol w:w="1701"/>
      </w:tblGrid>
      <w:tr w:rsidR="00A6180B" w:rsidRPr="003B01CD" w:rsidTr="00B85448">
        <w:trPr>
          <w:trHeight w:val="330"/>
          <w:tblHeader/>
          <w:jc w:val="center"/>
        </w:trPr>
        <w:tc>
          <w:tcPr>
            <w:tcW w:w="1985"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sz w:val="18"/>
                <w:szCs w:val="18"/>
                <w:lang w:val="es-ES" w:eastAsia="es-CO"/>
              </w:rPr>
            </w:pPr>
            <w:r w:rsidRPr="003B01CD">
              <w:rPr>
                <w:rFonts w:ascii="Arial" w:eastAsia="Arial Unicode MS" w:hAnsi="Arial" w:cs="Arial"/>
                <w:b/>
                <w:bCs/>
                <w:sz w:val="18"/>
                <w:szCs w:val="18"/>
              </w:rPr>
              <w:t>ESP</w:t>
            </w:r>
          </w:p>
        </w:tc>
        <w:tc>
          <w:tcPr>
            <w:tcW w:w="5103" w:type="dxa"/>
            <w:gridSpan w:val="3"/>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sz w:val="18"/>
                <w:szCs w:val="18"/>
                <w:lang w:val="es-ES" w:eastAsia="es-ES"/>
              </w:rPr>
            </w:pPr>
            <w:r w:rsidRPr="003B01CD">
              <w:rPr>
                <w:rFonts w:ascii="Arial" w:eastAsia="Arial Unicode MS" w:hAnsi="Arial" w:cs="Arial"/>
                <w:b/>
                <w:bCs/>
                <w:sz w:val="18"/>
                <w:szCs w:val="18"/>
              </w:rPr>
              <w:t>Fuente de financiación</w:t>
            </w:r>
          </w:p>
        </w:tc>
      </w:tr>
      <w:tr w:rsidR="00A6180B" w:rsidRPr="003B01CD" w:rsidTr="00B85448">
        <w:trPr>
          <w:trHeight w:val="330"/>
          <w:tblHeader/>
          <w:jc w:val="center"/>
        </w:trPr>
        <w:tc>
          <w:tcPr>
            <w:tcW w:w="0" w:type="auto"/>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76" w:lineRule="auto"/>
              <w:jc w:val="both"/>
              <w:rPr>
                <w:rFonts w:ascii="Arial" w:eastAsia="Arial Unicode MS" w:hAnsi="Arial" w:cs="Arial"/>
                <w:b/>
                <w:bCs/>
                <w:sz w:val="18"/>
                <w:szCs w:val="18"/>
                <w:lang w:val="es-ES" w:eastAsia="es-CO"/>
              </w:rPr>
            </w:pPr>
          </w:p>
        </w:tc>
        <w:tc>
          <w:tcPr>
            <w:tcW w:w="1701"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sz w:val="18"/>
                <w:szCs w:val="18"/>
                <w:lang w:val="es-ES" w:eastAsia="es-ES"/>
              </w:rPr>
            </w:pPr>
            <w:r w:rsidRPr="003B01CD">
              <w:rPr>
                <w:rFonts w:ascii="Arial" w:eastAsia="Arial Unicode MS" w:hAnsi="Arial" w:cs="Arial"/>
                <w:b/>
                <w:bCs/>
                <w:sz w:val="18"/>
                <w:szCs w:val="18"/>
              </w:rPr>
              <w:t>IDU</w:t>
            </w:r>
          </w:p>
        </w:tc>
        <w:tc>
          <w:tcPr>
            <w:tcW w:w="1701"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sz w:val="18"/>
                <w:szCs w:val="18"/>
                <w:lang w:val="es-ES" w:eastAsia="es-ES"/>
              </w:rPr>
            </w:pPr>
            <w:r w:rsidRPr="003B01CD">
              <w:rPr>
                <w:rFonts w:ascii="Arial" w:eastAsia="Arial Unicode MS" w:hAnsi="Arial" w:cs="Arial"/>
                <w:b/>
                <w:bCs/>
                <w:sz w:val="18"/>
                <w:szCs w:val="18"/>
              </w:rPr>
              <w:t>Valorización</w:t>
            </w:r>
          </w:p>
        </w:tc>
        <w:tc>
          <w:tcPr>
            <w:tcW w:w="1701"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sz w:val="18"/>
                <w:szCs w:val="18"/>
                <w:lang w:val="es-ES" w:eastAsia="es-ES"/>
              </w:rPr>
            </w:pPr>
            <w:r w:rsidRPr="003B01CD">
              <w:rPr>
                <w:rFonts w:ascii="Arial" w:eastAsia="Arial Unicode MS" w:hAnsi="Arial" w:cs="Arial"/>
                <w:b/>
                <w:bCs/>
                <w:sz w:val="18"/>
                <w:szCs w:val="18"/>
              </w:rPr>
              <w:t>Transmilenio</w:t>
            </w:r>
          </w:p>
        </w:tc>
      </w:tr>
      <w:tr w:rsidR="00A6180B" w:rsidRPr="003B01CD" w:rsidTr="00B85448">
        <w:trPr>
          <w:trHeight w:val="330"/>
          <w:jc w:val="center"/>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r w:rsidRPr="003B01CD">
              <w:rPr>
                <w:rFonts w:ascii="Arial" w:eastAsia="Arial Unicode MS" w:hAnsi="Arial" w:cs="Arial"/>
                <w:sz w:val="18"/>
                <w:szCs w:val="18"/>
              </w:rPr>
              <w:t>UNE EPM</w:t>
            </w:r>
          </w:p>
        </w:tc>
        <w:tc>
          <w:tcPr>
            <w:tcW w:w="1701"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r w:rsidRPr="003B01CD">
              <w:rPr>
                <w:rFonts w:ascii="Arial" w:eastAsia="Arial Unicode MS" w:hAnsi="Arial" w:cs="Arial"/>
                <w:sz w:val="18"/>
                <w:szCs w:val="18"/>
              </w:rPr>
              <w:t>$ 11.820.399</w:t>
            </w:r>
          </w:p>
        </w:tc>
        <w:tc>
          <w:tcPr>
            <w:tcW w:w="1701"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r w:rsidRPr="003B01CD">
              <w:rPr>
                <w:rFonts w:ascii="Arial" w:eastAsia="Arial Unicode MS" w:hAnsi="Arial" w:cs="Arial"/>
                <w:sz w:val="18"/>
                <w:szCs w:val="18"/>
              </w:rPr>
              <w:t>$ 121.929.516</w:t>
            </w:r>
          </w:p>
        </w:tc>
        <w:tc>
          <w:tcPr>
            <w:tcW w:w="1701"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r w:rsidRPr="003B01CD">
              <w:rPr>
                <w:rFonts w:ascii="Arial" w:eastAsia="Arial Unicode MS" w:hAnsi="Arial" w:cs="Arial"/>
                <w:sz w:val="18"/>
                <w:szCs w:val="18"/>
              </w:rPr>
              <w:t>$ 365.611.668</w:t>
            </w:r>
          </w:p>
        </w:tc>
      </w:tr>
      <w:tr w:rsidR="00A6180B" w:rsidRPr="003B01CD" w:rsidTr="00B85448">
        <w:trPr>
          <w:trHeight w:val="330"/>
          <w:jc w:val="center"/>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r w:rsidRPr="003B01CD">
              <w:rPr>
                <w:rFonts w:ascii="Arial" w:eastAsia="Arial Unicode MS" w:hAnsi="Arial" w:cs="Arial"/>
                <w:sz w:val="18"/>
                <w:szCs w:val="18"/>
              </w:rPr>
              <w:t>EAB</w:t>
            </w:r>
          </w:p>
        </w:tc>
        <w:tc>
          <w:tcPr>
            <w:tcW w:w="1701"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r w:rsidRPr="003B01CD">
              <w:rPr>
                <w:rFonts w:ascii="Arial" w:eastAsia="Arial Unicode MS" w:hAnsi="Arial" w:cs="Arial"/>
                <w:sz w:val="18"/>
                <w:szCs w:val="18"/>
              </w:rPr>
              <w:t>$ 27.613.538.957</w:t>
            </w:r>
          </w:p>
        </w:tc>
        <w:tc>
          <w:tcPr>
            <w:tcW w:w="1701"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r w:rsidRPr="003B01CD">
              <w:rPr>
                <w:rFonts w:ascii="Arial" w:eastAsia="Arial Unicode MS" w:hAnsi="Arial" w:cs="Arial"/>
                <w:sz w:val="18"/>
                <w:szCs w:val="18"/>
              </w:rPr>
              <w:t>$ 9.027.629.830</w:t>
            </w:r>
          </w:p>
        </w:tc>
        <w:tc>
          <w:tcPr>
            <w:tcW w:w="1701"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r w:rsidRPr="003B01CD">
              <w:rPr>
                <w:rFonts w:ascii="Arial" w:eastAsia="Arial Unicode MS" w:hAnsi="Arial" w:cs="Arial"/>
                <w:sz w:val="18"/>
                <w:szCs w:val="18"/>
              </w:rPr>
              <w:t>$ 11.072.387.377</w:t>
            </w:r>
          </w:p>
        </w:tc>
      </w:tr>
      <w:tr w:rsidR="00A6180B" w:rsidRPr="003B01CD" w:rsidTr="00B85448">
        <w:trPr>
          <w:trHeight w:val="330"/>
          <w:jc w:val="center"/>
        </w:trPr>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r w:rsidRPr="003B01CD">
              <w:rPr>
                <w:rFonts w:ascii="Arial" w:eastAsia="Arial Unicode MS" w:hAnsi="Arial" w:cs="Arial"/>
                <w:sz w:val="18"/>
                <w:szCs w:val="18"/>
              </w:rPr>
              <w:t xml:space="preserve">Colombia </w:t>
            </w:r>
            <w:r w:rsidRPr="003B01CD">
              <w:rPr>
                <w:rFonts w:ascii="Arial" w:eastAsia="Arial Unicode MS" w:hAnsi="Arial" w:cs="Arial"/>
                <w:sz w:val="18"/>
                <w:szCs w:val="18"/>
              </w:rPr>
              <w:br/>
              <w:t>Telecomunicaciones</w:t>
            </w:r>
          </w:p>
        </w:tc>
        <w:tc>
          <w:tcPr>
            <w:tcW w:w="17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r w:rsidRPr="003B01CD">
              <w:rPr>
                <w:rFonts w:ascii="Arial" w:eastAsia="Arial Unicode MS" w:hAnsi="Arial" w:cs="Arial"/>
                <w:sz w:val="18"/>
                <w:szCs w:val="18"/>
              </w:rPr>
              <w:t>$ 87.096.035</w:t>
            </w:r>
          </w:p>
        </w:tc>
        <w:tc>
          <w:tcPr>
            <w:tcW w:w="1701"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r w:rsidRPr="003B01CD">
              <w:rPr>
                <w:rFonts w:ascii="Arial" w:eastAsia="Arial Unicode MS" w:hAnsi="Arial" w:cs="Arial"/>
                <w:sz w:val="18"/>
                <w:szCs w:val="18"/>
              </w:rPr>
              <w:t>$ 86.817.441</w:t>
            </w:r>
          </w:p>
        </w:tc>
        <w:tc>
          <w:tcPr>
            <w:tcW w:w="17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r w:rsidRPr="003B01CD">
              <w:rPr>
                <w:rFonts w:ascii="Arial" w:eastAsia="Arial Unicode MS" w:hAnsi="Arial" w:cs="Arial"/>
                <w:sz w:val="18"/>
                <w:szCs w:val="18"/>
              </w:rPr>
              <w:t>$ 382.955.906</w:t>
            </w:r>
          </w:p>
        </w:tc>
      </w:tr>
      <w:tr w:rsidR="00A6180B" w:rsidRPr="003B01CD" w:rsidTr="00B85448">
        <w:trPr>
          <w:trHeight w:val="330"/>
          <w:jc w:val="center"/>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p>
        </w:tc>
        <w:tc>
          <w:tcPr>
            <w:tcW w:w="1701"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r w:rsidRPr="003B01CD">
              <w:rPr>
                <w:rFonts w:ascii="Arial" w:eastAsia="Arial Unicode MS" w:hAnsi="Arial" w:cs="Arial"/>
                <w:sz w:val="18"/>
                <w:szCs w:val="18"/>
              </w:rPr>
              <w:t>$ 342.191.577</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p>
        </w:tc>
      </w:tr>
      <w:tr w:rsidR="00A6180B" w:rsidRPr="003B01CD" w:rsidTr="00B85448">
        <w:trPr>
          <w:trHeight w:val="330"/>
          <w:jc w:val="center"/>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r w:rsidRPr="003B01CD">
              <w:rPr>
                <w:rFonts w:ascii="Arial" w:eastAsia="Arial Unicode MS" w:hAnsi="Arial" w:cs="Arial"/>
                <w:sz w:val="18"/>
                <w:szCs w:val="18"/>
              </w:rPr>
              <w:t>CODENSA</w:t>
            </w:r>
          </w:p>
        </w:tc>
        <w:tc>
          <w:tcPr>
            <w:tcW w:w="1701"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r w:rsidRPr="003B01CD">
              <w:rPr>
                <w:rFonts w:ascii="Arial" w:eastAsia="Arial Unicode MS" w:hAnsi="Arial" w:cs="Arial"/>
                <w:sz w:val="18"/>
                <w:szCs w:val="18"/>
              </w:rPr>
              <w:t>$ 820.207.223</w:t>
            </w:r>
          </w:p>
        </w:tc>
        <w:tc>
          <w:tcPr>
            <w:tcW w:w="1701"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r w:rsidRPr="003B01CD">
              <w:rPr>
                <w:rFonts w:ascii="Arial" w:eastAsia="Arial Unicode MS" w:hAnsi="Arial" w:cs="Arial"/>
                <w:sz w:val="18"/>
                <w:szCs w:val="18"/>
              </w:rPr>
              <w:t>$ 2.492.977.874</w:t>
            </w:r>
          </w:p>
        </w:tc>
        <w:tc>
          <w:tcPr>
            <w:tcW w:w="1701"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r w:rsidRPr="003B01CD">
              <w:rPr>
                <w:rFonts w:ascii="Arial" w:eastAsia="Arial Unicode MS" w:hAnsi="Arial" w:cs="Arial"/>
                <w:sz w:val="18"/>
                <w:szCs w:val="18"/>
              </w:rPr>
              <w:t>$ 1.411.131.571</w:t>
            </w:r>
          </w:p>
        </w:tc>
      </w:tr>
      <w:tr w:rsidR="00A6180B" w:rsidRPr="003B01CD" w:rsidTr="00B85448">
        <w:trPr>
          <w:trHeight w:val="330"/>
          <w:jc w:val="center"/>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r w:rsidRPr="003B01CD">
              <w:rPr>
                <w:rFonts w:ascii="Arial" w:eastAsia="Arial Unicode MS" w:hAnsi="Arial" w:cs="Arial"/>
                <w:sz w:val="18"/>
                <w:szCs w:val="18"/>
              </w:rPr>
              <w:t>ETB</w:t>
            </w:r>
          </w:p>
        </w:tc>
        <w:tc>
          <w:tcPr>
            <w:tcW w:w="1701"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r w:rsidRPr="003B01CD">
              <w:rPr>
                <w:rFonts w:ascii="Arial" w:eastAsia="Arial Unicode MS" w:hAnsi="Arial" w:cs="Arial"/>
                <w:sz w:val="18"/>
                <w:szCs w:val="18"/>
              </w:rPr>
              <w:t>$ 391.561.197</w:t>
            </w:r>
          </w:p>
        </w:tc>
        <w:tc>
          <w:tcPr>
            <w:tcW w:w="1701"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r w:rsidRPr="003B01CD">
              <w:rPr>
                <w:rFonts w:ascii="Arial" w:eastAsia="Arial Unicode MS" w:hAnsi="Arial" w:cs="Arial"/>
                <w:sz w:val="18"/>
                <w:szCs w:val="18"/>
              </w:rPr>
              <w:t>$ 818.864.508</w:t>
            </w:r>
          </w:p>
        </w:tc>
        <w:tc>
          <w:tcPr>
            <w:tcW w:w="1701"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r w:rsidRPr="003B01CD">
              <w:rPr>
                <w:rFonts w:ascii="Arial" w:eastAsia="Arial Unicode MS" w:hAnsi="Arial" w:cs="Arial"/>
                <w:sz w:val="18"/>
                <w:szCs w:val="18"/>
              </w:rPr>
              <w:t>$ 2.581.679.916</w:t>
            </w:r>
          </w:p>
        </w:tc>
      </w:tr>
      <w:tr w:rsidR="00A6180B" w:rsidRPr="003B01CD" w:rsidTr="00B85448">
        <w:trPr>
          <w:trHeight w:val="330"/>
          <w:jc w:val="center"/>
        </w:trPr>
        <w:tc>
          <w:tcPr>
            <w:tcW w:w="1985" w:type="dxa"/>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sz w:val="18"/>
                <w:szCs w:val="18"/>
                <w:lang w:val="es-ES" w:eastAsia="es-ES"/>
              </w:rPr>
            </w:pPr>
            <w:r w:rsidRPr="003B01CD">
              <w:rPr>
                <w:rFonts w:ascii="Arial" w:eastAsia="Arial Unicode MS" w:hAnsi="Arial" w:cs="Arial"/>
                <w:b/>
                <w:bCs/>
                <w:sz w:val="18"/>
                <w:szCs w:val="18"/>
              </w:rPr>
              <w:t>Ingresos x fuente</w:t>
            </w:r>
          </w:p>
        </w:tc>
        <w:tc>
          <w:tcPr>
            <w:tcW w:w="1701"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sz w:val="18"/>
                <w:szCs w:val="18"/>
                <w:lang w:val="es-ES" w:eastAsia="es-ES"/>
              </w:rPr>
            </w:pPr>
            <w:r w:rsidRPr="003B01CD">
              <w:rPr>
                <w:rFonts w:ascii="Arial" w:eastAsia="Arial Unicode MS" w:hAnsi="Arial" w:cs="Arial"/>
                <w:b/>
                <w:bCs/>
                <w:sz w:val="18"/>
                <w:szCs w:val="18"/>
              </w:rPr>
              <w:t>$ 28.924.223.811</w:t>
            </w:r>
          </w:p>
        </w:tc>
        <w:tc>
          <w:tcPr>
            <w:tcW w:w="1701"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sz w:val="18"/>
                <w:szCs w:val="18"/>
                <w:lang w:val="es-ES" w:eastAsia="es-ES"/>
              </w:rPr>
            </w:pPr>
            <w:r w:rsidRPr="003B01CD">
              <w:rPr>
                <w:rFonts w:ascii="Arial" w:eastAsia="Arial Unicode MS" w:hAnsi="Arial" w:cs="Arial"/>
                <w:b/>
                <w:bCs/>
                <w:sz w:val="18"/>
                <w:szCs w:val="18"/>
              </w:rPr>
              <w:t>$ 12.426.289.653</w:t>
            </w:r>
          </w:p>
        </w:tc>
        <w:tc>
          <w:tcPr>
            <w:tcW w:w="1701" w:type="dxa"/>
            <w:tcBorders>
              <w:top w:val="nil"/>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sz w:val="18"/>
                <w:szCs w:val="18"/>
                <w:lang w:val="es-ES" w:eastAsia="es-ES"/>
              </w:rPr>
            </w:pPr>
            <w:r w:rsidRPr="003B01CD">
              <w:rPr>
                <w:rFonts w:ascii="Arial" w:eastAsia="Arial Unicode MS" w:hAnsi="Arial" w:cs="Arial"/>
                <w:b/>
                <w:bCs/>
                <w:sz w:val="18"/>
                <w:szCs w:val="18"/>
              </w:rPr>
              <w:t>$ 11.455.343.283</w:t>
            </w:r>
          </w:p>
        </w:tc>
      </w:tr>
      <w:tr w:rsidR="00A6180B" w:rsidRPr="003B01CD" w:rsidTr="00B85448">
        <w:trPr>
          <w:trHeight w:val="330"/>
          <w:jc w:val="center"/>
        </w:trPr>
        <w:tc>
          <w:tcPr>
            <w:tcW w:w="1985" w:type="dxa"/>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sz w:val="18"/>
                <w:szCs w:val="18"/>
                <w:lang w:val="es-ES" w:eastAsia="es-ES"/>
              </w:rPr>
            </w:pPr>
            <w:r w:rsidRPr="003B01CD">
              <w:rPr>
                <w:rFonts w:ascii="Arial" w:eastAsia="Arial Unicode MS" w:hAnsi="Arial" w:cs="Arial"/>
                <w:b/>
                <w:bCs/>
                <w:sz w:val="18"/>
                <w:szCs w:val="18"/>
              </w:rPr>
              <w:t xml:space="preserve">TOTAL INGRESOS </w:t>
            </w:r>
          </w:p>
        </w:tc>
        <w:tc>
          <w:tcPr>
            <w:tcW w:w="5103" w:type="dxa"/>
            <w:gridSpan w:val="3"/>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sz w:val="18"/>
                <w:szCs w:val="18"/>
                <w:lang w:val="es-ES" w:eastAsia="es-ES"/>
              </w:rPr>
            </w:pPr>
            <w:r w:rsidRPr="003B01CD">
              <w:rPr>
                <w:rFonts w:ascii="Arial" w:eastAsia="Arial Unicode MS" w:hAnsi="Arial" w:cs="Arial"/>
                <w:b/>
                <w:bCs/>
                <w:sz w:val="18"/>
                <w:szCs w:val="18"/>
              </w:rPr>
              <w:t>$ 52.805.856.747</w:t>
            </w:r>
          </w:p>
        </w:tc>
      </w:tr>
      <w:tr w:rsidR="00A6180B" w:rsidRPr="003B01CD" w:rsidTr="00B85448">
        <w:trPr>
          <w:trHeight w:val="330"/>
          <w:jc w:val="center"/>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sz w:val="18"/>
                <w:szCs w:val="18"/>
                <w:lang w:val="es-ES" w:eastAsia="es-ES"/>
              </w:rPr>
            </w:pPr>
            <w:r w:rsidRPr="003B01CD">
              <w:rPr>
                <w:rFonts w:ascii="Arial" w:eastAsia="Arial Unicode MS" w:hAnsi="Arial" w:cs="Arial"/>
                <w:sz w:val="18"/>
                <w:szCs w:val="18"/>
              </w:rPr>
              <w:t>Egresos x fuente</w:t>
            </w:r>
          </w:p>
        </w:tc>
        <w:tc>
          <w:tcPr>
            <w:tcW w:w="1701"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b/>
                <w:bCs/>
                <w:sz w:val="18"/>
                <w:szCs w:val="18"/>
                <w:lang w:val="es-ES" w:eastAsia="es-ES"/>
              </w:rPr>
            </w:pPr>
            <w:r w:rsidRPr="003B01CD">
              <w:rPr>
                <w:rFonts w:ascii="Arial" w:eastAsia="Arial Unicode MS" w:hAnsi="Arial" w:cs="Arial"/>
                <w:b/>
                <w:bCs/>
                <w:sz w:val="18"/>
                <w:szCs w:val="18"/>
              </w:rPr>
              <w:t>$ 0</w:t>
            </w:r>
          </w:p>
        </w:tc>
        <w:tc>
          <w:tcPr>
            <w:tcW w:w="1701"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b/>
                <w:bCs/>
                <w:sz w:val="18"/>
                <w:szCs w:val="18"/>
                <w:lang w:val="es-ES" w:eastAsia="es-ES"/>
              </w:rPr>
            </w:pPr>
            <w:r w:rsidRPr="003B01CD">
              <w:rPr>
                <w:rFonts w:ascii="Arial" w:eastAsia="Arial Unicode MS" w:hAnsi="Arial" w:cs="Arial"/>
                <w:b/>
                <w:bCs/>
                <w:sz w:val="18"/>
                <w:szCs w:val="18"/>
              </w:rPr>
              <w:t>$ 464.121.093</w:t>
            </w:r>
          </w:p>
        </w:tc>
        <w:tc>
          <w:tcPr>
            <w:tcW w:w="1701" w:type="dxa"/>
            <w:tcBorders>
              <w:top w:val="nil"/>
              <w:left w:val="nil"/>
              <w:bottom w:val="single" w:sz="4" w:space="0" w:color="auto"/>
              <w:right w:val="single" w:sz="4" w:space="0" w:color="auto"/>
            </w:tcBorders>
            <w:shd w:val="clear" w:color="auto" w:fill="auto"/>
            <w:noWrap/>
            <w:vAlign w:val="center"/>
            <w:hideMark/>
          </w:tcPr>
          <w:p w:rsidR="00A6180B" w:rsidRPr="003B01CD" w:rsidRDefault="00A6180B" w:rsidP="00AF75AF">
            <w:pPr>
              <w:spacing w:line="276" w:lineRule="auto"/>
              <w:jc w:val="both"/>
              <w:rPr>
                <w:rFonts w:ascii="Arial" w:eastAsia="Arial Unicode MS" w:hAnsi="Arial" w:cs="Arial"/>
                <w:b/>
                <w:bCs/>
                <w:sz w:val="18"/>
                <w:szCs w:val="18"/>
                <w:lang w:val="es-ES" w:eastAsia="es-ES"/>
              </w:rPr>
            </w:pPr>
            <w:r w:rsidRPr="003B01CD">
              <w:rPr>
                <w:rFonts w:ascii="Arial" w:eastAsia="Arial Unicode MS" w:hAnsi="Arial" w:cs="Arial"/>
                <w:b/>
                <w:bCs/>
                <w:sz w:val="18"/>
                <w:szCs w:val="18"/>
              </w:rPr>
              <w:t>$ 4.358.423.155</w:t>
            </w:r>
          </w:p>
        </w:tc>
      </w:tr>
      <w:tr w:rsidR="00A6180B" w:rsidRPr="003B01CD" w:rsidTr="00B85448">
        <w:trPr>
          <w:trHeight w:val="185"/>
          <w:jc w:val="center"/>
        </w:trPr>
        <w:tc>
          <w:tcPr>
            <w:tcW w:w="1985" w:type="dxa"/>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sz w:val="18"/>
                <w:szCs w:val="18"/>
                <w:lang w:val="es-ES" w:eastAsia="es-ES"/>
              </w:rPr>
            </w:pPr>
            <w:r w:rsidRPr="003B01CD">
              <w:rPr>
                <w:rFonts w:ascii="Arial" w:eastAsia="Arial Unicode MS" w:hAnsi="Arial" w:cs="Arial"/>
                <w:b/>
                <w:bCs/>
                <w:sz w:val="18"/>
                <w:szCs w:val="18"/>
              </w:rPr>
              <w:t>TOTAL EGRESOS</w:t>
            </w:r>
          </w:p>
        </w:tc>
        <w:tc>
          <w:tcPr>
            <w:tcW w:w="5103" w:type="dxa"/>
            <w:gridSpan w:val="3"/>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A6180B" w:rsidRPr="003B01CD" w:rsidRDefault="00A6180B" w:rsidP="00AF75AF">
            <w:pPr>
              <w:spacing w:line="276" w:lineRule="auto"/>
              <w:jc w:val="both"/>
              <w:rPr>
                <w:rFonts w:ascii="Arial" w:eastAsia="Arial Unicode MS" w:hAnsi="Arial" w:cs="Arial"/>
                <w:b/>
                <w:bCs/>
                <w:sz w:val="18"/>
                <w:szCs w:val="18"/>
                <w:lang w:val="es-ES" w:eastAsia="es-ES"/>
              </w:rPr>
            </w:pPr>
            <w:r w:rsidRPr="003B01CD">
              <w:rPr>
                <w:rFonts w:ascii="Arial" w:eastAsia="Arial Unicode MS" w:hAnsi="Arial" w:cs="Arial"/>
                <w:b/>
                <w:bCs/>
                <w:sz w:val="18"/>
                <w:szCs w:val="18"/>
              </w:rPr>
              <w:t>$ 4.822.544.248</w:t>
            </w:r>
          </w:p>
        </w:tc>
      </w:tr>
    </w:tbl>
    <w:p w:rsidR="00A6180B" w:rsidRPr="003B01CD" w:rsidRDefault="00A6180B" w:rsidP="00AF75AF">
      <w:pPr>
        <w:spacing w:line="276" w:lineRule="auto"/>
        <w:jc w:val="both"/>
        <w:rPr>
          <w:rFonts w:ascii="Arial" w:hAnsi="Arial" w:cs="Arial"/>
          <w:sz w:val="20"/>
          <w:lang w:val="es-ES" w:eastAsia="es-ES"/>
        </w:rPr>
      </w:pPr>
      <w:r w:rsidRPr="003B01CD">
        <w:rPr>
          <w:rFonts w:ascii="Arial" w:hAnsi="Arial" w:cs="Arial"/>
          <w:sz w:val="20"/>
        </w:rPr>
        <w:t>Fuente: Dirección Técnica de Administración de Infraestructura IDU</w:t>
      </w:r>
    </w:p>
    <w:p w:rsidR="00A6180B" w:rsidRPr="003B01CD" w:rsidRDefault="00A6180B" w:rsidP="00AF75AF">
      <w:pPr>
        <w:spacing w:line="276" w:lineRule="auto"/>
        <w:jc w:val="both"/>
        <w:rPr>
          <w:rFonts w:ascii="Arial" w:eastAsia="Arial Unicode MS" w:hAnsi="Arial" w:cs="Arial"/>
          <w:b/>
          <w:u w:val="single"/>
          <w:lang w:val="es-ES"/>
        </w:rPr>
      </w:pPr>
    </w:p>
    <w:p w:rsidR="00A6180B" w:rsidRPr="003B01CD" w:rsidRDefault="00A6180B" w:rsidP="00D0183B">
      <w:pPr>
        <w:pStyle w:val="Prrafodelista"/>
        <w:numPr>
          <w:ilvl w:val="0"/>
          <w:numId w:val="34"/>
        </w:numPr>
        <w:spacing w:after="0" w:line="276" w:lineRule="auto"/>
        <w:jc w:val="both"/>
        <w:rPr>
          <w:rFonts w:ascii="Arial" w:eastAsia="Calibri" w:hAnsi="Arial" w:cs="Arial"/>
          <w:b/>
          <w:bCs/>
          <w:kern w:val="32"/>
          <w:szCs w:val="24"/>
        </w:rPr>
      </w:pPr>
      <w:r w:rsidRPr="003B01CD">
        <w:rPr>
          <w:rFonts w:ascii="Arial" w:hAnsi="Arial" w:cs="Arial"/>
          <w:b/>
          <w:bCs/>
          <w:kern w:val="32"/>
          <w:szCs w:val="24"/>
        </w:rPr>
        <w:t>Balance financiero general.</w:t>
      </w:r>
    </w:p>
    <w:p w:rsidR="00A6180B" w:rsidRPr="003B01CD" w:rsidRDefault="00A6180B" w:rsidP="00AF75AF">
      <w:pPr>
        <w:pStyle w:val="Prrafodelista"/>
        <w:spacing w:line="276" w:lineRule="auto"/>
        <w:jc w:val="both"/>
        <w:rPr>
          <w:rFonts w:ascii="Arial" w:eastAsia="Calibri" w:hAnsi="Arial" w:cs="Arial"/>
          <w:b/>
          <w:bCs/>
          <w:kern w:val="32"/>
          <w:szCs w:val="24"/>
        </w:rPr>
      </w:pPr>
    </w:p>
    <w:p w:rsidR="00A6180B" w:rsidRPr="003B01CD" w:rsidRDefault="00A6180B" w:rsidP="00AF75AF">
      <w:pPr>
        <w:spacing w:line="276" w:lineRule="auto"/>
        <w:jc w:val="both"/>
        <w:rPr>
          <w:rFonts w:ascii="Arial" w:eastAsia="Arial Unicode MS" w:hAnsi="Arial" w:cs="Arial"/>
          <w:szCs w:val="24"/>
        </w:rPr>
      </w:pPr>
      <w:r w:rsidRPr="003B01CD">
        <w:rPr>
          <w:rFonts w:ascii="Arial" w:eastAsia="Arial Unicode MS" w:hAnsi="Arial" w:cs="Arial"/>
        </w:rPr>
        <w:t>Obras a cargo de las ESP</w:t>
      </w:r>
      <w:r w:rsidRPr="003B01CD">
        <w:rPr>
          <w:rFonts w:ascii="Arial" w:eastAsia="Arial Unicode MS" w:hAnsi="Arial" w:cs="Arial"/>
        </w:rPr>
        <w:tab/>
      </w:r>
      <w:r w:rsidRPr="003B01CD">
        <w:rPr>
          <w:rFonts w:ascii="Arial" w:eastAsia="Arial Unicode MS" w:hAnsi="Arial" w:cs="Arial"/>
        </w:rPr>
        <w:tab/>
      </w:r>
      <w:r w:rsidRPr="003B01CD">
        <w:rPr>
          <w:rFonts w:ascii="Arial" w:eastAsia="Arial Unicode MS" w:hAnsi="Arial" w:cs="Arial"/>
        </w:rPr>
        <w:tab/>
        <w:t>$ 66.702.233.669</w:t>
      </w:r>
    </w:p>
    <w:p w:rsidR="00A6180B" w:rsidRPr="003B01CD" w:rsidRDefault="00A6180B" w:rsidP="00AF75AF">
      <w:pPr>
        <w:spacing w:line="276" w:lineRule="auto"/>
        <w:jc w:val="both"/>
        <w:rPr>
          <w:rFonts w:ascii="Arial" w:eastAsia="Arial Unicode MS" w:hAnsi="Arial" w:cs="Arial"/>
        </w:rPr>
      </w:pPr>
      <w:r w:rsidRPr="003B01CD">
        <w:rPr>
          <w:rFonts w:ascii="Arial" w:eastAsia="Arial Unicode MS" w:hAnsi="Arial" w:cs="Arial"/>
        </w:rPr>
        <w:lastRenderedPageBreak/>
        <w:t>Obras a cargo del IDU</w:t>
      </w:r>
      <w:r w:rsidRPr="003B01CD">
        <w:rPr>
          <w:rFonts w:ascii="Arial" w:eastAsia="Arial Unicode MS" w:hAnsi="Arial" w:cs="Arial"/>
        </w:rPr>
        <w:tab/>
      </w:r>
      <w:r w:rsidRPr="003B01CD">
        <w:rPr>
          <w:rFonts w:ascii="Arial" w:eastAsia="Arial Unicode MS" w:hAnsi="Arial" w:cs="Arial"/>
        </w:rPr>
        <w:tab/>
      </w:r>
      <w:r w:rsidRPr="003B01CD">
        <w:rPr>
          <w:rFonts w:ascii="Arial" w:eastAsia="Arial Unicode MS" w:hAnsi="Arial" w:cs="Arial"/>
        </w:rPr>
        <w:tab/>
        <w:t>$ 206.096.706.549</w:t>
      </w:r>
    </w:p>
    <w:p w:rsidR="00A6180B" w:rsidRPr="003B01CD" w:rsidRDefault="00A6180B" w:rsidP="00AF75AF">
      <w:pPr>
        <w:spacing w:line="276" w:lineRule="auto"/>
        <w:jc w:val="both"/>
        <w:rPr>
          <w:rFonts w:ascii="Arial" w:eastAsia="Arial Unicode MS" w:hAnsi="Arial" w:cs="Arial"/>
        </w:rPr>
      </w:pPr>
      <w:r w:rsidRPr="003B01CD">
        <w:rPr>
          <w:rFonts w:ascii="Arial" w:eastAsia="Arial Unicode MS" w:hAnsi="Arial" w:cs="Arial"/>
        </w:rPr>
        <w:t>Maniobras ejecutadas por las ESP</w:t>
      </w:r>
      <w:r w:rsidRPr="003B01CD">
        <w:rPr>
          <w:rFonts w:ascii="Arial" w:eastAsia="Arial Unicode MS" w:hAnsi="Arial" w:cs="Arial"/>
        </w:rPr>
        <w:tab/>
        <w:t>$ 18.718.867.169</w:t>
      </w:r>
    </w:p>
    <w:p w:rsidR="00A6180B" w:rsidRPr="003B01CD" w:rsidRDefault="00A6180B" w:rsidP="00AF75AF">
      <w:pPr>
        <w:spacing w:line="276" w:lineRule="auto"/>
        <w:jc w:val="both"/>
        <w:rPr>
          <w:rFonts w:ascii="Arial" w:eastAsia="Arial Unicode MS" w:hAnsi="Arial" w:cs="Arial"/>
          <w:b/>
        </w:rPr>
      </w:pPr>
    </w:p>
    <w:p w:rsidR="00A6180B" w:rsidRPr="003B01CD" w:rsidRDefault="00A6180B" w:rsidP="00D0183B">
      <w:pPr>
        <w:pStyle w:val="Prrafodelista"/>
        <w:numPr>
          <w:ilvl w:val="0"/>
          <w:numId w:val="34"/>
        </w:numPr>
        <w:spacing w:after="0" w:line="276" w:lineRule="auto"/>
        <w:jc w:val="both"/>
        <w:rPr>
          <w:rFonts w:ascii="Arial" w:eastAsia="Calibri" w:hAnsi="Arial" w:cs="Arial"/>
          <w:b/>
          <w:bCs/>
          <w:kern w:val="32"/>
          <w:szCs w:val="24"/>
        </w:rPr>
      </w:pPr>
      <w:r w:rsidRPr="003B01CD">
        <w:rPr>
          <w:rFonts w:ascii="Arial" w:hAnsi="Arial" w:cs="Arial"/>
          <w:b/>
          <w:bCs/>
          <w:kern w:val="32"/>
          <w:szCs w:val="24"/>
        </w:rPr>
        <w:t>Valores pagados después de realizar los cruces de cuentas</w:t>
      </w:r>
    </w:p>
    <w:p w:rsidR="00A6180B" w:rsidRPr="003B01CD" w:rsidRDefault="00A6180B" w:rsidP="00AF75AF">
      <w:pPr>
        <w:pStyle w:val="Prrafodelista"/>
        <w:spacing w:line="276" w:lineRule="auto"/>
        <w:jc w:val="both"/>
        <w:rPr>
          <w:rFonts w:ascii="Arial" w:eastAsia="Calibri" w:hAnsi="Arial" w:cs="Arial"/>
          <w:b/>
          <w:bCs/>
          <w:kern w:val="32"/>
          <w:szCs w:val="24"/>
        </w:rPr>
      </w:pPr>
    </w:p>
    <w:p w:rsidR="00A6180B" w:rsidRPr="003B01CD" w:rsidRDefault="00A6180B" w:rsidP="00AF75AF">
      <w:pPr>
        <w:spacing w:line="276" w:lineRule="auto"/>
        <w:jc w:val="both"/>
        <w:rPr>
          <w:rFonts w:ascii="Arial" w:eastAsia="Arial Unicode MS" w:hAnsi="Arial" w:cs="Arial"/>
          <w:szCs w:val="24"/>
        </w:rPr>
      </w:pPr>
      <w:r w:rsidRPr="003B01CD">
        <w:rPr>
          <w:rFonts w:ascii="Arial" w:eastAsia="Arial Unicode MS" w:hAnsi="Arial" w:cs="Arial"/>
        </w:rPr>
        <w:t>Valores pagados por la ESP al IDU</w:t>
      </w:r>
      <w:r w:rsidRPr="003B01CD">
        <w:rPr>
          <w:rFonts w:ascii="Arial" w:eastAsia="Arial Unicode MS" w:hAnsi="Arial" w:cs="Arial"/>
        </w:rPr>
        <w:tab/>
      </w:r>
      <w:r w:rsidRPr="003B01CD">
        <w:rPr>
          <w:rFonts w:ascii="Arial" w:eastAsia="Arial Unicode MS" w:hAnsi="Arial" w:cs="Arial"/>
        </w:rPr>
        <w:tab/>
        <w:t>$ 52. 805.856.747</w:t>
      </w:r>
    </w:p>
    <w:p w:rsidR="00A6180B" w:rsidRPr="003B01CD" w:rsidRDefault="00A6180B" w:rsidP="00AF75AF">
      <w:pPr>
        <w:spacing w:line="276" w:lineRule="auto"/>
        <w:jc w:val="both"/>
        <w:rPr>
          <w:rFonts w:ascii="Arial" w:eastAsia="Arial Unicode MS" w:hAnsi="Arial" w:cs="Arial"/>
        </w:rPr>
      </w:pPr>
      <w:r w:rsidRPr="003B01CD">
        <w:rPr>
          <w:rFonts w:ascii="Arial" w:eastAsia="Arial Unicode MS" w:hAnsi="Arial" w:cs="Arial"/>
        </w:rPr>
        <w:t>Valores pagados por IDU y TM a las ESP</w:t>
      </w:r>
      <w:r w:rsidRPr="003B01CD">
        <w:rPr>
          <w:rFonts w:ascii="Arial" w:eastAsia="Arial Unicode MS" w:hAnsi="Arial" w:cs="Arial"/>
        </w:rPr>
        <w:tab/>
        <w:t>$ 4.822.544.248</w:t>
      </w:r>
    </w:p>
    <w:p w:rsidR="00A6180B" w:rsidRPr="003B01CD" w:rsidRDefault="00A6180B" w:rsidP="00AF75AF">
      <w:pPr>
        <w:spacing w:line="276" w:lineRule="auto"/>
        <w:jc w:val="both"/>
        <w:rPr>
          <w:rFonts w:ascii="Arial" w:eastAsia="Times New Roman" w:hAnsi="Arial" w:cs="Arial"/>
          <w:b/>
        </w:rPr>
      </w:pPr>
    </w:p>
    <w:p w:rsidR="00A6180B" w:rsidRPr="003B01CD" w:rsidRDefault="00A6180B" w:rsidP="00AF75AF">
      <w:pPr>
        <w:pStyle w:val="Descripcin"/>
        <w:spacing w:after="0" w:line="276" w:lineRule="auto"/>
        <w:rPr>
          <w:rFonts w:ascii="Arial" w:hAnsi="Arial" w:cs="Arial"/>
          <w:szCs w:val="20"/>
        </w:rPr>
      </w:pPr>
      <w:bookmarkStart w:id="157" w:name="_Toc27665385"/>
      <w:r w:rsidRPr="003B01CD">
        <w:rPr>
          <w:rFonts w:ascii="Arial" w:hAnsi="Arial" w:cs="Arial"/>
        </w:rPr>
        <w:t xml:space="preserve">Tabla </w:t>
      </w:r>
      <w:r w:rsidRPr="003B01CD">
        <w:rPr>
          <w:rFonts w:ascii="Arial" w:hAnsi="Arial" w:cs="Arial"/>
        </w:rPr>
        <w:fldChar w:fldCharType="begin"/>
      </w:r>
      <w:r w:rsidRPr="003B01CD">
        <w:rPr>
          <w:rFonts w:ascii="Arial" w:hAnsi="Arial" w:cs="Arial"/>
        </w:rPr>
        <w:instrText xml:space="preserve"> SEQ Tabla \* ARABIC </w:instrText>
      </w:r>
      <w:r w:rsidRPr="003B01CD">
        <w:rPr>
          <w:rFonts w:ascii="Arial" w:hAnsi="Arial" w:cs="Arial"/>
        </w:rPr>
        <w:fldChar w:fldCharType="separate"/>
      </w:r>
      <w:r w:rsidR="002D104F">
        <w:rPr>
          <w:rFonts w:ascii="Arial" w:hAnsi="Arial" w:cs="Arial"/>
          <w:noProof/>
        </w:rPr>
        <w:t>2</w:t>
      </w:r>
      <w:r w:rsidRPr="003B01CD">
        <w:rPr>
          <w:rFonts w:ascii="Arial" w:hAnsi="Arial" w:cs="Arial"/>
          <w:noProof/>
        </w:rPr>
        <w:fldChar w:fldCharType="end"/>
      </w:r>
      <w:r w:rsidRPr="003B01CD">
        <w:rPr>
          <w:rFonts w:ascii="Arial" w:hAnsi="Arial" w:cs="Arial"/>
        </w:rPr>
        <w:t xml:space="preserve">. </w:t>
      </w:r>
      <w:r w:rsidRPr="003B01CD">
        <w:rPr>
          <w:rFonts w:ascii="Arial" w:hAnsi="Arial" w:cs="Arial"/>
          <w:szCs w:val="20"/>
        </w:rPr>
        <w:t>Resumen en la gestión de liquidación de los convenios.</w:t>
      </w:r>
      <w:bookmarkEnd w:id="157"/>
    </w:p>
    <w:tbl>
      <w:tblPr>
        <w:tblW w:w="9073" w:type="dxa"/>
        <w:jc w:val="center"/>
        <w:tblCellMar>
          <w:left w:w="70" w:type="dxa"/>
          <w:right w:w="70" w:type="dxa"/>
        </w:tblCellMar>
        <w:tblLook w:val="04A0" w:firstRow="1" w:lastRow="0" w:firstColumn="1" w:lastColumn="0" w:noHBand="0" w:noVBand="1"/>
      </w:tblPr>
      <w:tblGrid>
        <w:gridCol w:w="1388"/>
        <w:gridCol w:w="1181"/>
        <w:gridCol w:w="2018"/>
        <w:gridCol w:w="4486"/>
      </w:tblGrid>
      <w:tr w:rsidR="00A6180B" w:rsidRPr="003B01CD" w:rsidTr="00B85448">
        <w:trPr>
          <w:trHeight w:val="660"/>
          <w:tblHeader/>
          <w:jc w:val="center"/>
        </w:trPr>
        <w:tc>
          <w:tcPr>
            <w:tcW w:w="139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40" w:lineRule="auto"/>
              <w:jc w:val="both"/>
              <w:rPr>
                <w:rFonts w:ascii="Arial" w:eastAsia="Arial Unicode MS" w:hAnsi="Arial" w:cs="Arial"/>
                <w:b/>
                <w:bCs/>
                <w:color w:val="000000"/>
                <w:sz w:val="18"/>
                <w:lang w:val="es-ES" w:eastAsia="es-CO"/>
              </w:rPr>
            </w:pPr>
            <w:r w:rsidRPr="003B01CD">
              <w:rPr>
                <w:rFonts w:ascii="Arial" w:eastAsia="Arial Unicode MS" w:hAnsi="Arial" w:cs="Arial"/>
                <w:b/>
                <w:bCs/>
                <w:color w:val="000000"/>
                <w:sz w:val="18"/>
              </w:rPr>
              <w:t>Convenio</w:t>
            </w:r>
          </w:p>
        </w:tc>
        <w:tc>
          <w:tcPr>
            <w:tcW w:w="1110"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40"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Estado</w:t>
            </w:r>
          </w:p>
        </w:tc>
        <w:tc>
          <w:tcPr>
            <w:tcW w:w="2032"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40"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Avance de pendientes en acta liquidación</w:t>
            </w:r>
          </w:p>
        </w:tc>
        <w:tc>
          <w:tcPr>
            <w:tcW w:w="4537"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A6180B" w:rsidRPr="003B01CD" w:rsidRDefault="00A6180B" w:rsidP="00AF75AF">
            <w:pPr>
              <w:spacing w:line="240"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Pendientes</w:t>
            </w:r>
          </w:p>
        </w:tc>
      </w:tr>
      <w:tr w:rsidR="00A6180B" w:rsidRPr="003B01CD" w:rsidTr="00B85448">
        <w:trPr>
          <w:trHeight w:val="1848"/>
          <w:jc w:val="center"/>
        </w:trPr>
        <w:tc>
          <w:tcPr>
            <w:tcW w:w="13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80B" w:rsidRPr="003B01CD" w:rsidRDefault="00A6180B" w:rsidP="00AF75AF">
            <w:pPr>
              <w:spacing w:line="240"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ETB</w:t>
            </w:r>
            <w:r w:rsidRPr="003B01CD">
              <w:rPr>
                <w:rFonts w:ascii="Arial" w:eastAsia="Arial Unicode MS" w:hAnsi="Arial" w:cs="Arial"/>
                <w:b/>
                <w:bCs/>
                <w:color w:val="000000"/>
                <w:sz w:val="18"/>
              </w:rPr>
              <w:br/>
              <w:t>IDU-3501-1994</w:t>
            </w:r>
          </w:p>
        </w:tc>
        <w:tc>
          <w:tcPr>
            <w:tcW w:w="1110" w:type="dxa"/>
            <w:tcBorders>
              <w:top w:val="nil"/>
              <w:left w:val="nil"/>
              <w:bottom w:val="single" w:sz="4" w:space="0" w:color="auto"/>
              <w:right w:val="single" w:sz="4" w:space="0" w:color="auto"/>
            </w:tcBorders>
            <w:shd w:val="clear" w:color="auto" w:fill="auto"/>
            <w:vAlign w:val="center"/>
            <w:hideMark/>
          </w:tcPr>
          <w:p w:rsidR="00A6180B" w:rsidRPr="003B01CD" w:rsidRDefault="00A6180B" w:rsidP="00AF75AF">
            <w:pPr>
              <w:spacing w:line="240" w:lineRule="auto"/>
              <w:jc w:val="both"/>
              <w:rPr>
                <w:rFonts w:ascii="Arial" w:eastAsia="Arial Unicode MS" w:hAnsi="Arial" w:cs="Arial"/>
                <w:sz w:val="18"/>
                <w:lang w:val="es-ES" w:eastAsia="es-ES"/>
              </w:rPr>
            </w:pPr>
            <w:r w:rsidRPr="003B01CD">
              <w:rPr>
                <w:rFonts w:ascii="Arial" w:eastAsia="Arial Unicode MS" w:hAnsi="Arial" w:cs="Arial"/>
                <w:sz w:val="18"/>
              </w:rPr>
              <w:t>Vigente</w:t>
            </w:r>
          </w:p>
        </w:tc>
        <w:tc>
          <w:tcPr>
            <w:tcW w:w="2032" w:type="dxa"/>
            <w:tcBorders>
              <w:top w:val="nil"/>
              <w:left w:val="nil"/>
              <w:bottom w:val="single" w:sz="4" w:space="0" w:color="auto"/>
              <w:right w:val="single" w:sz="4" w:space="0" w:color="auto"/>
            </w:tcBorders>
            <w:shd w:val="clear" w:color="auto" w:fill="auto"/>
            <w:vAlign w:val="center"/>
            <w:hideMark/>
          </w:tcPr>
          <w:p w:rsidR="00A6180B" w:rsidRPr="003B01CD" w:rsidRDefault="00A6180B" w:rsidP="00AF75AF">
            <w:pPr>
              <w:spacing w:line="240" w:lineRule="auto"/>
              <w:jc w:val="both"/>
              <w:rPr>
                <w:rFonts w:ascii="Arial" w:eastAsia="Arial Unicode MS" w:hAnsi="Arial" w:cs="Arial"/>
                <w:sz w:val="18"/>
                <w:lang w:val="es-ES" w:eastAsia="es-ES"/>
              </w:rPr>
            </w:pPr>
            <w:r w:rsidRPr="003B01CD">
              <w:rPr>
                <w:rFonts w:ascii="Arial" w:eastAsia="Arial Unicode MS" w:hAnsi="Arial" w:cs="Arial"/>
                <w:sz w:val="18"/>
              </w:rPr>
              <w:t xml:space="preserve">En proceso de terminación y liquidación </w:t>
            </w:r>
          </w:p>
        </w:tc>
        <w:tc>
          <w:tcPr>
            <w:tcW w:w="4537" w:type="dxa"/>
            <w:tcBorders>
              <w:top w:val="nil"/>
              <w:left w:val="nil"/>
              <w:bottom w:val="single" w:sz="4" w:space="0" w:color="auto"/>
              <w:right w:val="single" w:sz="4" w:space="0" w:color="auto"/>
            </w:tcBorders>
            <w:shd w:val="clear" w:color="auto" w:fill="auto"/>
            <w:vAlign w:val="center"/>
            <w:hideMark/>
          </w:tcPr>
          <w:p w:rsidR="00A6180B" w:rsidRPr="003B01CD" w:rsidRDefault="00A6180B" w:rsidP="00AF75AF">
            <w:pPr>
              <w:spacing w:line="240" w:lineRule="auto"/>
              <w:jc w:val="both"/>
              <w:rPr>
                <w:rFonts w:ascii="Arial" w:eastAsia="Arial Unicode MS" w:hAnsi="Arial" w:cs="Arial"/>
                <w:sz w:val="18"/>
                <w:lang w:eastAsia="es-ES"/>
              </w:rPr>
            </w:pPr>
            <w:r w:rsidRPr="003B01CD">
              <w:rPr>
                <w:rFonts w:ascii="Arial" w:eastAsia="Arial Unicode MS" w:hAnsi="Arial" w:cs="Arial"/>
                <w:b/>
                <w:bCs/>
                <w:sz w:val="18"/>
              </w:rPr>
              <w:t>Faltante 60%</w:t>
            </w:r>
            <w:r w:rsidRPr="003B01CD">
              <w:rPr>
                <w:rFonts w:ascii="Arial" w:eastAsia="Arial Unicode MS" w:hAnsi="Arial" w:cs="Arial"/>
                <w:b/>
                <w:bCs/>
                <w:sz w:val="18"/>
              </w:rPr>
              <w:br/>
            </w:r>
            <w:r w:rsidRPr="003B01CD">
              <w:rPr>
                <w:rFonts w:ascii="Arial" w:eastAsia="Arial Unicode MS" w:hAnsi="Arial" w:cs="Arial"/>
                <w:sz w:val="18"/>
              </w:rPr>
              <w:sym w:font="Wingdings" w:char="F0A0"/>
            </w:r>
            <w:r w:rsidRPr="003B01CD">
              <w:rPr>
                <w:rFonts w:ascii="Arial" w:eastAsia="Arial Unicode MS" w:hAnsi="Arial" w:cs="Arial"/>
                <w:sz w:val="18"/>
              </w:rPr>
              <w:t xml:space="preserve"> Se elaboraron los anexos 1 y 2 de cruces de cuentas realizados a la fecha con soportes, y de contratos con actas en valor cero de obras ETB que no van a cruce, pendientes de firma.</w:t>
            </w:r>
          </w:p>
          <w:p w:rsidR="00A6180B" w:rsidRPr="003B01CD" w:rsidRDefault="00A6180B" w:rsidP="00AF75AF">
            <w:pPr>
              <w:spacing w:line="240" w:lineRule="auto"/>
              <w:jc w:val="both"/>
              <w:rPr>
                <w:rFonts w:ascii="Arial" w:eastAsia="Arial Unicode MS" w:hAnsi="Arial" w:cs="Arial"/>
                <w:b/>
                <w:bCs/>
                <w:sz w:val="18"/>
                <w:lang w:val="es-ES" w:eastAsia="es-ES"/>
              </w:rPr>
            </w:pPr>
            <w:r w:rsidRPr="003B01CD">
              <w:rPr>
                <w:rFonts w:ascii="Arial" w:eastAsia="Arial Unicode MS" w:hAnsi="Arial" w:cs="Arial"/>
                <w:sz w:val="18"/>
              </w:rPr>
              <w:sym w:font="Wingdings" w:char="F0A0"/>
            </w:r>
            <w:r w:rsidRPr="003B01CD">
              <w:rPr>
                <w:rFonts w:ascii="Arial" w:eastAsia="Arial Unicode MS" w:hAnsi="Arial" w:cs="Arial"/>
                <w:sz w:val="18"/>
              </w:rPr>
              <w:t xml:space="preserve"> Realizar cruces de cuentas definitivos para fuente IDU, Valorización y Transmilenio.</w:t>
            </w:r>
            <w:r w:rsidRPr="003B01CD">
              <w:rPr>
                <w:rFonts w:ascii="Arial" w:eastAsia="Arial Unicode MS" w:hAnsi="Arial" w:cs="Arial"/>
                <w:sz w:val="18"/>
              </w:rPr>
              <w:br/>
            </w:r>
            <w:r w:rsidRPr="003B01CD">
              <w:rPr>
                <w:rFonts w:ascii="Arial" w:eastAsia="Arial Unicode MS" w:hAnsi="Arial" w:cs="Arial"/>
                <w:sz w:val="18"/>
              </w:rPr>
              <w:sym w:font="Wingdings" w:char="F0A0"/>
            </w:r>
            <w:r w:rsidRPr="003B01CD">
              <w:rPr>
                <w:rFonts w:ascii="Arial" w:eastAsia="Arial Unicode MS" w:hAnsi="Arial" w:cs="Arial"/>
                <w:sz w:val="18"/>
              </w:rPr>
              <w:t xml:space="preserve"> Recibo de obra de contratos de la DTM y de la DTC con pendientes de recibo.</w:t>
            </w:r>
          </w:p>
        </w:tc>
      </w:tr>
      <w:tr w:rsidR="00A6180B" w:rsidRPr="003B01CD" w:rsidTr="00B85448">
        <w:trPr>
          <w:trHeight w:val="543"/>
          <w:jc w:val="center"/>
        </w:trPr>
        <w:tc>
          <w:tcPr>
            <w:tcW w:w="13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80B" w:rsidRPr="003B01CD" w:rsidRDefault="00A6180B" w:rsidP="00AF75AF">
            <w:pPr>
              <w:spacing w:line="240"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 xml:space="preserve">UNE EPM </w:t>
            </w:r>
            <w:r w:rsidRPr="003B01CD">
              <w:rPr>
                <w:rFonts w:ascii="Arial" w:eastAsia="Arial Unicode MS" w:hAnsi="Arial" w:cs="Arial"/>
                <w:b/>
                <w:bCs/>
                <w:color w:val="000000"/>
                <w:sz w:val="18"/>
              </w:rPr>
              <w:br/>
              <w:t>IDU-34-2000</w:t>
            </w:r>
          </w:p>
        </w:tc>
        <w:tc>
          <w:tcPr>
            <w:tcW w:w="1110" w:type="dxa"/>
            <w:tcBorders>
              <w:top w:val="nil"/>
              <w:left w:val="nil"/>
              <w:bottom w:val="single" w:sz="4" w:space="0" w:color="auto"/>
              <w:right w:val="single" w:sz="4" w:space="0" w:color="auto"/>
            </w:tcBorders>
            <w:shd w:val="clear" w:color="auto" w:fill="auto"/>
            <w:vAlign w:val="center"/>
            <w:hideMark/>
          </w:tcPr>
          <w:p w:rsidR="00A6180B" w:rsidRPr="003B01CD" w:rsidRDefault="00A6180B" w:rsidP="00AF75AF">
            <w:pPr>
              <w:spacing w:line="240" w:lineRule="auto"/>
              <w:jc w:val="both"/>
              <w:rPr>
                <w:rFonts w:ascii="Arial" w:eastAsia="Arial Unicode MS" w:hAnsi="Arial" w:cs="Arial"/>
                <w:sz w:val="18"/>
                <w:lang w:val="es-ES" w:eastAsia="es-ES"/>
              </w:rPr>
            </w:pPr>
            <w:r w:rsidRPr="003B01CD">
              <w:rPr>
                <w:rFonts w:ascii="Arial" w:eastAsia="Arial Unicode MS" w:hAnsi="Arial" w:cs="Arial"/>
                <w:sz w:val="18"/>
              </w:rPr>
              <w:t>Liquidado 05/sep/2016</w:t>
            </w:r>
          </w:p>
        </w:tc>
        <w:tc>
          <w:tcPr>
            <w:tcW w:w="2032" w:type="dxa"/>
            <w:tcBorders>
              <w:top w:val="nil"/>
              <w:left w:val="nil"/>
              <w:bottom w:val="single" w:sz="4" w:space="0" w:color="auto"/>
              <w:right w:val="single" w:sz="4" w:space="0" w:color="auto"/>
            </w:tcBorders>
            <w:shd w:val="clear" w:color="auto" w:fill="auto"/>
            <w:vAlign w:val="center"/>
            <w:hideMark/>
          </w:tcPr>
          <w:p w:rsidR="00A6180B" w:rsidRPr="003B01CD" w:rsidRDefault="00A6180B" w:rsidP="00AF75AF">
            <w:pPr>
              <w:spacing w:line="240" w:lineRule="auto"/>
              <w:jc w:val="both"/>
              <w:rPr>
                <w:rFonts w:ascii="Arial" w:eastAsia="Arial Unicode MS" w:hAnsi="Arial" w:cs="Arial"/>
                <w:sz w:val="18"/>
                <w:lang w:val="es-ES" w:eastAsia="es-ES"/>
              </w:rPr>
            </w:pPr>
            <w:r w:rsidRPr="003B01CD">
              <w:rPr>
                <w:rFonts w:ascii="Arial" w:eastAsia="Arial Unicode MS" w:hAnsi="Arial" w:cs="Arial"/>
                <w:sz w:val="18"/>
              </w:rPr>
              <w:t>100%</w:t>
            </w:r>
          </w:p>
        </w:tc>
        <w:tc>
          <w:tcPr>
            <w:tcW w:w="4537" w:type="dxa"/>
            <w:tcBorders>
              <w:top w:val="nil"/>
              <w:left w:val="nil"/>
              <w:bottom w:val="single" w:sz="4" w:space="0" w:color="auto"/>
              <w:right w:val="single" w:sz="4" w:space="0" w:color="auto"/>
            </w:tcBorders>
            <w:shd w:val="clear" w:color="auto" w:fill="auto"/>
            <w:vAlign w:val="center"/>
            <w:hideMark/>
          </w:tcPr>
          <w:p w:rsidR="00A6180B" w:rsidRPr="003B01CD" w:rsidRDefault="00A6180B" w:rsidP="00AF75AF">
            <w:pPr>
              <w:spacing w:line="240" w:lineRule="auto"/>
              <w:jc w:val="both"/>
              <w:rPr>
                <w:rFonts w:ascii="Arial" w:eastAsia="Arial Unicode MS" w:hAnsi="Arial" w:cs="Arial"/>
                <w:sz w:val="18"/>
                <w:lang w:val="es-ES" w:eastAsia="es-ES"/>
              </w:rPr>
            </w:pPr>
            <w:r w:rsidRPr="003B01CD">
              <w:rPr>
                <w:rFonts w:ascii="Arial" w:eastAsia="Arial Unicode MS" w:hAnsi="Arial" w:cs="Arial"/>
                <w:sz w:val="18"/>
              </w:rPr>
              <w:t> </w:t>
            </w:r>
          </w:p>
        </w:tc>
      </w:tr>
      <w:tr w:rsidR="00A6180B" w:rsidRPr="003B01CD" w:rsidTr="00B85448">
        <w:trPr>
          <w:trHeight w:val="551"/>
          <w:jc w:val="center"/>
        </w:trPr>
        <w:tc>
          <w:tcPr>
            <w:tcW w:w="13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80B" w:rsidRPr="003B01CD" w:rsidRDefault="00A6180B" w:rsidP="00AF75AF">
            <w:pPr>
              <w:spacing w:line="240"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TELECOM</w:t>
            </w:r>
            <w:r w:rsidRPr="003B01CD">
              <w:rPr>
                <w:rFonts w:ascii="Arial" w:eastAsia="Arial Unicode MS" w:hAnsi="Arial" w:cs="Arial"/>
                <w:b/>
                <w:bCs/>
                <w:color w:val="000000"/>
                <w:sz w:val="18"/>
              </w:rPr>
              <w:br/>
              <w:t>IDU-5-2000</w:t>
            </w:r>
          </w:p>
        </w:tc>
        <w:tc>
          <w:tcPr>
            <w:tcW w:w="1110" w:type="dxa"/>
            <w:tcBorders>
              <w:top w:val="nil"/>
              <w:left w:val="nil"/>
              <w:bottom w:val="single" w:sz="4" w:space="0" w:color="auto"/>
              <w:right w:val="single" w:sz="4" w:space="0" w:color="auto"/>
            </w:tcBorders>
            <w:shd w:val="clear" w:color="auto" w:fill="auto"/>
            <w:vAlign w:val="center"/>
            <w:hideMark/>
          </w:tcPr>
          <w:p w:rsidR="00A6180B" w:rsidRPr="003B01CD" w:rsidRDefault="00A6180B" w:rsidP="00AF75AF">
            <w:pPr>
              <w:spacing w:line="240" w:lineRule="auto"/>
              <w:jc w:val="both"/>
              <w:rPr>
                <w:rFonts w:ascii="Arial" w:eastAsia="Arial Unicode MS" w:hAnsi="Arial" w:cs="Arial"/>
                <w:sz w:val="18"/>
                <w:lang w:val="es-ES" w:eastAsia="es-ES"/>
              </w:rPr>
            </w:pPr>
            <w:r w:rsidRPr="003B01CD">
              <w:rPr>
                <w:rFonts w:ascii="Arial" w:eastAsia="Arial Unicode MS" w:hAnsi="Arial" w:cs="Arial"/>
                <w:sz w:val="18"/>
              </w:rPr>
              <w:t xml:space="preserve">Liquidado </w:t>
            </w:r>
            <w:r w:rsidRPr="003B01CD">
              <w:rPr>
                <w:rFonts w:ascii="Arial" w:eastAsia="Arial Unicode MS" w:hAnsi="Arial" w:cs="Arial"/>
                <w:sz w:val="18"/>
              </w:rPr>
              <w:br/>
              <w:t>01/ago/2017</w:t>
            </w:r>
          </w:p>
        </w:tc>
        <w:tc>
          <w:tcPr>
            <w:tcW w:w="2032" w:type="dxa"/>
            <w:tcBorders>
              <w:top w:val="nil"/>
              <w:left w:val="nil"/>
              <w:bottom w:val="single" w:sz="4" w:space="0" w:color="auto"/>
              <w:right w:val="single" w:sz="4" w:space="0" w:color="auto"/>
            </w:tcBorders>
            <w:shd w:val="clear" w:color="auto" w:fill="auto"/>
            <w:vAlign w:val="center"/>
            <w:hideMark/>
          </w:tcPr>
          <w:p w:rsidR="00A6180B" w:rsidRPr="003B01CD" w:rsidRDefault="00A6180B" w:rsidP="00AF75AF">
            <w:pPr>
              <w:spacing w:line="240" w:lineRule="auto"/>
              <w:jc w:val="both"/>
              <w:rPr>
                <w:rFonts w:ascii="Arial" w:eastAsia="Arial Unicode MS" w:hAnsi="Arial" w:cs="Arial"/>
                <w:sz w:val="18"/>
                <w:lang w:val="es-ES" w:eastAsia="es-ES"/>
              </w:rPr>
            </w:pPr>
            <w:r w:rsidRPr="003B01CD">
              <w:rPr>
                <w:rFonts w:ascii="Arial" w:eastAsia="Arial Unicode MS" w:hAnsi="Arial" w:cs="Arial"/>
                <w:sz w:val="18"/>
              </w:rPr>
              <w:t>95%</w:t>
            </w:r>
          </w:p>
        </w:tc>
        <w:tc>
          <w:tcPr>
            <w:tcW w:w="4537" w:type="dxa"/>
            <w:tcBorders>
              <w:top w:val="nil"/>
              <w:left w:val="nil"/>
              <w:bottom w:val="single" w:sz="4" w:space="0" w:color="auto"/>
              <w:right w:val="single" w:sz="4" w:space="0" w:color="auto"/>
            </w:tcBorders>
            <w:shd w:val="clear" w:color="auto" w:fill="auto"/>
            <w:vAlign w:val="center"/>
            <w:hideMark/>
          </w:tcPr>
          <w:p w:rsidR="00A6180B" w:rsidRPr="003B01CD" w:rsidRDefault="00A6180B" w:rsidP="00AF75AF">
            <w:pPr>
              <w:spacing w:line="240" w:lineRule="auto"/>
              <w:jc w:val="both"/>
              <w:rPr>
                <w:rFonts w:ascii="Arial" w:eastAsia="Arial Unicode MS" w:hAnsi="Arial" w:cs="Arial"/>
                <w:b/>
                <w:bCs/>
                <w:sz w:val="18"/>
              </w:rPr>
            </w:pPr>
            <w:r w:rsidRPr="003B01CD">
              <w:rPr>
                <w:rFonts w:ascii="Arial" w:eastAsia="Arial Unicode MS" w:hAnsi="Arial" w:cs="Arial"/>
                <w:b/>
                <w:bCs/>
                <w:sz w:val="18"/>
              </w:rPr>
              <w:t>Faltante 5%</w:t>
            </w:r>
          </w:p>
          <w:p w:rsidR="00A6180B" w:rsidRPr="003B01CD" w:rsidRDefault="00A6180B" w:rsidP="00AF75AF">
            <w:pPr>
              <w:spacing w:line="240" w:lineRule="auto"/>
              <w:jc w:val="both"/>
              <w:rPr>
                <w:rFonts w:ascii="Arial" w:eastAsia="Arial Unicode MS" w:hAnsi="Arial" w:cs="Arial"/>
                <w:b/>
                <w:bCs/>
                <w:sz w:val="18"/>
                <w:lang w:val="es-ES" w:eastAsia="es-ES"/>
              </w:rPr>
            </w:pPr>
            <w:r w:rsidRPr="003B01CD">
              <w:rPr>
                <w:rFonts w:ascii="Arial" w:eastAsia="Arial Unicode MS" w:hAnsi="Arial" w:cs="Arial"/>
                <w:sz w:val="18"/>
              </w:rPr>
              <w:t>Pendiente pago de IDU a COTELCO</w:t>
            </w:r>
            <w:r w:rsidRPr="003B01CD">
              <w:rPr>
                <w:rFonts w:ascii="Arial" w:eastAsia="Arial Unicode MS" w:hAnsi="Arial" w:cs="Arial"/>
                <w:b/>
                <w:bCs/>
                <w:sz w:val="18"/>
              </w:rPr>
              <w:t xml:space="preserve"> </w:t>
            </w:r>
          </w:p>
        </w:tc>
      </w:tr>
      <w:tr w:rsidR="00A6180B" w:rsidRPr="003B01CD" w:rsidTr="00B85448">
        <w:trPr>
          <w:trHeight w:val="998"/>
          <w:jc w:val="center"/>
        </w:trPr>
        <w:tc>
          <w:tcPr>
            <w:tcW w:w="13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80B" w:rsidRPr="003B01CD" w:rsidRDefault="00A6180B" w:rsidP="00AF75AF">
            <w:pPr>
              <w:spacing w:line="240"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EAB</w:t>
            </w:r>
            <w:r w:rsidRPr="003B01CD">
              <w:rPr>
                <w:rFonts w:ascii="Arial" w:eastAsia="Arial Unicode MS" w:hAnsi="Arial" w:cs="Arial"/>
                <w:b/>
                <w:bCs/>
                <w:color w:val="000000"/>
                <w:sz w:val="18"/>
              </w:rPr>
              <w:br/>
              <w:t>IDU-10-2008</w:t>
            </w:r>
          </w:p>
        </w:tc>
        <w:tc>
          <w:tcPr>
            <w:tcW w:w="1110" w:type="dxa"/>
            <w:tcBorders>
              <w:top w:val="nil"/>
              <w:left w:val="nil"/>
              <w:bottom w:val="single" w:sz="4" w:space="0" w:color="auto"/>
              <w:right w:val="single" w:sz="4" w:space="0" w:color="auto"/>
            </w:tcBorders>
            <w:shd w:val="clear" w:color="auto" w:fill="auto"/>
            <w:vAlign w:val="center"/>
            <w:hideMark/>
          </w:tcPr>
          <w:p w:rsidR="00A6180B" w:rsidRPr="003B01CD" w:rsidRDefault="00A6180B" w:rsidP="00AF75AF">
            <w:pPr>
              <w:spacing w:line="240" w:lineRule="auto"/>
              <w:jc w:val="both"/>
              <w:rPr>
                <w:rFonts w:ascii="Arial" w:eastAsia="Arial Unicode MS" w:hAnsi="Arial" w:cs="Arial"/>
                <w:sz w:val="18"/>
                <w:lang w:val="es-ES" w:eastAsia="es-ES"/>
              </w:rPr>
            </w:pPr>
            <w:r w:rsidRPr="003B01CD">
              <w:rPr>
                <w:rFonts w:ascii="Arial" w:eastAsia="Arial Unicode MS" w:hAnsi="Arial" w:cs="Arial"/>
                <w:sz w:val="18"/>
              </w:rPr>
              <w:t xml:space="preserve">Liquidado </w:t>
            </w:r>
            <w:r w:rsidRPr="003B01CD">
              <w:rPr>
                <w:rFonts w:ascii="Arial" w:eastAsia="Arial Unicode MS" w:hAnsi="Arial" w:cs="Arial"/>
                <w:sz w:val="18"/>
              </w:rPr>
              <w:br/>
              <w:t>30/ene/2017</w:t>
            </w:r>
          </w:p>
        </w:tc>
        <w:tc>
          <w:tcPr>
            <w:tcW w:w="2032" w:type="dxa"/>
            <w:tcBorders>
              <w:top w:val="nil"/>
              <w:left w:val="nil"/>
              <w:bottom w:val="single" w:sz="4" w:space="0" w:color="auto"/>
              <w:right w:val="single" w:sz="4" w:space="0" w:color="auto"/>
            </w:tcBorders>
            <w:shd w:val="clear" w:color="auto" w:fill="auto"/>
            <w:vAlign w:val="center"/>
            <w:hideMark/>
          </w:tcPr>
          <w:p w:rsidR="00A6180B" w:rsidRPr="003B01CD" w:rsidRDefault="00A6180B" w:rsidP="00AF75AF">
            <w:pPr>
              <w:spacing w:line="240" w:lineRule="auto"/>
              <w:jc w:val="both"/>
              <w:rPr>
                <w:rFonts w:ascii="Arial" w:eastAsia="Arial Unicode MS" w:hAnsi="Arial" w:cs="Arial"/>
                <w:sz w:val="18"/>
                <w:lang w:val="es-ES" w:eastAsia="es-ES"/>
              </w:rPr>
            </w:pPr>
            <w:r w:rsidRPr="003B01CD">
              <w:rPr>
                <w:rFonts w:ascii="Arial" w:eastAsia="Arial Unicode MS" w:hAnsi="Arial" w:cs="Arial"/>
                <w:sz w:val="18"/>
              </w:rPr>
              <w:t>88%</w:t>
            </w:r>
          </w:p>
        </w:tc>
        <w:tc>
          <w:tcPr>
            <w:tcW w:w="4537" w:type="dxa"/>
            <w:tcBorders>
              <w:top w:val="nil"/>
              <w:left w:val="nil"/>
              <w:bottom w:val="single" w:sz="4" w:space="0" w:color="auto"/>
              <w:right w:val="single" w:sz="4" w:space="0" w:color="auto"/>
            </w:tcBorders>
            <w:shd w:val="clear" w:color="auto" w:fill="auto"/>
            <w:vAlign w:val="center"/>
            <w:hideMark/>
          </w:tcPr>
          <w:p w:rsidR="00A6180B" w:rsidRPr="003B01CD" w:rsidRDefault="00A6180B" w:rsidP="00AF75AF">
            <w:pPr>
              <w:spacing w:line="240" w:lineRule="auto"/>
              <w:jc w:val="both"/>
              <w:rPr>
                <w:rFonts w:ascii="Arial" w:eastAsia="Arial Unicode MS" w:hAnsi="Arial" w:cs="Arial"/>
                <w:b/>
                <w:bCs/>
                <w:sz w:val="18"/>
              </w:rPr>
            </w:pPr>
            <w:r w:rsidRPr="003B01CD">
              <w:rPr>
                <w:rFonts w:ascii="Arial" w:eastAsia="Arial Unicode MS" w:hAnsi="Arial" w:cs="Arial"/>
                <w:b/>
                <w:bCs/>
                <w:sz w:val="18"/>
              </w:rPr>
              <w:t>Faltante 12%</w:t>
            </w:r>
          </w:p>
          <w:p w:rsidR="00A6180B" w:rsidRPr="003B01CD" w:rsidRDefault="00A6180B" w:rsidP="00AF75AF">
            <w:pPr>
              <w:spacing w:line="240" w:lineRule="auto"/>
              <w:jc w:val="both"/>
              <w:rPr>
                <w:rFonts w:ascii="Arial" w:eastAsia="Arial Unicode MS" w:hAnsi="Arial" w:cs="Arial"/>
                <w:b/>
                <w:bCs/>
                <w:sz w:val="18"/>
                <w:lang w:val="es-ES" w:eastAsia="es-ES"/>
              </w:rPr>
            </w:pPr>
            <w:r w:rsidRPr="003B01CD">
              <w:rPr>
                <w:rFonts w:ascii="Arial" w:eastAsia="Arial Unicode MS" w:hAnsi="Arial" w:cs="Arial"/>
                <w:sz w:val="18"/>
              </w:rPr>
              <w:t>Pendiente recibo de 6 contratos que se encuentran en proceso judicial, cruces de cuentas de contratos recibidos después de liquidación y soporte de giro anticipado.</w:t>
            </w:r>
          </w:p>
        </w:tc>
      </w:tr>
      <w:tr w:rsidR="00A6180B" w:rsidRPr="003B01CD" w:rsidTr="00B85448">
        <w:trPr>
          <w:trHeight w:val="742"/>
          <w:jc w:val="center"/>
        </w:trPr>
        <w:tc>
          <w:tcPr>
            <w:tcW w:w="13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80B" w:rsidRPr="003B01CD" w:rsidRDefault="00A6180B" w:rsidP="00AF75AF">
            <w:pPr>
              <w:spacing w:line="240" w:lineRule="auto"/>
              <w:jc w:val="both"/>
              <w:rPr>
                <w:rFonts w:ascii="Arial" w:eastAsia="Arial Unicode MS" w:hAnsi="Arial" w:cs="Arial"/>
                <w:b/>
                <w:bCs/>
                <w:color w:val="000000"/>
                <w:sz w:val="18"/>
                <w:lang w:val="es-ES" w:eastAsia="es-ES"/>
              </w:rPr>
            </w:pPr>
            <w:r w:rsidRPr="003B01CD">
              <w:rPr>
                <w:rFonts w:ascii="Arial" w:eastAsia="Arial Unicode MS" w:hAnsi="Arial" w:cs="Arial"/>
                <w:b/>
                <w:bCs/>
                <w:color w:val="000000"/>
                <w:sz w:val="18"/>
              </w:rPr>
              <w:t>CODENSA</w:t>
            </w:r>
            <w:r w:rsidRPr="003B01CD">
              <w:rPr>
                <w:rFonts w:ascii="Arial" w:eastAsia="Arial Unicode MS" w:hAnsi="Arial" w:cs="Arial"/>
                <w:b/>
                <w:bCs/>
                <w:color w:val="000000"/>
                <w:sz w:val="18"/>
              </w:rPr>
              <w:br/>
              <w:t>IDU-24-2004</w:t>
            </w:r>
          </w:p>
        </w:tc>
        <w:tc>
          <w:tcPr>
            <w:tcW w:w="1110" w:type="dxa"/>
            <w:tcBorders>
              <w:top w:val="nil"/>
              <w:left w:val="nil"/>
              <w:bottom w:val="single" w:sz="4" w:space="0" w:color="auto"/>
              <w:right w:val="single" w:sz="4" w:space="0" w:color="auto"/>
            </w:tcBorders>
            <w:shd w:val="clear" w:color="auto" w:fill="auto"/>
            <w:vAlign w:val="center"/>
            <w:hideMark/>
          </w:tcPr>
          <w:p w:rsidR="00A6180B" w:rsidRPr="003B01CD" w:rsidRDefault="00A6180B" w:rsidP="00AF75AF">
            <w:pPr>
              <w:spacing w:line="240" w:lineRule="auto"/>
              <w:jc w:val="both"/>
              <w:rPr>
                <w:rFonts w:ascii="Arial" w:eastAsia="Arial Unicode MS" w:hAnsi="Arial" w:cs="Arial"/>
                <w:sz w:val="18"/>
                <w:lang w:val="es-ES" w:eastAsia="es-ES"/>
              </w:rPr>
            </w:pPr>
            <w:r w:rsidRPr="003B01CD">
              <w:rPr>
                <w:rFonts w:ascii="Arial" w:eastAsia="Arial Unicode MS" w:hAnsi="Arial" w:cs="Arial"/>
                <w:sz w:val="18"/>
              </w:rPr>
              <w:t xml:space="preserve">Liquidado </w:t>
            </w:r>
            <w:r w:rsidRPr="003B01CD">
              <w:rPr>
                <w:rFonts w:ascii="Arial" w:eastAsia="Arial Unicode MS" w:hAnsi="Arial" w:cs="Arial"/>
                <w:sz w:val="18"/>
              </w:rPr>
              <w:br/>
              <w:t>28/may/2018</w:t>
            </w:r>
          </w:p>
        </w:tc>
        <w:tc>
          <w:tcPr>
            <w:tcW w:w="2032" w:type="dxa"/>
            <w:tcBorders>
              <w:top w:val="nil"/>
              <w:left w:val="nil"/>
              <w:bottom w:val="single" w:sz="4" w:space="0" w:color="auto"/>
              <w:right w:val="single" w:sz="4" w:space="0" w:color="auto"/>
            </w:tcBorders>
            <w:shd w:val="clear" w:color="auto" w:fill="auto"/>
            <w:vAlign w:val="center"/>
            <w:hideMark/>
          </w:tcPr>
          <w:p w:rsidR="00A6180B" w:rsidRPr="003B01CD" w:rsidRDefault="00A6180B" w:rsidP="00AF75AF">
            <w:pPr>
              <w:spacing w:line="240" w:lineRule="auto"/>
              <w:jc w:val="both"/>
              <w:rPr>
                <w:rFonts w:ascii="Arial" w:eastAsia="Arial Unicode MS" w:hAnsi="Arial" w:cs="Arial"/>
                <w:sz w:val="18"/>
                <w:lang w:val="es-ES" w:eastAsia="es-ES"/>
              </w:rPr>
            </w:pPr>
            <w:r w:rsidRPr="003B01CD">
              <w:rPr>
                <w:rFonts w:ascii="Arial" w:eastAsia="Arial Unicode MS" w:hAnsi="Arial" w:cs="Arial"/>
                <w:sz w:val="18"/>
              </w:rPr>
              <w:t>80%</w:t>
            </w:r>
          </w:p>
        </w:tc>
        <w:tc>
          <w:tcPr>
            <w:tcW w:w="4537" w:type="dxa"/>
            <w:tcBorders>
              <w:top w:val="nil"/>
              <w:left w:val="nil"/>
              <w:bottom w:val="single" w:sz="4" w:space="0" w:color="auto"/>
              <w:right w:val="single" w:sz="4" w:space="0" w:color="auto"/>
            </w:tcBorders>
            <w:shd w:val="clear" w:color="auto" w:fill="auto"/>
            <w:vAlign w:val="center"/>
            <w:hideMark/>
          </w:tcPr>
          <w:p w:rsidR="00A6180B" w:rsidRPr="003B01CD" w:rsidRDefault="00A6180B" w:rsidP="00AF75AF">
            <w:pPr>
              <w:spacing w:line="240" w:lineRule="auto"/>
              <w:jc w:val="both"/>
              <w:rPr>
                <w:rFonts w:ascii="Arial" w:eastAsia="Arial Unicode MS" w:hAnsi="Arial" w:cs="Arial"/>
                <w:b/>
                <w:bCs/>
                <w:sz w:val="18"/>
              </w:rPr>
            </w:pPr>
            <w:r w:rsidRPr="003B01CD">
              <w:rPr>
                <w:rFonts w:ascii="Arial" w:eastAsia="Arial Unicode MS" w:hAnsi="Arial" w:cs="Arial"/>
                <w:b/>
                <w:bCs/>
                <w:sz w:val="18"/>
              </w:rPr>
              <w:t>Faltante 20%</w:t>
            </w:r>
          </w:p>
          <w:p w:rsidR="00A6180B" w:rsidRPr="003B01CD" w:rsidRDefault="00A6180B" w:rsidP="00AF75AF">
            <w:pPr>
              <w:spacing w:line="240" w:lineRule="auto"/>
              <w:jc w:val="both"/>
              <w:rPr>
                <w:rFonts w:ascii="Arial" w:eastAsia="Arial Unicode MS" w:hAnsi="Arial" w:cs="Arial"/>
                <w:b/>
                <w:bCs/>
                <w:sz w:val="18"/>
                <w:lang w:val="es-ES" w:eastAsia="es-ES"/>
              </w:rPr>
            </w:pPr>
            <w:r w:rsidRPr="003B01CD">
              <w:rPr>
                <w:rFonts w:ascii="Arial" w:eastAsia="Arial Unicode MS" w:hAnsi="Arial" w:cs="Arial"/>
                <w:sz w:val="18"/>
              </w:rPr>
              <w:t>Pendiente recibo de 3 contratos que se encuentra en proceso judicial, y recibo del contrato IDU-5-2012.</w:t>
            </w:r>
          </w:p>
        </w:tc>
      </w:tr>
    </w:tbl>
    <w:p w:rsidR="00A6180B" w:rsidRPr="003B01CD" w:rsidRDefault="00A6180B" w:rsidP="00AF75AF">
      <w:pPr>
        <w:spacing w:line="276" w:lineRule="auto"/>
        <w:jc w:val="both"/>
        <w:rPr>
          <w:rFonts w:ascii="Arial" w:hAnsi="Arial" w:cs="Arial"/>
        </w:rPr>
      </w:pPr>
    </w:p>
    <w:p w:rsidR="00A6180B" w:rsidRPr="003B01CD" w:rsidRDefault="00A6180B" w:rsidP="00AF75AF">
      <w:pPr>
        <w:jc w:val="both"/>
        <w:rPr>
          <w:rFonts w:ascii="Arial" w:hAnsi="Arial" w:cs="Arial"/>
        </w:rPr>
      </w:pPr>
    </w:p>
    <w:p w:rsidR="004E1BEC" w:rsidRDefault="004E1BEC" w:rsidP="00AF75AF">
      <w:pPr>
        <w:jc w:val="both"/>
        <w:rPr>
          <w:rFonts w:ascii="Arial" w:hAnsi="Arial" w:cs="Arial"/>
        </w:rPr>
      </w:pPr>
    </w:p>
    <w:p w:rsidR="004F32DB" w:rsidRDefault="004F32DB" w:rsidP="00AF75AF">
      <w:pPr>
        <w:jc w:val="both"/>
        <w:rPr>
          <w:rFonts w:ascii="Arial" w:hAnsi="Arial" w:cs="Arial"/>
        </w:rPr>
      </w:pPr>
    </w:p>
    <w:p w:rsidR="004F32DB" w:rsidRDefault="004F32DB" w:rsidP="00AF75AF">
      <w:pPr>
        <w:jc w:val="both"/>
        <w:rPr>
          <w:rFonts w:ascii="Arial" w:hAnsi="Arial" w:cs="Arial"/>
        </w:rPr>
      </w:pPr>
    </w:p>
    <w:p w:rsidR="004F32DB" w:rsidRDefault="004F32DB" w:rsidP="00AF75AF">
      <w:pPr>
        <w:jc w:val="both"/>
        <w:rPr>
          <w:rFonts w:ascii="Arial" w:hAnsi="Arial" w:cs="Arial"/>
        </w:rPr>
      </w:pPr>
    </w:p>
    <w:p w:rsidR="004F32DB" w:rsidRPr="003B01CD" w:rsidRDefault="004F32DB" w:rsidP="00AF75AF">
      <w:pPr>
        <w:jc w:val="both"/>
        <w:rPr>
          <w:rFonts w:ascii="Arial" w:hAnsi="Arial" w:cs="Arial"/>
        </w:rPr>
      </w:pPr>
    </w:p>
    <w:p w:rsidR="00CC5248" w:rsidRPr="00F35F4D" w:rsidRDefault="004F32DB" w:rsidP="00F35F4D">
      <w:pPr>
        <w:pStyle w:val="Ttulo2"/>
        <w:numPr>
          <w:ilvl w:val="0"/>
          <w:numId w:val="0"/>
        </w:numPr>
        <w:ind w:left="1428" w:hanging="360"/>
        <w:jc w:val="center"/>
        <w:rPr>
          <w:sz w:val="24"/>
          <w:szCs w:val="24"/>
        </w:rPr>
      </w:pPr>
      <w:bookmarkStart w:id="158" w:name="_Toc30774643"/>
      <w:r w:rsidRPr="00F35F4D">
        <w:rPr>
          <w:sz w:val="24"/>
          <w:szCs w:val="24"/>
        </w:rPr>
        <w:t>CAPITULO 9. GESTIÓN CORPORATIVA</w:t>
      </w:r>
      <w:bookmarkEnd w:id="158"/>
    </w:p>
    <w:p w:rsidR="00FD14B5" w:rsidRPr="00FD14B5" w:rsidRDefault="00FD14B5" w:rsidP="00FD14B5">
      <w:pPr>
        <w:spacing w:line="276" w:lineRule="auto"/>
        <w:rPr>
          <w:rFonts w:ascii="Arial" w:hAnsi="Arial" w:cs="Arial"/>
        </w:rPr>
      </w:pPr>
    </w:p>
    <w:p w:rsidR="00FD14B5" w:rsidRPr="00FD14B5" w:rsidRDefault="00FD14B5" w:rsidP="00D0183B">
      <w:pPr>
        <w:pStyle w:val="Ttulo2"/>
        <w:numPr>
          <w:ilvl w:val="1"/>
          <w:numId w:val="56"/>
        </w:numPr>
        <w:spacing w:line="276" w:lineRule="auto"/>
        <w:rPr>
          <w:sz w:val="22"/>
        </w:rPr>
      </w:pPr>
      <w:bookmarkStart w:id="159" w:name="_Toc27665273"/>
      <w:bookmarkStart w:id="160" w:name="_Toc30774644"/>
      <w:r w:rsidRPr="00FD14B5">
        <w:rPr>
          <w:sz w:val="22"/>
        </w:rPr>
        <w:t>RECURSOS FINANCIEROS</w:t>
      </w:r>
      <w:bookmarkEnd w:id="159"/>
      <w:bookmarkEnd w:id="160"/>
    </w:p>
    <w:p w:rsidR="00FD14B5" w:rsidRPr="00FD14B5" w:rsidRDefault="00FD14B5" w:rsidP="00FD14B5">
      <w:pPr>
        <w:spacing w:line="276" w:lineRule="auto"/>
        <w:rPr>
          <w:rFonts w:ascii="Arial" w:hAnsi="Arial" w:cs="Arial"/>
        </w:rPr>
      </w:pPr>
    </w:p>
    <w:p w:rsidR="00FD14B5" w:rsidRPr="00FD14B5" w:rsidRDefault="00FD14B5" w:rsidP="00D0183B">
      <w:pPr>
        <w:pStyle w:val="Ttulo3"/>
        <w:keepNext w:val="0"/>
        <w:keepLines w:val="0"/>
        <w:numPr>
          <w:ilvl w:val="2"/>
          <w:numId w:val="56"/>
        </w:numPr>
        <w:tabs>
          <w:tab w:val="left" w:pos="851"/>
        </w:tabs>
        <w:spacing w:before="0" w:line="276" w:lineRule="auto"/>
        <w:jc w:val="both"/>
        <w:rPr>
          <w:rFonts w:ascii="Arial" w:hAnsi="Arial" w:cs="Arial"/>
          <w:b/>
          <w:color w:val="auto"/>
          <w:sz w:val="22"/>
          <w:szCs w:val="22"/>
        </w:rPr>
      </w:pPr>
      <w:bookmarkStart w:id="161" w:name="_Toc27665274"/>
      <w:bookmarkStart w:id="162" w:name="_Toc30774645"/>
      <w:r w:rsidRPr="00FD14B5">
        <w:rPr>
          <w:rFonts w:ascii="Arial" w:hAnsi="Arial" w:cs="Arial"/>
          <w:b/>
          <w:color w:val="auto"/>
          <w:sz w:val="22"/>
          <w:szCs w:val="22"/>
        </w:rPr>
        <w:t>GESTIÓN FINANCIERA</w:t>
      </w:r>
      <w:bookmarkEnd w:id="161"/>
      <w:bookmarkEnd w:id="162"/>
      <w:r w:rsidRPr="00FD14B5">
        <w:rPr>
          <w:rFonts w:ascii="Arial" w:hAnsi="Arial" w:cs="Arial"/>
          <w:b/>
          <w:color w:val="auto"/>
          <w:sz w:val="22"/>
          <w:szCs w:val="22"/>
        </w:rPr>
        <w:t xml:space="preserve"> </w:t>
      </w:r>
    </w:p>
    <w:p w:rsidR="00FD14B5" w:rsidRPr="00FD14B5" w:rsidRDefault="00FD14B5" w:rsidP="00FD14B5">
      <w:pPr>
        <w:spacing w:line="276" w:lineRule="auto"/>
        <w:rPr>
          <w:rFonts w:ascii="Arial" w:hAnsi="Arial" w:cs="Arial"/>
        </w:rPr>
      </w:pPr>
    </w:p>
    <w:p w:rsidR="00FD14B5" w:rsidRPr="00AC355F" w:rsidRDefault="00FD14B5" w:rsidP="00D0183B">
      <w:pPr>
        <w:pStyle w:val="Ttulo4"/>
        <w:keepNext w:val="0"/>
        <w:keepLines w:val="0"/>
        <w:numPr>
          <w:ilvl w:val="3"/>
          <w:numId w:val="56"/>
        </w:numPr>
        <w:spacing w:before="0" w:line="360" w:lineRule="auto"/>
        <w:jc w:val="both"/>
        <w:rPr>
          <w:rFonts w:ascii="Arial" w:hAnsi="Arial" w:cs="Arial"/>
          <w:b/>
          <w:i w:val="0"/>
          <w:color w:val="auto"/>
        </w:rPr>
      </w:pPr>
      <w:r w:rsidRPr="00AC355F">
        <w:rPr>
          <w:rFonts w:ascii="Arial" w:hAnsi="Arial" w:cs="Arial"/>
          <w:b/>
          <w:i w:val="0"/>
          <w:color w:val="auto"/>
        </w:rPr>
        <w:t>Recaudo de la contribución de Valorización</w:t>
      </w:r>
    </w:p>
    <w:p w:rsidR="00FD14B5" w:rsidRPr="00FD14B5" w:rsidRDefault="00FD14B5" w:rsidP="00FD14B5">
      <w:pPr>
        <w:spacing w:line="276" w:lineRule="auto"/>
        <w:rPr>
          <w:rFonts w:ascii="Arial" w:hAnsi="Arial" w:cs="Arial"/>
          <w:szCs w:val="24"/>
        </w:rPr>
      </w:pPr>
    </w:p>
    <w:p w:rsidR="00FD14B5" w:rsidRPr="00FD14B5" w:rsidRDefault="00FD14B5" w:rsidP="00C00F56">
      <w:pPr>
        <w:spacing w:line="276" w:lineRule="auto"/>
        <w:jc w:val="both"/>
        <w:rPr>
          <w:rFonts w:ascii="Arial" w:hAnsi="Arial" w:cs="Arial"/>
          <w:szCs w:val="24"/>
        </w:rPr>
      </w:pPr>
      <w:r w:rsidRPr="00FD14B5">
        <w:rPr>
          <w:rFonts w:ascii="Arial" w:hAnsi="Arial" w:cs="Arial"/>
          <w:szCs w:val="24"/>
        </w:rPr>
        <w:t xml:space="preserve">La Subdirección Técnica de Tesorería y Recaudo realiza el recaudo de </w:t>
      </w:r>
      <w:r w:rsidR="00C00F56">
        <w:rPr>
          <w:rFonts w:ascii="Arial" w:hAnsi="Arial" w:cs="Arial"/>
          <w:szCs w:val="24"/>
        </w:rPr>
        <w:t xml:space="preserve">los diferentes acuerdos </w:t>
      </w:r>
      <w:r w:rsidRPr="00FD14B5">
        <w:rPr>
          <w:rFonts w:ascii="Arial" w:hAnsi="Arial" w:cs="Arial"/>
          <w:szCs w:val="24"/>
        </w:rPr>
        <w:t xml:space="preserve">de valorización aprobados por el Concejo de Bogotá, a </w:t>
      </w:r>
      <w:r w:rsidR="00C00F56" w:rsidRPr="00FD14B5">
        <w:rPr>
          <w:rFonts w:ascii="Arial" w:hAnsi="Arial" w:cs="Arial"/>
          <w:szCs w:val="24"/>
        </w:rPr>
        <w:t>continuación,</w:t>
      </w:r>
      <w:r w:rsidRPr="00FD14B5">
        <w:rPr>
          <w:rFonts w:ascii="Arial" w:hAnsi="Arial" w:cs="Arial"/>
          <w:szCs w:val="24"/>
        </w:rPr>
        <w:t xml:space="preserve"> se relaciona el </w:t>
      </w:r>
      <w:r w:rsidR="00C00F56" w:rsidRPr="00FD14B5">
        <w:rPr>
          <w:rFonts w:ascii="Arial" w:hAnsi="Arial" w:cs="Arial"/>
          <w:szCs w:val="24"/>
        </w:rPr>
        <w:t>recaudo por</w:t>
      </w:r>
      <w:r w:rsidRPr="00FD14B5">
        <w:rPr>
          <w:rFonts w:ascii="Arial" w:hAnsi="Arial" w:cs="Arial"/>
          <w:szCs w:val="24"/>
        </w:rPr>
        <w:t xml:space="preserve"> vigencia de cada uno de los acuerdos (todas las cifras se presentan en millones de pesos):</w:t>
      </w:r>
    </w:p>
    <w:p w:rsidR="00FD14B5" w:rsidRPr="00FD14B5" w:rsidRDefault="00FD14B5" w:rsidP="00FD14B5">
      <w:pPr>
        <w:pStyle w:val="Descripcin"/>
        <w:spacing w:after="0" w:line="276" w:lineRule="auto"/>
        <w:rPr>
          <w:rFonts w:ascii="Arial" w:hAnsi="Arial" w:cs="Arial"/>
          <w:color w:val="auto"/>
        </w:rPr>
      </w:pPr>
    </w:p>
    <w:p w:rsidR="00FD14B5" w:rsidRPr="00714162" w:rsidRDefault="00FD14B5" w:rsidP="00FD14B5">
      <w:pPr>
        <w:pStyle w:val="Descripcin"/>
        <w:rPr>
          <w:rFonts w:ascii="Arial" w:hAnsi="Arial" w:cs="Arial"/>
          <w:color w:val="auto"/>
          <w:szCs w:val="24"/>
        </w:rPr>
      </w:pPr>
      <w:bookmarkStart w:id="163" w:name="_Toc27665390"/>
      <w:r w:rsidRPr="00714162">
        <w:rPr>
          <w:rFonts w:ascii="Arial" w:hAnsi="Arial" w:cs="Arial"/>
          <w:color w:val="auto"/>
          <w:szCs w:val="24"/>
        </w:rPr>
        <w:t>Recaudo total por Acuerdos</w:t>
      </w:r>
      <w:bookmarkEnd w:id="163"/>
    </w:p>
    <w:tbl>
      <w:tblPr>
        <w:tblStyle w:val="Tablaconcuadrcula"/>
        <w:tblW w:w="9054" w:type="dxa"/>
        <w:jc w:val="center"/>
        <w:tblLook w:val="04A0" w:firstRow="1" w:lastRow="0" w:firstColumn="1" w:lastColumn="0" w:noHBand="0" w:noVBand="1"/>
      </w:tblPr>
      <w:tblGrid>
        <w:gridCol w:w="2410"/>
        <w:gridCol w:w="2087"/>
        <w:gridCol w:w="1650"/>
        <w:gridCol w:w="1650"/>
        <w:gridCol w:w="1257"/>
      </w:tblGrid>
      <w:tr w:rsidR="00FD14B5" w:rsidRPr="00FD14B5" w:rsidTr="00B85448">
        <w:trPr>
          <w:trHeight w:val="300"/>
          <w:jc w:val="center"/>
        </w:trPr>
        <w:tc>
          <w:tcPr>
            <w:tcW w:w="2410" w:type="dxa"/>
            <w:shd w:val="clear" w:color="auto" w:fill="BDD6EE" w:themeFill="accent1" w:themeFillTint="66"/>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bCs/>
                <w:kern w:val="2"/>
                <w:sz w:val="20"/>
                <w:szCs w:val="24"/>
                <w:lang w:val="es-ES_tradnl" w:eastAsia="es-CO"/>
              </w:rPr>
            </w:pPr>
            <w:r w:rsidRPr="00FD14B5">
              <w:rPr>
                <w:rFonts w:ascii="Arial" w:hAnsi="Arial" w:cs="Arial"/>
                <w:sz w:val="20"/>
                <w:szCs w:val="24"/>
                <w:lang w:eastAsia="es-CO"/>
              </w:rPr>
              <w:t>Acuerdos</w:t>
            </w:r>
          </w:p>
        </w:tc>
        <w:tc>
          <w:tcPr>
            <w:tcW w:w="2087" w:type="dxa"/>
            <w:shd w:val="clear" w:color="auto" w:fill="BDD6EE" w:themeFill="accent1" w:themeFillTint="66"/>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bCs/>
                <w:kern w:val="2"/>
                <w:sz w:val="20"/>
                <w:szCs w:val="24"/>
                <w:lang w:val="es-ES_tradnl" w:eastAsia="es-CO"/>
              </w:rPr>
            </w:pPr>
            <w:r w:rsidRPr="00FD14B5">
              <w:rPr>
                <w:rFonts w:ascii="Arial" w:hAnsi="Arial" w:cs="Arial"/>
                <w:sz w:val="20"/>
                <w:szCs w:val="24"/>
                <w:lang w:eastAsia="es-CO"/>
              </w:rPr>
              <w:t>Total 2016</w:t>
            </w:r>
          </w:p>
        </w:tc>
        <w:tc>
          <w:tcPr>
            <w:tcW w:w="1650" w:type="dxa"/>
            <w:shd w:val="clear" w:color="auto" w:fill="BDD6EE" w:themeFill="accent1" w:themeFillTint="66"/>
            <w:vAlign w:val="center"/>
            <w:hideMark/>
          </w:tcPr>
          <w:p w:rsidR="00FD14B5" w:rsidRPr="00FD14B5" w:rsidRDefault="00FD14B5" w:rsidP="00B85448">
            <w:pPr>
              <w:widowControl w:val="0"/>
              <w:suppressAutoHyphens/>
              <w:spacing w:line="276" w:lineRule="auto"/>
              <w:jc w:val="center"/>
              <w:rPr>
                <w:rFonts w:ascii="Arial" w:eastAsia="Arial Unicode MS" w:hAnsi="Arial" w:cs="Arial"/>
                <w:b/>
                <w:bCs/>
                <w:kern w:val="2"/>
                <w:sz w:val="20"/>
                <w:szCs w:val="24"/>
                <w:lang w:val="es-ES_tradnl" w:eastAsia="es-CO"/>
              </w:rPr>
            </w:pPr>
            <w:r w:rsidRPr="00FD14B5">
              <w:rPr>
                <w:rFonts w:ascii="Arial" w:hAnsi="Arial" w:cs="Arial"/>
                <w:sz w:val="20"/>
                <w:szCs w:val="24"/>
                <w:lang w:eastAsia="es-CO"/>
              </w:rPr>
              <w:t>Total 2017</w:t>
            </w:r>
          </w:p>
        </w:tc>
        <w:tc>
          <w:tcPr>
            <w:tcW w:w="1650" w:type="dxa"/>
            <w:shd w:val="clear" w:color="auto" w:fill="BDD6EE" w:themeFill="accent1" w:themeFillTint="66"/>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es-CO"/>
              </w:rPr>
            </w:pPr>
            <w:r w:rsidRPr="00FD14B5">
              <w:rPr>
                <w:rFonts w:ascii="Arial" w:hAnsi="Arial" w:cs="Arial"/>
                <w:sz w:val="20"/>
                <w:szCs w:val="24"/>
                <w:lang w:eastAsia="es-CO"/>
              </w:rPr>
              <w:t>Total 2018</w:t>
            </w:r>
          </w:p>
        </w:tc>
        <w:tc>
          <w:tcPr>
            <w:tcW w:w="1257" w:type="dxa"/>
            <w:shd w:val="clear" w:color="auto" w:fill="BDD6EE" w:themeFill="accent1" w:themeFillTint="66"/>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es-CO"/>
              </w:rPr>
            </w:pPr>
            <w:r w:rsidRPr="00FD14B5">
              <w:rPr>
                <w:rFonts w:ascii="Arial" w:hAnsi="Arial" w:cs="Arial"/>
                <w:sz w:val="20"/>
                <w:szCs w:val="24"/>
                <w:lang w:eastAsia="es-CO"/>
              </w:rPr>
              <w:t>Ene-Nov 2019</w:t>
            </w:r>
          </w:p>
        </w:tc>
      </w:tr>
      <w:tr w:rsidR="00FD14B5" w:rsidRPr="00FD14B5" w:rsidTr="00B85448">
        <w:trPr>
          <w:trHeight w:val="212"/>
          <w:jc w:val="center"/>
        </w:trPr>
        <w:tc>
          <w:tcPr>
            <w:tcW w:w="2410" w:type="dxa"/>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es-CO"/>
              </w:rPr>
            </w:pPr>
            <w:r w:rsidRPr="00FD14B5">
              <w:rPr>
                <w:rFonts w:ascii="Arial" w:hAnsi="Arial" w:cs="Arial"/>
                <w:sz w:val="20"/>
                <w:szCs w:val="24"/>
                <w:lang w:eastAsia="es-CO"/>
              </w:rPr>
              <w:t>Acuerdo 180</w:t>
            </w:r>
          </w:p>
        </w:tc>
        <w:tc>
          <w:tcPr>
            <w:tcW w:w="2087" w:type="dxa"/>
            <w:noWrap/>
            <w:vAlign w:val="bottom"/>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es-CO"/>
              </w:rPr>
            </w:pPr>
            <w:r w:rsidRPr="00FD14B5">
              <w:rPr>
                <w:rFonts w:ascii="Arial" w:hAnsi="Arial" w:cs="Arial"/>
                <w:sz w:val="20"/>
                <w:szCs w:val="24"/>
                <w:lang w:eastAsia="es-CO"/>
              </w:rPr>
              <w:t>$3.463</w:t>
            </w:r>
          </w:p>
        </w:tc>
        <w:tc>
          <w:tcPr>
            <w:tcW w:w="1650" w:type="dxa"/>
            <w:vAlign w:val="bottom"/>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es-CO"/>
              </w:rPr>
            </w:pPr>
            <w:r w:rsidRPr="00FD14B5">
              <w:rPr>
                <w:rFonts w:ascii="Arial" w:hAnsi="Arial" w:cs="Arial"/>
                <w:sz w:val="20"/>
                <w:szCs w:val="24"/>
                <w:lang w:eastAsia="es-CO"/>
              </w:rPr>
              <w:t>$4.741</w:t>
            </w:r>
          </w:p>
        </w:tc>
        <w:tc>
          <w:tcPr>
            <w:tcW w:w="1650" w:type="dxa"/>
            <w:vAlign w:val="bottom"/>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es-CO"/>
              </w:rPr>
            </w:pPr>
            <w:r w:rsidRPr="00FD14B5">
              <w:rPr>
                <w:rFonts w:ascii="Arial" w:hAnsi="Arial" w:cs="Arial"/>
                <w:sz w:val="20"/>
                <w:szCs w:val="24"/>
                <w:lang w:eastAsia="es-CO"/>
              </w:rPr>
              <w:t>$2.233</w:t>
            </w:r>
          </w:p>
        </w:tc>
        <w:tc>
          <w:tcPr>
            <w:tcW w:w="1257" w:type="dxa"/>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es-CO"/>
              </w:rPr>
            </w:pPr>
            <w:r w:rsidRPr="00FD14B5">
              <w:rPr>
                <w:rFonts w:ascii="Arial" w:hAnsi="Arial" w:cs="Arial"/>
                <w:sz w:val="20"/>
                <w:szCs w:val="24"/>
                <w:lang w:eastAsia="es-CO"/>
              </w:rPr>
              <w:t>$1.229</w:t>
            </w:r>
          </w:p>
        </w:tc>
      </w:tr>
      <w:tr w:rsidR="00FD14B5" w:rsidRPr="00FD14B5" w:rsidTr="00B85448">
        <w:trPr>
          <w:trHeight w:val="193"/>
          <w:jc w:val="center"/>
        </w:trPr>
        <w:tc>
          <w:tcPr>
            <w:tcW w:w="2410" w:type="dxa"/>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es-CO"/>
              </w:rPr>
            </w:pPr>
            <w:r w:rsidRPr="00FD14B5">
              <w:rPr>
                <w:rFonts w:ascii="Arial" w:hAnsi="Arial" w:cs="Arial"/>
                <w:sz w:val="20"/>
                <w:szCs w:val="24"/>
                <w:lang w:eastAsia="es-CO"/>
              </w:rPr>
              <w:t>Acuerdos anteriores</w:t>
            </w:r>
          </w:p>
        </w:tc>
        <w:tc>
          <w:tcPr>
            <w:tcW w:w="2087" w:type="dxa"/>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es-CO"/>
              </w:rPr>
            </w:pPr>
            <w:r w:rsidRPr="00FD14B5">
              <w:rPr>
                <w:rFonts w:ascii="Arial" w:hAnsi="Arial" w:cs="Arial"/>
                <w:sz w:val="20"/>
                <w:szCs w:val="24"/>
                <w:lang w:eastAsia="es-CO"/>
              </w:rPr>
              <w:t>$923</w:t>
            </w:r>
          </w:p>
        </w:tc>
        <w:tc>
          <w:tcPr>
            <w:tcW w:w="1650" w:type="dxa"/>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es-CO"/>
              </w:rPr>
            </w:pPr>
            <w:r w:rsidRPr="00FD14B5">
              <w:rPr>
                <w:rFonts w:ascii="Arial" w:hAnsi="Arial" w:cs="Arial"/>
                <w:sz w:val="20"/>
                <w:szCs w:val="24"/>
                <w:lang w:eastAsia="es-CO"/>
              </w:rPr>
              <w:t>$1.038</w:t>
            </w:r>
          </w:p>
        </w:tc>
        <w:tc>
          <w:tcPr>
            <w:tcW w:w="1650" w:type="dxa"/>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es-CO"/>
              </w:rPr>
            </w:pPr>
            <w:r w:rsidRPr="00FD14B5">
              <w:rPr>
                <w:rFonts w:ascii="Arial" w:hAnsi="Arial" w:cs="Arial"/>
                <w:sz w:val="20"/>
                <w:szCs w:val="24"/>
                <w:lang w:eastAsia="es-CO"/>
              </w:rPr>
              <w:t>$543</w:t>
            </w:r>
          </w:p>
        </w:tc>
        <w:tc>
          <w:tcPr>
            <w:tcW w:w="1257" w:type="dxa"/>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es-CO"/>
              </w:rPr>
            </w:pPr>
            <w:r w:rsidRPr="00FD14B5">
              <w:rPr>
                <w:rFonts w:ascii="Arial" w:hAnsi="Arial" w:cs="Arial"/>
                <w:sz w:val="20"/>
                <w:szCs w:val="24"/>
                <w:lang w:eastAsia="es-CO"/>
              </w:rPr>
              <w:t>$652</w:t>
            </w:r>
          </w:p>
        </w:tc>
      </w:tr>
      <w:tr w:rsidR="00FD14B5" w:rsidRPr="00FD14B5" w:rsidTr="00B85448">
        <w:trPr>
          <w:trHeight w:val="300"/>
          <w:jc w:val="center"/>
        </w:trPr>
        <w:tc>
          <w:tcPr>
            <w:tcW w:w="2410" w:type="dxa"/>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es-CO"/>
              </w:rPr>
            </w:pPr>
            <w:r w:rsidRPr="00FD14B5">
              <w:rPr>
                <w:rFonts w:ascii="Arial" w:hAnsi="Arial" w:cs="Arial"/>
                <w:sz w:val="20"/>
                <w:szCs w:val="24"/>
                <w:lang w:eastAsia="es-CO"/>
              </w:rPr>
              <w:t>Acuerdo 523</w:t>
            </w:r>
          </w:p>
        </w:tc>
        <w:tc>
          <w:tcPr>
            <w:tcW w:w="2087" w:type="dxa"/>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es-CO"/>
              </w:rPr>
            </w:pPr>
            <w:r w:rsidRPr="00FD14B5">
              <w:rPr>
                <w:rFonts w:ascii="Arial" w:hAnsi="Arial" w:cs="Arial"/>
                <w:sz w:val="20"/>
                <w:szCs w:val="24"/>
                <w:lang w:eastAsia="es-CO"/>
              </w:rPr>
              <w:t>$22.237</w:t>
            </w:r>
          </w:p>
        </w:tc>
        <w:tc>
          <w:tcPr>
            <w:tcW w:w="1650" w:type="dxa"/>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es-CO"/>
              </w:rPr>
            </w:pPr>
            <w:r w:rsidRPr="00FD14B5">
              <w:rPr>
                <w:rFonts w:ascii="Arial" w:hAnsi="Arial" w:cs="Arial"/>
                <w:sz w:val="20"/>
                <w:szCs w:val="24"/>
                <w:lang w:eastAsia="es-CO"/>
              </w:rPr>
              <w:t>$18.720</w:t>
            </w:r>
          </w:p>
        </w:tc>
        <w:tc>
          <w:tcPr>
            <w:tcW w:w="1650" w:type="dxa"/>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es-CO"/>
              </w:rPr>
            </w:pPr>
            <w:r w:rsidRPr="00FD14B5">
              <w:rPr>
                <w:rFonts w:ascii="Arial" w:hAnsi="Arial" w:cs="Arial"/>
                <w:sz w:val="20"/>
                <w:szCs w:val="24"/>
                <w:lang w:eastAsia="es-CO"/>
              </w:rPr>
              <w:t>$8.300</w:t>
            </w:r>
          </w:p>
        </w:tc>
        <w:tc>
          <w:tcPr>
            <w:tcW w:w="1257" w:type="dxa"/>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es-CO"/>
              </w:rPr>
            </w:pPr>
            <w:r w:rsidRPr="00FD14B5">
              <w:rPr>
                <w:rFonts w:ascii="Arial" w:hAnsi="Arial" w:cs="Arial"/>
                <w:sz w:val="20"/>
                <w:szCs w:val="24"/>
                <w:lang w:eastAsia="es-CO"/>
              </w:rPr>
              <w:t>$4.523</w:t>
            </w:r>
          </w:p>
        </w:tc>
      </w:tr>
      <w:tr w:rsidR="00FD14B5" w:rsidRPr="00FD14B5" w:rsidTr="00B85448">
        <w:trPr>
          <w:trHeight w:val="131"/>
          <w:jc w:val="center"/>
        </w:trPr>
        <w:tc>
          <w:tcPr>
            <w:tcW w:w="2410" w:type="dxa"/>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es-CO"/>
              </w:rPr>
            </w:pPr>
            <w:r w:rsidRPr="00FD14B5">
              <w:rPr>
                <w:rFonts w:ascii="Arial" w:hAnsi="Arial" w:cs="Arial"/>
                <w:sz w:val="20"/>
                <w:szCs w:val="24"/>
                <w:lang w:eastAsia="es-CO"/>
              </w:rPr>
              <w:t>Acuerdo 724</w:t>
            </w:r>
          </w:p>
        </w:tc>
        <w:tc>
          <w:tcPr>
            <w:tcW w:w="2087" w:type="dxa"/>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es-CO"/>
              </w:rPr>
            </w:pPr>
            <w:r w:rsidRPr="00FD14B5">
              <w:rPr>
                <w:rFonts w:ascii="Arial" w:hAnsi="Arial" w:cs="Arial"/>
                <w:sz w:val="20"/>
                <w:szCs w:val="24"/>
                <w:lang w:eastAsia="es-CO"/>
              </w:rPr>
              <w:t>$0</w:t>
            </w:r>
          </w:p>
        </w:tc>
        <w:tc>
          <w:tcPr>
            <w:tcW w:w="1650" w:type="dxa"/>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es-CO"/>
              </w:rPr>
            </w:pPr>
            <w:r w:rsidRPr="00FD14B5">
              <w:rPr>
                <w:rFonts w:ascii="Arial" w:hAnsi="Arial" w:cs="Arial"/>
                <w:sz w:val="20"/>
                <w:szCs w:val="24"/>
                <w:lang w:eastAsia="es-CO"/>
              </w:rPr>
              <w:t>$0</w:t>
            </w:r>
          </w:p>
        </w:tc>
        <w:tc>
          <w:tcPr>
            <w:tcW w:w="1650" w:type="dxa"/>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es-CO"/>
              </w:rPr>
            </w:pPr>
            <w:r w:rsidRPr="00FD14B5">
              <w:rPr>
                <w:rFonts w:ascii="Arial" w:hAnsi="Arial" w:cs="Arial"/>
                <w:sz w:val="20"/>
                <w:szCs w:val="24"/>
                <w:lang w:eastAsia="es-CO"/>
              </w:rPr>
              <w:t>$61</w:t>
            </w:r>
          </w:p>
        </w:tc>
        <w:tc>
          <w:tcPr>
            <w:tcW w:w="1257" w:type="dxa"/>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es-CO"/>
              </w:rPr>
            </w:pPr>
            <w:r w:rsidRPr="00FD14B5">
              <w:rPr>
                <w:rFonts w:ascii="Arial" w:hAnsi="Arial" w:cs="Arial"/>
                <w:sz w:val="20"/>
                <w:szCs w:val="24"/>
                <w:lang w:eastAsia="es-CO"/>
              </w:rPr>
              <w:t>$125.788</w:t>
            </w:r>
          </w:p>
        </w:tc>
      </w:tr>
      <w:tr w:rsidR="00FD14B5" w:rsidRPr="00FD14B5" w:rsidTr="00B85448">
        <w:trPr>
          <w:trHeight w:val="300"/>
          <w:jc w:val="center"/>
        </w:trPr>
        <w:tc>
          <w:tcPr>
            <w:tcW w:w="2410" w:type="dxa"/>
            <w:shd w:val="clear" w:color="auto" w:fill="9CC2E5" w:themeFill="accent1" w:themeFillTint="99"/>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bCs/>
                <w:kern w:val="2"/>
                <w:sz w:val="20"/>
                <w:szCs w:val="24"/>
                <w:lang w:val="es-ES_tradnl" w:eastAsia="es-CO"/>
              </w:rPr>
            </w:pPr>
            <w:r w:rsidRPr="00FD14B5">
              <w:rPr>
                <w:rFonts w:ascii="Arial" w:hAnsi="Arial" w:cs="Arial"/>
                <w:sz w:val="20"/>
                <w:szCs w:val="24"/>
                <w:lang w:eastAsia="es-CO"/>
              </w:rPr>
              <w:t>Total</w:t>
            </w:r>
          </w:p>
        </w:tc>
        <w:tc>
          <w:tcPr>
            <w:tcW w:w="2087" w:type="dxa"/>
            <w:shd w:val="clear" w:color="auto" w:fill="9CC2E5" w:themeFill="accent1" w:themeFillTint="99"/>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bCs/>
                <w:kern w:val="2"/>
                <w:sz w:val="20"/>
                <w:szCs w:val="24"/>
                <w:lang w:val="es-ES_tradnl" w:eastAsia="es-CO"/>
              </w:rPr>
            </w:pPr>
            <w:r w:rsidRPr="00FD14B5">
              <w:rPr>
                <w:rFonts w:ascii="Arial" w:hAnsi="Arial" w:cs="Arial"/>
                <w:b/>
                <w:bCs/>
                <w:sz w:val="20"/>
                <w:szCs w:val="24"/>
                <w:lang w:eastAsia="es-CO"/>
              </w:rPr>
              <w:t>$26.623</w:t>
            </w:r>
          </w:p>
        </w:tc>
        <w:tc>
          <w:tcPr>
            <w:tcW w:w="1650" w:type="dxa"/>
            <w:shd w:val="clear" w:color="auto" w:fill="9CC2E5" w:themeFill="accent1" w:themeFillTint="99"/>
            <w:vAlign w:val="center"/>
            <w:hideMark/>
          </w:tcPr>
          <w:p w:rsidR="00FD14B5" w:rsidRPr="00FD14B5" w:rsidRDefault="00FD14B5" w:rsidP="00B85448">
            <w:pPr>
              <w:widowControl w:val="0"/>
              <w:suppressAutoHyphens/>
              <w:spacing w:line="276" w:lineRule="auto"/>
              <w:jc w:val="center"/>
              <w:rPr>
                <w:rFonts w:ascii="Arial" w:eastAsia="Arial Unicode MS" w:hAnsi="Arial" w:cs="Arial"/>
                <w:b/>
                <w:bCs/>
                <w:kern w:val="2"/>
                <w:sz w:val="20"/>
                <w:szCs w:val="24"/>
                <w:lang w:val="es-ES_tradnl" w:eastAsia="es-CO"/>
              </w:rPr>
            </w:pPr>
            <w:r w:rsidRPr="00FD14B5">
              <w:rPr>
                <w:rFonts w:ascii="Arial" w:hAnsi="Arial" w:cs="Arial"/>
                <w:b/>
                <w:bCs/>
                <w:sz w:val="20"/>
                <w:szCs w:val="24"/>
                <w:lang w:eastAsia="es-CO"/>
              </w:rPr>
              <w:t>$24.499</w:t>
            </w:r>
          </w:p>
        </w:tc>
        <w:tc>
          <w:tcPr>
            <w:tcW w:w="1650" w:type="dxa"/>
            <w:shd w:val="clear" w:color="auto" w:fill="9CC2E5" w:themeFill="accent1" w:themeFillTint="99"/>
            <w:vAlign w:val="center"/>
            <w:hideMark/>
          </w:tcPr>
          <w:p w:rsidR="00FD14B5" w:rsidRPr="00FD14B5" w:rsidRDefault="00FD14B5" w:rsidP="00B85448">
            <w:pPr>
              <w:widowControl w:val="0"/>
              <w:suppressAutoHyphens/>
              <w:spacing w:line="276" w:lineRule="auto"/>
              <w:jc w:val="center"/>
              <w:rPr>
                <w:rFonts w:ascii="Arial" w:eastAsia="Arial Unicode MS" w:hAnsi="Arial" w:cs="Arial"/>
                <w:b/>
                <w:bCs/>
                <w:kern w:val="2"/>
                <w:sz w:val="20"/>
                <w:szCs w:val="24"/>
                <w:lang w:val="es-ES_tradnl" w:eastAsia="es-CO"/>
              </w:rPr>
            </w:pPr>
            <w:r w:rsidRPr="00FD14B5">
              <w:rPr>
                <w:rFonts w:ascii="Arial" w:hAnsi="Arial" w:cs="Arial"/>
                <w:b/>
                <w:bCs/>
                <w:sz w:val="20"/>
                <w:szCs w:val="24"/>
                <w:lang w:eastAsia="es-CO"/>
              </w:rPr>
              <w:t>$11.137</w:t>
            </w:r>
          </w:p>
        </w:tc>
        <w:tc>
          <w:tcPr>
            <w:tcW w:w="1257" w:type="dxa"/>
            <w:shd w:val="clear" w:color="auto" w:fill="BDD6EE" w:themeFill="accent1" w:themeFillTint="66"/>
            <w:hideMark/>
          </w:tcPr>
          <w:p w:rsidR="00FD14B5" w:rsidRPr="00FD14B5" w:rsidRDefault="00FD14B5" w:rsidP="00B85448">
            <w:pPr>
              <w:widowControl w:val="0"/>
              <w:suppressAutoHyphens/>
              <w:spacing w:line="276" w:lineRule="auto"/>
              <w:jc w:val="center"/>
              <w:rPr>
                <w:rFonts w:ascii="Arial" w:eastAsia="Arial Unicode MS" w:hAnsi="Arial" w:cs="Arial"/>
                <w:b/>
                <w:bCs/>
                <w:kern w:val="2"/>
                <w:sz w:val="20"/>
                <w:szCs w:val="24"/>
                <w:lang w:val="es-ES_tradnl" w:eastAsia="es-CO"/>
              </w:rPr>
            </w:pPr>
            <w:r w:rsidRPr="00FD14B5">
              <w:rPr>
                <w:rFonts w:ascii="Arial" w:hAnsi="Arial" w:cs="Arial"/>
                <w:b/>
                <w:bCs/>
                <w:sz w:val="20"/>
                <w:szCs w:val="24"/>
                <w:lang w:eastAsia="es-CO"/>
              </w:rPr>
              <w:t>$132.192</w:t>
            </w:r>
          </w:p>
        </w:tc>
      </w:tr>
    </w:tbl>
    <w:p w:rsidR="00FD14B5" w:rsidRPr="00FD14B5" w:rsidRDefault="00FD14B5" w:rsidP="00FD14B5">
      <w:pPr>
        <w:spacing w:line="276" w:lineRule="auto"/>
        <w:jc w:val="center"/>
        <w:rPr>
          <w:rFonts w:ascii="Arial" w:hAnsi="Arial" w:cs="Arial"/>
          <w:szCs w:val="24"/>
        </w:rPr>
      </w:pPr>
      <w:r w:rsidRPr="00FD14B5">
        <w:rPr>
          <w:rFonts w:ascii="Arial" w:hAnsi="Arial" w:cs="Arial"/>
          <w:sz w:val="20"/>
          <w:szCs w:val="24"/>
        </w:rPr>
        <w:t>Fuente: Sistema financiero STONE</w:t>
      </w:r>
    </w:p>
    <w:p w:rsidR="00FD14B5" w:rsidRPr="00FD14B5" w:rsidRDefault="00FD14B5" w:rsidP="00FD14B5">
      <w:pPr>
        <w:spacing w:line="276" w:lineRule="auto"/>
        <w:jc w:val="center"/>
        <w:rPr>
          <w:rFonts w:ascii="Arial" w:hAnsi="Arial" w:cs="Arial"/>
          <w:sz w:val="20"/>
          <w:szCs w:val="24"/>
        </w:rPr>
      </w:pPr>
      <w:r w:rsidRPr="00FD14B5">
        <w:rPr>
          <w:rFonts w:ascii="Arial" w:hAnsi="Arial" w:cs="Arial"/>
          <w:sz w:val="20"/>
          <w:szCs w:val="24"/>
        </w:rPr>
        <w:t>Nota: No se incluyen los recursos de los Acuerdos 180 Fase II y AC 451.</w:t>
      </w:r>
    </w:p>
    <w:p w:rsidR="00FD14B5" w:rsidRPr="00FD14B5" w:rsidRDefault="00FD14B5" w:rsidP="00FD14B5">
      <w:pPr>
        <w:spacing w:line="276" w:lineRule="auto"/>
        <w:rPr>
          <w:rFonts w:ascii="Arial" w:hAnsi="Arial" w:cs="Arial"/>
          <w:b/>
          <w:bCs/>
          <w:szCs w:val="24"/>
          <w:lang w:eastAsia="es-CO"/>
        </w:rPr>
      </w:pPr>
    </w:p>
    <w:p w:rsidR="00FD14B5" w:rsidRPr="00FD14B5" w:rsidRDefault="00FD14B5" w:rsidP="00714162">
      <w:pPr>
        <w:pStyle w:val="Descripcin"/>
        <w:spacing w:after="0"/>
        <w:ind w:left="1416" w:firstLine="708"/>
        <w:rPr>
          <w:rFonts w:ascii="Arial" w:hAnsi="Arial" w:cs="Arial"/>
          <w:bCs/>
          <w:color w:val="auto"/>
          <w:szCs w:val="24"/>
        </w:rPr>
      </w:pPr>
      <w:bookmarkStart w:id="164" w:name="_Toc27665391"/>
      <w:r w:rsidRPr="00FD14B5">
        <w:rPr>
          <w:rFonts w:ascii="Arial" w:hAnsi="Arial" w:cs="Arial"/>
          <w:bCs/>
          <w:color w:val="auto"/>
          <w:szCs w:val="24"/>
        </w:rPr>
        <w:t>Recaudo Acuerdo 180-I y Acuerdo 398 por vigencias</w:t>
      </w:r>
      <w:bookmarkEnd w:id="164"/>
    </w:p>
    <w:tbl>
      <w:tblPr>
        <w:tblStyle w:val="Tablaconcuadrcula"/>
        <w:tblW w:w="5543" w:type="dxa"/>
        <w:jc w:val="center"/>
        <w:tblLook w:val="04A0" w:firstRow="1" w:lastRow="0" w:firstColumn="1" w:lastColumn="0" w:noHBand="0" w:noVBand="1"/>
      </w:tblPr>
      <w:tblGrid>
        <w:gridCol w:w="2791"/>
        <w:gridCol w:w="2752"/>
      </w:tblGrid>
      <w:tr w:rsidR="00FD14B5" w:rsidRPr="00FD14B5" w:rsidTr="00B85448">
        <w:trPr>
          <w:trHeight w:val="292"/>
          <w:jc w:val="center"/>
        </w:trPr>
        <w:tc>
          <w:tcPr>
            <w:tcW w:w="2791"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rsidR="00FD14B5" w:rsidRPr="00FD14B5" w:rsidRDefault="00FD14B5" w:rsidP="00B85448">
            <w:pPr>
              <w:widowControl w:val="0"/>
              <w:tabs>
                <w:tab w:val="center" w:pos="1287"/>
                <w:tab w:val="right" w:pos="2575"/>
              </w:tabs>
              <w:suppressAutoHyphens/>
              <w:spacing w:line="276" w:lineRule="auto"/>
              <w:rPr>
                <w:rFonts w:ascii="Arial" w:eastAsia="Arial Unicode MS" w:hAnsi="Arial" w:cs="Arial"/>
                <w:b/>
                <w:bCs/>
                <w:kern w:val="2"/>
                <w:sz w:val="20"/>
                <w:szCs w:val="24"/>
                <w:lang w:val="es-ES_tradnl" w:eastAsia="es-CO"/>
              </w:rPr>
            </w:pPr>
            <w:r w:rsidRPr="00FD14B5">
              <w:rPr>
                <w:rFonts w:ascii="Arial" w:hAnsi="Arial" w:cs="Arial"/>
                <w:sz w:val="20"/>
                <w:szCs w:val="24"/>
                <w:lang w:eastAsia="es-CO"/>
              </w:rPr>
              <w:tab/>
              <w:t xml:space="preserve"> Vigencia </w:t>
            </w:r>
            <w:r w:rsidRPr="00FD14B5">
              <w:rPr>
                <w:rFonts w:ascii="Arial" w:hAnsi="Arial" w:cs="Arial"/>
                <w:sz w:val="20"/>
                <w:szCs w:val="24"/>
                <w:lang w:eastAsia="es-CO"/>
              </w:rPr>
              <w:tab/>
            </w:r>
          </w:p>
        </w:tc>
        <w:tc>
          <w:tcPr>
            <w:tcW w:w="2752"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hideMark/>
          </w:tcPr>
          <w:p w:rsidR="00FD14B5" w:rsidRPr="00FD14B5" w:rsidRDefault="00FD14B5" w:rsidP="00B85448">
            <w:pPr>
              <w:widowControl w:val="0"/>
              <w:suppressAutoHyphens/>
              <w:spacing w:line="276" w:lineRule="auto"/>
              <w:jc w:val="center"/>
              <w:rPr>
                <w:rFonts w:ascii="Arial" w:eastAsia="Arial Unicode MS" w:hAnsi="Arial" w:cs="Arial"/>
                <w:b/>
                <w:bCs/>
                <w:kern w:val="2"/>
                <w:sz w:val="20"/>
                <w:szCs w:val="24"/>
                <w:lang w:val="es-ES_tradnl" w:eastAsia="es-CO"/>
              </w:rPr>
            </w:pPr>
            <w:r w:rsidRPr="00FD14B5">
              <w:rPr>
                <w:rFonts w:ascii="Arial" w:hAnsi="Arial" w:cs="Arial"/>
                <w:sz w:val="20"/>
                <w:szCs w:val="24"/>
                <w:lang w:eastAsia="es-CO"/>
              </w:rPr>
              <w:t xml:space="preserve"> Recaudo </w:t>
            </w:r>
          </w:p>
        </w:tc>
      </w:tr>
      <w:tr w:rsidR="00FD14B5" w:rsidRPr="00FD14B5" w:rsidTr="00B85448">
        <w:trPr>
          <w:trHeight w:val="196"/>
          <w:jc w:val="center"/>
        </w:trPr>
        <w:tc>
          <w:tcPr>
            <w:tcW w:w="2791" w:type="dxa"/>
            <w:tcBorders>
              <w:top w:val="single" w:sz="4" w:space="0" w:color="auto"/>
              <w:left w:val="single" w:sz="4" w:space="0" w:color="auto"/>
              <w:bottom w:val="single" w:sz="4" w:space="0" w:color="auto"/>
              <w:right w:val="single" w:sz="4" w:space="0" w:color="auto"/>
            </w:tcBorders>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kern w:val="2"/>
                <w:sz w:val="20"/>
                <w:szCs w:val="24"/>
                <w:lang w:val="es-ES_tradnl" w:eastAsia="es-CO"/>
              </w:rPr>
            </w:pPr>
            <w:r w:rsidRPr="00FD14B5">
              <w:rPr>
                <w:rFonts w:ascii="Arial" w:hAnsi="Arial" w:cs="Arial"/>
                <w:b/>
                <w:sz w:val="20"/>
                <w:szCs w:val="24"/>
                <w:lang w:eastAsia="es-CO"/>
              </w:rPr>
              <w:t>2016</w:t>
            </w:r>
          </w:p>
        </w:tc>
        <w:tc>
          <w:tcPr>
            <w:tcW w:w="2752" w:type="dxa"/>
            <w:tcBorders>
              <w:top w:val="single" w:sz="4" w:space="0" w:color="auto"/>
              <w:left w:val="single" w:sz="4" w:space="0" w:color="auto"/>
              <w:bottom w:val="single" w:sz="4" w:space="0" w:color="auto"/>
              <w:right w:val="single" w:sz="4" w:space="0" w:color="auto"/>
            </w:tcBorders>
            <w:noWrap/>
            <w:vAlign w:val="bottom"/>
            <w:hideMark/>
          </w:tcPr>
          <w:p w:rsidR="00FD14B5" w:rsidRPr="00FD14B5" w:rsidRDefault="00FD14B5" w:rsidP="00B85448">
            <w:pPr>
              <w:spacing w:line="276" w:lineRule="auto"/>
              <w:jc w:val="center"/>
              <w:rPr>
                <w:rFonts w:ascii="Arial" w:eastAsia="Times New Roman" w:hAnsi="Arial" w:cs="Arial"/>
                <w:sz w:val="20"/>
                <w:szCs w:val="24"/>
                <w:lang w:eastAsia="es-CO"/>
              </w:rPr>
            </w:pPr>
            <w:r w:rsidRPr="00FD14B5">
              <w:rPr>
                <w:rFonts w:ascii="Arial" w:hAnsi="Arial" w:cs="Arial"/>
                <w:sz w:val="20"/>
                <w:szCs w:val="24"/>
              </w:rPr>
              <w:t>$ 3.463</w:t>
            </w:r>
          </w:p>
        </w:tc>
      </w:tr>
      <w:tr w:rsidR="00FD14B5" w:rsidRPr="00FD14B5" w:rsidTr="00B85448">
        <w:trPr>
          <w:trHeight w:val="58"/>
          <w:jc w:val="center"/>
        </w:trPr>
        <w:tc>
          <w:tcPr>
            <w:tcW w:w="2791" w:type="dxa"/>
            <w:tcBorders>
              <w:top w:val="single" w:sz="4" w:space="0" w:color="auto"/>
              <w:left w:val="single" w:sz="4" w:space="0" w:color="auto"/>
              <w:bottom w:val="single" w:sz="4" w:space="0" w:color="auto"/>
              <w:right w:val="single" w:sz="4" w:space="0" w:color="auto"/>
            </w:tcBorders>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kern w:val="2"/>
                <w:sz w:val="20"/>
                <w:szCs w:val="24"/>
                <w:lang w:val="es-ES_tradnl" w:eastAsia="es-CO"/>
              </w:rPr>
            </w:pPr>
            <w:r w:rsidRPr="00FD14B5">
              <w:rPr>
                <w:rFonts w:ascii="Arial" w:hAnsi="Arial" w:cs="Arial"/>
                <w:b/>
                <w:sz w:val="20"/>
                <w:szCs w:val="24"/>
                <w:lang w:eastAsia="es-CO"/>
              </w:rPr>
              <w:t>2017</w:t>
            </w:r>
          </w:p>
        </w:tc>
        <w:tc>
          <w:tcPr>
            <w:tcW w:w="2752" w:type="dxa"/>
            <w:tcBorders>
              <w:top w:val="single" w:sz="4" w:space="0" w:color="auto"/>
              <w:left w:val="single" w:sz="4" w:space="0" w:color="auto"/>
              <w:bottom w:val="single" w:sz="4" w:space="0" w:color="auto"/>
              <w:right w:val="single" w:sz="4" w:space="0" w:color="auto"/>
            </w:tcBorders>
            <w:noWrap/>
            <w:vAlign w:val="bottom"/>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ar-SA"/>
              </w:rPr>
            </w:pPr>
            <w:r w:rsidRPr="00FD14B5">
              <w:rPr>
                <w:rFonts w:ascii="Arial" w:hAnsi="Arial" w:cs="Arial"/>
                <w:sz w:val="20"/>
                <w:szCs w:val="24"/>
              </w:rPr>
              <w:t>$ 4.741</w:t>
            </w:r>
          </w:p>
        </w:tc>
      </w:tr>
      <w:tr w:rsidR="00FD14B5" w:rsidRPr="00FD14B5" w:rsidTr="00B85448">
        <w:trPr>
          <w:trHeight w:val="292"/>
          <w:jc w:val="center"/>
        </w:trPr>
        <w:tc>
          <w:tcPr>
            <w:tcW w:w="2791" w:type="dxa"/>
            <w:tcBorders>
              <w:top w:val="single" w:sz="4" w:space="0" w:color="auto"/>
              <w:left w:val="single" w:sz="4" w:space="0" w:color="auto"/>
              <w:bottom w:val="single" w:sz="4" w:space="0" w:color="auto"/>
              <w:right w:val="single" w:sz="4" w:space="0" w:color="auto"/>
            </w:tcBorders>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kern w:val="2"/>
                <w:sz w:val="20"/>
                <w:szCs w:val="24"/>
                <w:lang w:val="es-ES_tradnl" w:eastAsia="es-CO"/>
              </w:rPr>
            </w:pPr>
            <w:r w:rsidRPr="00FD14B5">
              <w:rPr>
                <w:rFonts w:ascii="Arial" w:hAnsi="Arial" w:cs="Arial"/>
                <w:b/>
                <w:sz w:val="20"/>
                <w:szCs w:val="24"/>
                <w:lang w:eastAsia="es-CO"/>
              </w:rPr>
              <w:t>2018</w:t>
            </w:r>
          </w:p>
        </w:tc>
        <w:tc>
          <w:tcPr>
            <w:tcW w:w="2752" w:type="dxa"/>
            <w:tcBorders>
              <w:top w:val="single" w:sz="4" w:space="0" w:color="auto"/>
              <w:left w:val="single" w:sz="4" w:space="0" w:color="auto"/>
              <w:bottom w:val="single" w:sz="4" w:space="0" w:color="auto"/>
              <w:right w:val="single" w:sz="4" w:space="0" w:color="auto"/>
            </w:tcBorders>
            <w:noWrap/>
            <w:vAlign w:val="bottom"/>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ar-SA"/>
              </w:rPr>
            </w:pPr>
            <w:r w:rsidRPr="00FD14B5">
              <w:rPr>
                <w:rFonts w:ascii="Arial" w:hAnsi="Arial" w:cs="Arial"/>
                <w:sz w:val="20"/>
                <w:szCs w:val="24"/>
              </w:rPr>
              <w:t>$ 2.233</w:t>
            </w:r>
          </w:p>
        </w:tc>
      </w:tr>
      <w:tr w:rsidR="00FD14B5" w:rsidRPr="00FD14B5" w:rsidTr="00B85448">
        <w:trPr>
          <w:trHeight w:val="292"/>
          <w:jc w:val="center"/>
        </w:trPr>
        <w:tc>
          <w:tcPr>
            <w:tcW w:w="2791" w:type="dxa"/>
            <w:tcBorders>
              <w:top w:val="single" w:sz="4" w:space="0" w:color="auto"/>
              <w:left w:val="single" w:sz="4" w:space="0" w:color="auto"/>
              <w:bottom w:val="single" w:sz="4" w:space="0" w:color="auto"/>
              <w:right w:val="single" w:sz="4" w:space="0" w:color="auto"/>
            </w:tcBorders>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kern w:val="2"/>
                <w:sz w:val="20"/>
                <w:szCs w:val="24"/>
                <w:lang w:val="es-ES_tradnl" w:eastAsia="es-CO"/>
              </w:rPr>
            </w:pPr>
            <w:r w:rsidRPr="00FD14B5">
              <w:rPr>
                <w:rFonts w:ascii="Arial" w:hAnsi="Arial" w:cs="Arial"/>
                <w:b/>
                <w:sz w:val="20"/>
                <w:szCs w:val="24"/>
                <w:lang w:eastAsia="es-CO"/>
              </w:rPr>
              <w:t>2019 Nov</w:t>
            </w:r>
          </w:p>
        </w:tc>
        <w:tc>
          <w:tcPr>
            <w:tcW w:w="2752" w:type="dxa"/>
            <w:tcBorders>
              <w:top w:val="single" w:sz="4" w:space="0" w:color="auto"/>
              <w:left w:val="single" w:sz="4" w:space="0" w:color="auto"/>
              <w:bottom w:val="single" w:sz="4" w:space="0" w:color="auto"/>
              <w:right w:val="single" w:sz="4" w:space="0" w:color="auto"/>
            </w:tcBorders>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 w:val="20"/>
                <w:szCs w:val="24"/>
                <w:lang w:val="es-ES_tradnl" w:eastAsia="es-CO"/>
              </w:rPr>
            </w:pPr>
            <w:r w:rsidRPr="00FD14B5">
              <w:rPr>
                <w:rFonts w:ascii="Arial" w:hAnsi="Arial" w:cs="Arial"/>
                <w:sz w:val="20"/>
                <w:szCs w:val="24"/>
                <w:lang w:eastAsia="es-CO"/>
              </w:rPr>
              <w:t>$1.229</w:t>
            </w:r>
          </w:p>
        </w:tc>
      </w:tr>
      <w:tr w:rsidR="00FD14B5" w:rsidRPr="00FD14B5" w:rsidTr="00B85448">
        <w:trPr>
          <w:trHeight w:val="292"/>
          <w:jc w:val="center"/>
        </w:trPr>
        <w:tc>
          <w:tcPr>
            <w:tcW w:w="2791"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bCs/>
                <w:kern w:val="2"/>
                <w:sz w:val="20"/>
                <w:szCs w:val="24"/>
                <w:lang w:val="es-ES_tradnl" w:eastAsia="es-CO"/>
              </w:rPr>
            </w:pPr>
            <w:r w:rsidRPr="00FD14B5">
              <w:rPr>
                <w:rFonts w:ascii="Arial" w:hAnsi="Arial" w:cs="Arial"/>
                <w:sz w:val="20"/>
                <w:szCs w:val="24"/>
                <w:lang w:eastAsia="es-CO"/>
              </w:rPr>
              <w:t>Total</w:t>
            </w:r>
          </w:p>
        </w:tc>
        <w:tc>
          <w:tcPr>
            <w:tcW w:w="2752"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kern w:val="2"/>
                <w:sz w:val="20"/>
                <w:szCs w:val="24"/>
                <w:lang w:val="es-ES_tradnl" w:eastAsia="es-CO"/>
              </w:rPr>
            </w:pPr>
            <w:r w:rsidRPr="00FD14B5">
              <w:rPr>
                <w:rFonts w:ascii="Arial" w:hAnsi="Arial" w:cs="Arial"/>
                <w:b/>
                <w:sz w:val="20"/>
                <w:szCs w:val="24"/>
                <w:lang w:eastAsia="es-CO"/>
              </w:rPr>
              <w:t>$11.666</w:t>
            </w:r>
          </w:p>
        </w:tc>
      </w:tr>
    </w:tbl>
    <w:p w:rsidR="00FD14B5" w:rsidRPr="00FD14B5" w:rsidRDefault="00FD14B5" w:rsidP="00FD14B5">
      <w:pPr>
        <w:spacing w:line="276" w:lineRule="auto"/>
        <w:jc w:val="center"/>
        <w:rPr>
          <w:rFonts w:ascii="Arial" w:hAnsi="Arial" w:cs="Arial"/>
          <w:sz w:val="20"/>
          <w:szCs w:val="24"/>
        </w:rPr>
      </w:pPr>
      <w:r w:rsidRPr="00FD14B5">
        <w:rPr>
          <w:rFonts w:ascii="Arial" w:hAnsi="Arial" w:cs="Arial"/>
          <w:sz w:val="20"/>
          <w:szCs w:val="24"/>
        </w:rPr>
        <w:t>Fuente: Sistema financiero STONE.</w:t>
      </w:r>
    </w:p>
    <w:p w:rsidR="00FD14B5" w:rsidRPr="00FD14B5" w:rsidRDefault="00FD14B5" w:rsidP="00FD14B5">
      <w:pPr>
        <w:spacing w:line="276" w:lineRule="auto"/>
        <w:jc w:val="center"/>
        <w:rPr>
          <w:rFonts w:ascii="Arial" w:hAnsi="Arial" w:cs="Arial"/>
          <w:b/>
          <w:bCs/>
          <w:szCs w:val="24"/>
          <w:lang w:eastAsia="es-CO"/>
        </w:rPr>
      </w:pPr>
    </w:p>
    <w:p w:rsidR="00FD14B5" w:rsidRPr="00FD14B5" w:rsidRDefault="00FD14B5" w:rsidP="006D5E5B">
      <w:pPr>
        <w:pStyle w:val="Descripcin"/>
        <w:spacing w:after="0"/>
        <w:ind w:left="1416" w:firstLine="708"/>
        <w:rPr>
          <w:rFonts w:ascii="Arial" w:hAnsi="Arial" w:cs="Arial"/>
          <w:bCs/>
          <w:color w:val="auto"/>
          <w:szCs w:val="24"/>
        </w:rPr>
      </w:pPr>
      <w:bookmarkStart w:id="165" w:name="_Toc27665392"/>
      <w:r w:rsidRPr="00FD14B5">
        <w:rPr>
          <w:rFonts w:ascii="Arial" w:hAnsi="Arial" w:cs="Arial"/>
          <w:bCs/>
          <w:color w:val="auto"/>
          <w:szCs w:val="24"/>
        </w:rPr>
        <w:t>Recaudo Acuerdos Anteriores por vigencias</w:t>
      </w:r>
      <w:bookmarkEnd w:id="165"/>
    </w:p>
    <w:tbl>
      <w:tblPr>
        <w:tblStyle w:val="Tablaconcuadrcula"/>
        <w:tblW w:w="5513" w:type="dxa"/>
        <w:jc w:val="center"/>
        <w:tblLook w:val="04A0" w:firstRow="1" w:lastRow="0" w:firstColumn="1" w:lastColumn="0" w:noHBand="0" w:noVBand="1"/>
      </w:tblPr>
      <w:tblGrid>
        <w:gridCol w:w="2770"/>
        <w:gridCol w:w="2743"/>
      </w:tblGrid>
      <w:tr w:rsidR="00FD14B5" w:rsidRPr="00FD14B5" w:rsidTr="00B85448">
        <w:trPr>
          <w:trHeight w:val="284"/>
          <w:jc w:val="center"/>
        </w:trPr>
        <w:tc>
          <w:tcPr>
            <w:tcW w:w="2770"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bCs/>
                <w:kern w:val="2"/>
                <w:szCs w:val="24"/>
                <w:lang w:val="es-ES_tradnl" w:eastAsia="es-CO"/>
              </w:rPr>
            </w:pPr>
            <w:r w:rsidRPr="00FD14B5">
              <w:rPr>
                <w:rFonts w:ascii="Arial" w:hAnsi="Arial" w:cs="Arial"/>
                <w:szCs w:val="24"/>
                <w:lang w:eastAsia="es-CO"/>
              </w:rPr>
              <w:lastRenderedPageBreak/>
              <w:t>Vigencia</w:t>
            </w:r>
          </w:p>
        </w:tc>
        <w:tc>
          <w:tcPr>
            <w:tcW w:w="2743"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bCs/>
                <w:kern w:val="2"/>
                <w:szCs w:val="24"/>
                <w:lang w:val="es-ES_tradnl" w:eastAsia="es-CO"/>
              </w:rPr>
            </w:pPr>
            <w:r w:rsidRPr="00FD14B5">
              <w:rPr>
                <w:rFonts w:ascii="Arial" w:hAnsi="Arial" w:cs="Arial"/>
                <w:szCs w:val="24"/>
                <w:lang w:eastAsia="es-CO"/>
              </w:rPr>
              <w:t>Recaudo</w:t>
            </w:r>
          </w:p>
        </w:tc>
      </w:tr>
      <w:tr w:rsidR="00FD14B5" w:rsidRPr="00FD14B5" w:rsidTr="00B85448">
        <w:trPr>
          <w:trHeight w:val="284"/>
          <w:jc w:val="center"/>
        </w:trPr>
        <w:tc>
          <w:tcPr>
            <w:tcW w:w="2770" w:type="dxa"/>
            <w:tcBorders>
              <w:top w:val="single" w:sz="4" w:space="0" w:color="auto"/>
              <w:left w:val="single" w:sz="4" w:space="0" w:color="auto"/>
              <w:bottom w:val="single" w:sz="4" w:space="0" w:color="auto"/>
              <w:right w:val="single" w:sz="4" w:space="0" w:color="auto"/>
            </w:tcBorders>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kern w:val="2"/>
                <w:szCs w:val="24"/>
                <w:lang w:val="es-ES_tradnl" w:eastAsia="es-CO"/>
              </w:rPr>
            </w:pPr>
            <w:r w:rsidRPr="00FD14B5">
              <w:rPr>
                <w:rFonts w:ascii="Arial" w:hAnsi="Arial" w:cs="Arial"/>
                <w:b/>
                <w:szCs w:val="24"/>
                <w:lang w:eastAsia="es-CO"/>
              </w:rPr>
              <w:t>2016</w:t>
            </w:r>
          </w:p>
        </w:tc>
        <w:tc>
          <w:tcPr>
            <w:tcW w:w="2743" w:type="dxa"/>
            <w:tcBorders>
              <w:top w:val="single" w:sz="4" w:space="0" w:color="auto"/>
              <w:left w:val="single" w:sz="4" w:space="0" w:color="auto"/>
              <w:bottom w:val="single" w:sz="4" w:space="0" w:color="auto"/>
              <w:right w:val="single" w:sz="4" w:space="0" w:color="auto"/>
            </w:tcBorders>
            <w:noWrap/>
            <w:vAlign w:val="bottom"/>
            <w:hideMark/>
          </w:tcPr>
          <w:p w:rsidR="00FD14B5" w:rsidRPr="00FD14B5" w:rsidRDefault="00FD14B5" w:rsidP="00B85448">
            <w:pPr>
              <w:spacing w:line="276" w:lineRule="auto"/>
              <w:jc w:val="center"/>
              <w:rPr>
                <w:rFonts w:ascii="Arial" w:eastAsia="Times New Roman" w:hAnsi="Arial" w:cs="Arial"/>
                <w:szCs w:val="24"/>
                <w:lang w:eastAsia="es-CO"/>
              </w:rPr>
            </w:pPr>
            <w:r w:rsidRPr="00FD14B5">
              <w:rPr>
                <w:rFonts w:ascii="Arial" w:hAnsi="Arial" w:cs="Arial"/>
                <w:szCs w:val="24"/>
              </w:rPr>
              <w:t>$ 923</w:t>
            </w:r>
          </w:p>
        </w:tc>
      </w:tr>
      <w:tr w:rsidR="00FD14B5" w:rsidRPr="00FD14B5" w:rsidTr="00B85448">
        <w:trPr>
          <w:trHeight w:val="284"/>
          <w:jc w:val="center"/>
        </w:trPr>
        <w:tc>
          <w:tcPr>
            <w:tcW w:w="2770" w:type="dxa"/>
            <w:tcBorders>
              <w:top w:val="single" w:sz="4" w:space="0" w:color="auto"/>
              <w:left w:val="single" w:sz="4" w:space="0" w:color="auto"/>
              <w:bottom w:val="single" w:sz="4" w:space="0" w:color="auto"/>
              <w:right w:val="single" w:sz="4" w:space="0" w:color="auto"/>
            </w:tcBorders>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kern w:val="2"/>
                <w:szCs w:val="24"/>
                <w:lang w:val="es-ES_tradnl" w:eastAsia="es-CO"/>
              </w:rPr>
            </w:pPr>
            <w:r w:rsidRPr="00FD14B5">
              <w:rPr>
                <w:rFonts w:ascii="Arial" w:hAnsi="Arial" w:cs="Arial"/>
                <w:b/>
                <w:szCs w:val="24"/>
                <w:lang w:eastAsia="es-CO"/>
              </w:rPr>
              <w:t>2017</w:t>
            </w:r>
          </w:p>
        </w:tc>
        <w:tc>
          <w:tcPr>
            <w:tcW w:w="2743" w:type="dxa"/>
            <w:tcBorders>
              <w:top w:val="single" w:sz="4" w:space="0" w:color="auto"/>
              <w:left w:val="single" w:sz="4" w:space="0" w:color="auto"/>
              <w:bottom w:val="single" w:sz="4" w:space="0" w:color="auto"/>
              <w:right w:val="single" w:sz="4" w:space="0" w:color="auto"/>
            </w:tcBorders>
            <w:noWrap/>
            <w:vAlign w:val="bottom"/>
            <w:hideMark/>
          </w:tcPr>
          <w:p w:rsidR="00FD14B5" w:rsidRPr="00FD14B5" w:rsidRDefault="00FD14B5" w:rsidP="00B85448">
            <w:pPr>
              <w:widowControl w:val="0"/>
              <w:suppressAutoHyphens/>
              <w:spacing w:line="276" w:lineRule="auto"/>
              <w:jc w:val="center"/>
              <w:rPr>
                <w:rFonts w:ascii="Arial" w:eastAsia="Arial Unicode MS" w:hAnsi="Arial" w:cs="Arial"/>
                <w:kern w:val="2"/>
                <w:szCs w:val="24"/>
                <w:lang w:val="es-ES_tradnl" w:eastAsia="ar-SA"/>
              </w:rPr>
            </w:pPr>
            <w:r w:rsidRPr="00FD14B5">
              <w:rPr>
                <w:rFonts w:ascii="Arial" w:hAnsi="Arial" w:cs="Arial"/>
                <w:szCs w:val="24"/>
              </w:rPr>
              <w:t>$ 1.038</w:t>
            </w:r>
          </w:p>
        </w:tc>
      </w:tr>
      <w:tr w:rsidR="00FD14B5" w:rsidRPr="00FD14B5" w:rsidTr="00B85448">
        <w:trPr>
          <w:trHeight w:val="284"/>
          <w:jc w:val="center"/>
        </w:trPr>
        <w:tc>
          <w:tcPr>
            <w:tcW w:w="2770" w:type="dxa"/>
            <w:tcBorders>
              <w:top w:val="single" w:sz="4" w:space="0" w:color="auto"/>
              <w:left w:val="single" w:sz="4" w:space="0" w:color="auto"/>
              <w:bottom w:val="single" w:sz="4" w:space="0" w:color="auto"/>
              <w:right w:val="single" w:sz="4" w:space="0" w:color="auto"/>
            </w:tcBorders>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kern w:val="2"/>
                <w:szCs w:val="24"/>
                <w:lang w:val="es-ES_tradnl" w:eastAsia="es-CO"/>
              </w:rPr>
            </w:pPr>
            <w:r w:rsidRPr="00FD14B5">
              <w:rPr>
                <w:rFonts w:ascii="Arial" w:hAnsi="Arial" w:cs="Arial"/>
                <w:b/>
                <w:szCs w:val="24"/>
                <w:lang w:eastAsia="es-CO"/>
              </w:rPr>
              <w:t>2018</w:t>
            </w:r>
          </w:p>
        </w:tc>
        <w:tc>
          <w:tcPr>
            <w:tcW w:w="2743" w:type="dxa"/>
            <w:tcBorders>
              <w:top w:val="single" w:sz="4" w:space="0" w:color="auto"/>
              <w:left w:val="single" w:sz="4" w:space="0" w:color="auto"/>
              <w:bottom w:val="single" w:sz="4" w:space="0" w:color="auto"/>
              <w:right w:val="single" w:sz="4" w:space="0" w:color="auto"/>
            </w:tcBorders>
            <w:noWrap/>
            <w:vAlign w:val="bottom"/>
            <w:hideMark/>
          </w:tcPr>
          <w:p w:rsidR="00FD14B5" w:rsidRPr="00FD14B5" w:rsidRDefault="00FD14B5" w:rsidP="00B85448">
            <w:pPr>
              <w:widowControl w:val="0"/>
              <w:suppressAutoHyphens/>
              <w:spacing w:line="276" w:lineRule="auto"/>
              <w:jc w:val="center"/>
              <w:rPr>
                <w:rFonts w:ascii="Arial" w:eastAsia="Arial Unicode MS" w:hAnsi="Arial" w:cs="Arial"/>
                <w:kern w:val="2"/>
                <w:szCs w:val="24"/>
                <w:lang w:val="es-ES_tradnl" w:eastAsia="ar-SA"/>
              </w:rPr>
            </w:pPr>
            <w:r w:rsidRPr="00FD14B5">
              <w:rPr>
                <w:rFonts w:ascii="Arial" w:hAnsi="Arial" w:cs="Arial"/>
                <w:szCs w:val="24"/>
              </w:rPr>
              <w:t>$ 543</w:t>
            </w:r>
          </w:p>
        </w:tc>
      </w:tr>
      <w:tr w:rsidR="00FD14B5" w:rsidRPr="00FD14B5" w:rsidTr="00B85448">
        <w:trPr>
          <w:trHeight w:val="284"/>
          <w:jc w:val="center"/>
        </w:trPr>
        <w:tc>
          <w:tcPr>
            <w:tcW w:w="2770" w:type="dxa"/>
            <w:tcBorders>
              <w:top w:val="single" w:sz="4" w:space="0" w:color="auto"/>
              <w:left w:val="single" w:sz="4" w:space="0" w:color="auto"/>
              <w:bottom w:val="single" w:sz="4" w:space="0" w:color="auto"/>
              <w:right w:val="single" w:sz="4" w:space="0" w:color="auto"/>
            </w:tcBorders>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kern w:val="2"/>
                <w:szCs w:val="24"/>
                <w:lang w:val="es-ES_tradnl" w:eastAsia="es-CO"/>
              </w:rPr>
            </w:pPr>
            <w:r w:rsidRPr="00FD14B5">
              <w:rPr>
                <w:rFonts w:ascii="Arial" w:hAnsi="Arial" w:cs="Arial"/>
                <w:b/>
                <w:szCs w:val="24"/>
                <w:lang w:eastAsia="es-CO"/>
              </w:rPr>
              <w:t>2019 Nov</w:t>
            </w:r>
          </w:p>
        </w:tc>
        <w:tc>
          <w:tcPr>
            <w:tcW w:w="2743" w:type="dxa"/>
            <w:tcBorders>
              <w:top w:val="single" w:sz="4" w:space="0" w:color="auto"/>
              <w:left w:val="single" w:sz="4" w:space="0" w:color="auto"/>
              <w:bottom w:val="single" w:sz="4" w:space="0" w:color="auto"/>
              <w:right w:val="single" w:sz="4" w:space="0" w:color="auto"/>
            </w:tcBorders>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Cs w:val="24"/>
                <w:lang w:val="es-ES_tradnl" w:eastAsia="es-CO"/>
              </w:rPr>
            </w:pPr>
            <w:r w:rsidRPr="00FD14B5">
              <w:rPr>
                <w:rFonts w:ascii="Arial" w:hAnsi="Arial" w:cs="Arial"/>
                <w:szCs w:val="24"/>
                <w:lang w:eastAsia="es-CO"/>
              </w:rPr>
              <w:t>$652</w:t>
            </w:r>
          </w:p>
        </w:tc>
      </w:tr>
      <w:tr w:rsidR="00FD14B5" w:rsidRPr="00FD14B5" w:rsidTr="00B85448">
        <w:trPr>
          <w:trHeight w:val="284"/>
          <w:jc w:val="center"/>
        </w:trPr>
        <w:tc>
          <w:tcPr>
            <w:tcW w:w="2770"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bCs/>
                <w:kern w:val="2"/>
                <w:szCs w:val="24"/>
                <w:lang w:val="es-ES_tradnl" w:eastAsia="es-CO"/>
              </w:rPr>
            </w:pPr>
            <w:r w:rsidRPr="00FD14B5">
              <w:rPr>
                <w:rFonts w:ascii="Arial" w:hAnsi="Arial" w:cs="Arial"/>
                <w:szCs w:val="24"/>
                <w:lang w:eastAsia="es-CO"/>
              </w:rPr>
              <w:t>Total</w:t>
            </w:r>
          </w:p>
        </w:tc>
        <w:tc>
          <w:tcPr>
            <w:tcW w:w="2743"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kern w:val="2"/>
                <w:szCs w:val="24"/>
                <w:lang w:val="es-ES_tradnl" w:eastAsia="es-CO"/>
              </w:rPr>
            </w:pPr>
            <w:r w:rsidRPr="00FD14B5">
              <w:rPr>
                <w:rFonts w:ascii="Arial" w:hAnsi="Arial" w:cs="Arial"/>
                <w:b/>
                <w:szCs w:val="24"/>
                <w:lang w:eastAsia="es-CO"/>
              </w:rPr>
              <w:t>$3.156</w:t>
            </w:r>
          </w:p>
        </w:tc>
      </w:tr>
    </w:tbl>
    <w:p w:rsidR="00FD14B5" w:rsidRPr="00FD14B5" w:rsidRDefault="00FD14B5" w:rsidP="00FD14B5">
      <w:pPr>
        <w:spacing w:line="276" w:lineRule="auto"/>
        <w:jc w:val="center"/>
        <w:rPr>
          <w:rFonts w:ascii="Arial" w:hAnsi="Arial" w:cs="Arial"/>
          <w:sz w:val="20"/>
          <w:szCs w:val="24"/>
        </w:rPr>
      </w:pPr>
      <w:r w:rsidRPr="00FD14B5">
        <w:rPr>
          <w:rFonts w:ascii="Arial" w:hAnsi="Arial" w:cs="Arial"/>
          <w:sz w:val="20"/>
          <w:szCs w:val="24"/>
        </w:rPr>
        <w:t>Fuente: Sistema financiero STONE.</w:t>
      </w:r>
    </w:p>
    <w:p w:rsidR="00FD14B5" w:rsidRPr="00FD14B5" w:rsidRDefault="00FD14B5" w:rsidP="006D5E5B">
      <w:pPr>
        <w:pStyle w:val="Descripcin"/>
        <w:spacing w:after="0"/>
        <w:ind w:left="1416" w:firstLine="708"/>
        <w:rPr>
          <w:rFonts w:ascii="Arial" w:hAnsi="Arial" w:cs="Arial"/>
          <w:bCs/>
          <w:color w:val="auto"/>
          <w:szCs w:val="24"/>
        </w:rPr>
      </w:pPr>
      <w:bookmarkStart w:id="166" w:name="_Toc27665393"/>
      <w:r w:rsidRPr="00FD14B5">
        <w:rPr>
          <w:rFonts w:ascii="Arial" w:hAnsi="Arial" w:cs="Arial"/>
          <w:color w:val="auto"/>
        </w:rPr>
        <w:t xml:space="preserve"> </w:t>
      </w:r>
      <w:r w:rsidRPr="00FD14B5">
        <w:rPr>
          <w:rFonts w:ascii="Arial" w:hAnsi="Arial" w:cs="Arial"/>
          <w:bCs/>
          <w:color w:val="auto"/>
          <w:szCs w:val="24"/>
        </w:rPr>
        <w:t>Recaudo Acuerdo 523 por vigencias</w:t>
      </w:r>
      <w:bookmarkEnd w:id="166"/>
    </w:p>
    <w:tbl>
      <w:tblPr>
        <w:tblStyle w:val="Tablaconcuadrcula"/>
        <w:tblW w:w="5316" w:type="dxa"/>
        <w:jc w:val="center"/>
        <w:tblLook w:val="04A0" w:firstRow="1" w:lastRow="0" w:firstColumn="1" w:lastColumn="0" w:noHBand="0" w:noVBand="1"/>
      </w:tblPr>
      <w:tblGrid>
        <w:gridCol w:w="2833"/>
        <w:gridCol w:w="2483"/>
      </w:tblGrid>
      <w:tr w:rsidR="00FD14B5" w:rsidRPr="00FD14B5" w:rsidTr="00B85448">
        <w:trPr>
          <w:trHeight w:val="300"/>
          <w:jc w:val="center"/>
        </w:trPr>
        <w:tc>
          <w:tcPr>
            <w:tcW w:w="2833"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bCs/>
                <w:kern w:val="2"/>
                <w:szCs w:val="24"/>
                <w:lang w:val="es-ES_tradnl" w:eastAsia="es-CO"/>
              </w:rPr>
            </w:pPr>
            <w:r w:rsidRPr="00FD14B5">
              <w:rPr>
                <w:rFonts w:ascii="Arial" w:hAnsi="Arial" w:cs="Arial"/>
                <w:szCs w:val="24"/>
                <w:lang w:eastAsia="es-CO"/>
              </w:rPr>
              <w:t>Vigencia</w:t>
            </w:r>
          </w:p>
        </w:tc>
        <w:tc>
          <w:tcPr>
            <w:tcW w:w="2483"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bCs/>
                <w:kern w:val="2"/>
                <w:szCs w:val="24"/>
                <w:lang w:val="es-ES_tradnl" w:eastAsia="es-CO"/>
              </w:rPr>
            </w:pPr>
            <w:r w:rsidRPr="00FD14B5">
              <w:rPr>
                <w:rFonts w:ascii="Arial" w:hAnsi="Arial" w:cs="Arial"/>
                <w:szCs w:val="24"/>
                <w:lang w:eastAsia="es-CO"/>
              </w:rPr>
              <w:t>Recaudo</w:t>
            </w:r>
          </w:p>
        </w:tc>
      </w:tr>
      <w:tr w:rsidR="00FD14B5" w:rsidRPr="00FD14B5" w:rsidTr="00B85448">
        <w:trPr>
          <w:trHeight w:val="300"/>
          <w:jc w:val="center"/>
        </w:trPr>
        <w:tc>
          <w:tcPr>
            <w:tcW w:w="2833" w:type="dxa"/>
            <w:tcBorders>
              <w:top w:val="single" w:sz="4" w:space="0" w:color="auto"/>
              <w:left w:val="single" w:sz="4" w:space="0" w:color="auto"/>
              <w:bottom w:val="single" w:sz="4" w:space="0" w:color="auto"/>
              <w:right w:val="single" w:sz="4" w:space="0" w:color="auto"/>
            </w:tcBorders>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kern w:val="2"/>
                <w:szCs w:val="24"/>
                <w:lang w:val="es-ES_tradnl" w:eastAsia="es-CO"/>
              </w:rPr>
            </w:pPr>
            <w:r w:rsidRPr="00FD14B5">
              <w:rPr>
                <w:rFonts w:ascii="Arial" w:hAnsi="Arial" w:cs="Arial"/>
                <w:b/>
                <w:szCs w:val="24"/>
                <w:lang w:eastAsia="es-CO"/>
              </w:rPr>
              <w:t>2016</w:t>
            </w:r>
          </w:p>
        </w:tc>
        <w:tc>
          <w:tcPr>
            <w:tcW w:w="2483" w:type="dxa"/>
            <w:tcBorders>
              <w:top w:val="single" w:sz="4" w:space="0" w:color="auto"/>
              <w:left w:val="single" w:sz="4" w:space="0" w:color="auto"/>
              <w:bottom w:val="single" w:sz="4" w:space="0" w:color="auto"/>
              <w:right w:val="single" w:sz="4" w:space="0" w:color="auto"/>
            </w:tcBorders>
            <w:noWrap/>
            <w:vAlign w:val="bottom"/>
            <w:hideMark/>
          </w:tcPr>
          <w:p w:rsidR="00FD14B5" w:rsidRPr="00FD14B5" w:rsidRDefault="00FD14B5" w:rsidP="00B85448">
            <w:pPr>
              <w:spacing w:line="276" w:lineRule="auto"/>
              <w:jc w:val="center"/>
              <w:rPr>
                <w:rFonts w:ascii="Arial" w:eastAsia="Times New Roman" w:hAnsi="Arial" w:cs="Arial"/>
                <w:szCs w:val="24"/>
                <w:lang w:eastAsia="es-CO"/>
              </w:rPr>
            </w:pPr>
            <w:r w:rsidRPr="00FD14B5">
              <w:rPr>
                <w:rFonts w:ascii="Arial" w:hAnsi="Arial" w:cs="Arial"/>
                <w:szCs w:val="24"/>
              </w:rPr>
              <w:t>$ 22.237</w:t>
            </w:r>
          </w:p>
        </w:tc>
      </w:tr>
      <w:tr w:rsidR="00FD14B5" w:rsidRPr="00FD14B5" w:rsidTr="00B85448">
        <w:trPr>
          <w:trHeight w:val="300"/>
          <w:jc w:val="center"/>
        </w:trPr>
        <w:tc>
          <w:tcPr>
            <w:tcW w:w="2833" w:type="dxa"/>
            <w:tcBorders>
              <w:top w:val="single" w:sz="4" w:space="0" w:color="auto"/>
              <w:left w:val="single" w:sz="4" w:space="0" w:color="auto"/>
              <w:bottom w:val="single" w:sz="4" w:space="0" w:color="auto"/>
              <w:right w:val="single" w:sz="4" w:space="0" w:color="auto"/>
            </w:tcBorders>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kern w:val="2"/>
                <w:szCs w:val="24"/>
                <w:lang w:val="es-ES_tradnl" w:eastAsia="es-CO"/>
              </w:rPr>
            </w:pPr>
            <w:r w:rsidRPr="00FD14B5">
              <w:rPr>
                <w:rFonts w:ascii="Arial" w:hAnsi="Arial" w:cs="Arial"/>
                <w:b/>
                <w:szCs w:val="24"/>
                <w:lang w:eastAsia="es-CO"/>
              </w:rPr>
              <w:t>2017</w:t>
            </w:r>
          </w:p>
        </w:tc>
        <w:tc>
          <w:tcPr>
            <w:tcW w:w="2483" w:type="dxa"/>
            <w:tcBorders>
              <w:top w:val="single" w:sz="4" w:space="0" w:color="auto"/>
              <w:left w:val="single" w:sz="4" w:space="0" w:color="auto"/>
              <w:bottom w:val="single" w:sz="4" w:space="0" w:color="auto"/>
              <w:right w:val="single" w:sz="4" w:space="0" w:color="auto"/>
            </w:tcBorders>
            <w:noWrap/>
            <w:vAlign w:val="bottom"/>
            <w:hideMark/>
          </w:tcPr>
          <w:p w:rsidR="00FD14B5" w:rsidRPr="00FD14B5" w:rsidRDefault="00FD14B5" w:rsidP="00B85448">
            <w:pPr>
              <w:widowControl w:val="0"/>
              <w:suppressAutoHyphens/>
              <w:spacing w:line="276" w:lineRule="auto"/>
              <w:jc w:val="center"/>
              <w:rPr>
                <w:rFonts w:ascii="Arial" w:eastAsia="Arial Unicode MS" w:hAnsi="Arial" w:cs="Arial"/>
                <w:kern w:val="2"/>
                <w:szCs w:val="24"/>
                <w:lang w:val="es-ES_tradnl" w:eastAsia="ar-SA"/>
              </w:rPr>
            </w:pPr>
            <w:r w:rsidRPr="00FD14B5">
              <w:rPr>
                <w:rFonts w:ascii="Arial" w:hAnsi="Arial" w:cs="Arial"/>
                <w:szCs w:val="24"/>
              </w:rPr>
              <w:t>$ 18.720</w:t>
            </w:r>
          </w:p>
        </w:tc>
      </w:tr>
      <w:tr w:rsidR="00FD14B5" w:rsidRPr="00FD14B5" w:rsidTr="00B85448">
        <w:trPr>
          <w:trHeight w:val="300"/>
          <w:jc w:val="center"/>
        </w:trPr>
        <w:tc>
          <w:tcPr>
            <w:tcW w:w="2833" w:type="dxa"/>
            <w:tcBorders>
              <w:top w:val="single" w:sz="4" w:space="0" w:color="auto"/>
              <w:left w:val="single" w:sz="4" w:space="0" w:color="auto"/>
              <w:bottom w:val="single" w:sz="4" w:space="0" w:color="auto"/>
              <w:right w:val="single" w:sz="4" w:space="0" w:color="auto"/>
            </w:tcBorders>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kern w:val="2"/>
                <w:szCs w:val="24"/>
                <w:lang w:val="es-ES_tradnl" w:eastAsia="es-CO"/>
              </w:rPr>
            </w:pPr>
            <w:r w:rsidRPr="00FD14B5">
              <w:rPr>
                <w:rFonts w:ascii="Arial" w:hAnsi="Arial" w:cs="Arial"/>
                <w:b/>
                <w:szCs w:val="24"/>
                <w:lang w:eastAsia="es-CO"/>
              </w:rPr>
              <w:t>2018</w:t>
            </w:r>
          </w:p>
        </w:tc>
        <w:tc>
          <w:tcPr>
            <w:tcW w:w="2483" w:type="dxa"/>
            <w:tcBorders>
              <w:top w:val="single" w:sz="4" w:space="0" w:color="auto"/>
              <w:left w:val="single" w:sz="4" w:space="0" w:color="auto"/>
              <w:bottom w:val="single" w:sz="4" w:space="0" w:color="auto"/>
              <w:right w:val="single" w:sz="4" w:space="0" w:color="auto"/>
            </w:tcBorders>
            <w:noWrap/>
            <w:vAlign w:val="bottom"/>
            <w:hideMark/>
          </w:tcPr>
          <w:p w:rsidR="00FD14B5" w:rsidRPr="00FD14B5" w:rsidRDefault="00FD14B5" w:rsidP="00B85448">
            <w:pPr>
              <w:widowControl w:val="0"/>
              <w:suppressAutoHyphens/>
              <w:spacing w:line="276" w:lineRule="auto"/>
              <w:jc w:val="center"/>
              <w:rPr>
                <w:rFonts w:ascii="Arial" w:eastAsia="Arial Unicode MS" w:hAnsi="Arial" w:cs="Arial"/>
                <w:kern w:val="2"/>
                <w:szCs w:val="24"/>
                <w:lang w:val="es-ES_tradnl" w:eastAsia="ar-SA"/>
              </w:rPr>
            </w:pPr>
            <w:r w:rsidRPr="00FD14B5">
              <w:rPr>
                <w:rFonts w:ascii="Arial" w:hAnsi="Arial" w:cs="Arial"/>
                <w:szCs w:val="24"/>
              </w:rPr>
              <w:t>$ 8.300</w:t>
            </w:r>
          </w:p>
        </w:tc>
      </w:tr>
      <w:tr w:rsidR="00FD14B5" w:rsidRPr="00FD14B5" w:rsidTr="00B85448">
        <w:trPr>
          <w:trHeight w:val="300"/>
          <w:jc w:val="center"/>
        </w:trPr>
        <w:tc>
          <w:tcPr>
            <w:tcW w:w="2833" w:type="dxa"/>
            <w:tcBorders>
              <w:top w:val="single" w:sz="4" w:space="0" w:color="auto"/>
              <w:left w:val="single" w:sz="4" w:space="0" w:color="auto"/>
              <w:bottom w:val="single" w:sz="4" w:space="0" w:color="auto"/>
              <w:right w:val="single" w:sz="4" w:space="0" w:color="auto"/>
            </w:tcBorders>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kern w:val="2"/>
                <w:szCs w:val="24"/>
                <w:lang w:val="es-ES_tradnl" w:eastAsia="es-CO"/>
              </w:rPr>
            </w:pPr>
            <w:r w:rsidRPr="00FD14B5">
              <w:rPr>
                <w:rFonts w:ascii="Arial" w:hAnsi="Arial" w:cs="Arial"/>
                <w:b/>
                <w:szCs w:val="24"/>
                <w:lang w:eastAsia="es-CO"/>
              </w:rPr>
              <w:t>2019 Nov</w:t>
            </w:r>
          </w:p>
        </w:tc>
        <w:tc>
          <w:tcPr>
            <w:tcW w:w="2483" w:type="dxa"/>
            <w:tcBorders>
              <w:top w:val="single" w:sz="4" w:space="0" w:color="auto"/>
              <w:left w:val="single" w:sz="4" w:space="0" w:color="auto"/>
              <w:bottom w:val="single" w:sz="4" w:space="0" w:color="auto"/>
              <w:right w:val="single" w:sz="4" w:space="0" w:color="auto"/>
            </w:tcBorders>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Cs w:val="24"/>
                <w:lang w:val="es-ES_tradnl" w:eastAsia="es-CO"/>
              </w:rPr>
            </w:pPr>
            <w:r w:rsidRPr="00FD14B5">
              <w:rPr>
                <w:rFonts w:ascii="Arial" w:hAnsi="Arial" w:cs="Arial"/>
                <w:szCs w:val="24"/>
                <w:lang w:eastAsia="es-CO"/>
              </w:rPr>
              <w:t>$4.523</w:t>
            </w:r>
          </w:p>
        </w:tc>
      </w:tr>
      <w:tr w:rsidR="00FD14B5" w:rsidRPr="00FD14B5" w:rsidTr="00B85448">
        <w:trPr>
          <w:trHeight w:val="300"/>
          <w:jc w:val="center"/>
        </w:trPr>
        <w:tc>
          <w:tcPr>
            <w:tcW w:w="2833"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bCs/>
                <w:kern w:val="2"/>
                <w:szCs w:val="24"/>
                <w:lang w:val="es-ES_tradnl" w:eastAsia="es-CO"/>
              </w:rPr>
            </w:pPr>
            <w:r w:rsidRPr="00FD14B5">
              <w:rPr>
                <w:rFonts w:ascii="Arial" w:hAnsi="Arial" w:cs="Arial"/>
                <w:szCs w:val="24"/>
                <w:lang w:eastAsia="es-CO"/>
              </w:rPr>
              <w:t>Total</w:t>
            </w:r>
          </w:p>
        </w:tc>
        <w:tc>
          <w:tcPr>
            <w:tcW w:w="2483"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kern w:val="2"/>
                <w:szCs w:val="24"/>
                <w:lang w:val="es-ES_tradnl" w:eastAsia="es-CO"/>
              </w:rPr>
            </w:pPr>
            <w:r w:rsidRPr="00FD14B5">
              <w:rPr>
                <w:rFonts w:ascii="Arial" w:hAnsi="Arial" w:cs="Arial"/>
                <w:b/>
                <w:szCs w:val="24"/>
                <w:lang w:eastAsia="es-CO"/>
              </w:rPr>
              <w:t>$53.780</w:t>
            </w:r>
          </w:p>
        </w:tc>
      </w:tr>
    </w:tbl>
    <w:p w:rsidR="00FD14B5" w:rsidRPr="00FD14B5" w:rsidRDefault="00FD14B5" w:rsidP="00FD14B5">
      <w:pPr>
        <w:spacing w:line="276" w:lineRule="auto"/>
        <w:jc w:val="center"/>
        <w:rPr>
          <w:rFonts w:ascii="Arial" w:hAnsi="Arial" w:cs="Arial"/>
          <w:sz w:val="20"/>
          <w:szCs w:val="24"/>
        </w:rPr>
      </w:pPr>
      <w:r w:rsidRPr="00FD14B5">
        <w:rPr>
          <w:rFonts w:ascii="Arial" w:hAnsi="Arial" w:cs="Arial"/>
          <w:sz w:val="20"/>
          <w:szCs w:val="24"/>
        </w:rPr>
        <w:t>Fuente: Sistema financiero STONE.</w:t>
      </w:r>
    </w:p>
    <w:p w:rsidR="00FD14B5" w:rsidRPr="00FD14B5" w:rsidRDefault="00FD14B5" w:rsidP="00FD14B5">
      <w:pPr>
        <w:spacing w:line="276" w:lineRule="auto"/>
        <w:rPr>
          <w:rFonts w:ascii="Arial" w:hAnsi="Arial" w:cs="Arial"/>
          <w:b/>
          <w:szCs w:val="24"/>
          <w:u w:val="single"/>
        </w:rPr>
      </w:pPr>
    </w:p>
    <w:p w:rsidR="00FD14B5" w:rsidRPr="00FD14B5" w:rsidRDefault="00FD14B5" w:rsidP="006D5E5B">
      <w:pPr>
        <w:pStyle w:val="Descripcin"/>
        <w:spacing w:after="0"/>
        <w:ind w:left="1416" w:firstLine="708"/>
        <w:rPr>
          <w:rFonts w:ascii="Arial" w:hAnsi="Arial" w:cs="Arial"/>
          <w:bCs/>
          <w:color w:val="auto"/>
          <w:szCs w:val="24"/>
        </w:rPr>
      </w:pPr>
      <w:bookmarkStart w:id="167" w:name="_Toc27665394"/>
      <w:r w:rsidRPr="00FD14B5">
        <w:rPr>
          <w:rFonts w:ascii="Arial" w:hAnsi="Arial" w:cs="Arial"/>
          <w:bCs/>
          <w:color w:val="auto"/>
          <w:szCs w:val="24"/>
        </w:rPr>
        <w:t>Recaudo Acuerdo 724 por vigencias</w:t>
      </w:r>
      <w:bookmarkEnd w:id="167"/>
    </w:p>
    <w:tbl>
      <w:tblPr>
        <w:tblStyle w:val="Tablaconcuadrcula"/>
        <w:tblW w:w="5316" w:type="dxa"/>
        <w:jc w:val="center"/>
        <w:tblLook w:val="04A0" w:firstRow="1" w:lastRow="0" w:firstColumn="1" w:lastColumn="0" w:noHBand="0" w:noVBand="1"/>
      </w:tblPr>
      <w:tblGrid>
        <w:gridCol w:w="2833"/>
        <w:gridCol w:w="2483"/>
      </w:tblGrid>
      <w:tr w:rsidR="00FD14B5" w:rsidRPr="00FD14B5" w:rsidTr="00B85448">
        <w:trPr>
          <w:trHeight w:val="300"/>
          <w:jc w:val="center"/>
        </w:trPr>
        <w:tc>
          <w:tcPr>
            <w:tcW w:w="2833"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bCs/>
                <w:kern w:val="2"/>
                <w:szCs w:val="24"/>
                <w:lang w:val="es-ES_tradnl" w:eastAsia="es-CO"/>
              </w:rPr>
            </w:pPr>
            <w:r w:rsidRPr="00FD14B5">
              <w:rPr>
                <w:rFonts w:ascii="Arial" w:hAnsi="Arial" w:cs="Arial"/>
                <w:szCs w:val="24"/>
                <w:lang w:eastAsia="es-CO"/>
              </w:rPr>
              <w:t>Vigencia</w:t>
            </w:r>
          </w:p>
        </w:tc>
        <w:tc>
          <w:tcPr>
            <w:tcW w:w="2483"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bCs/>
                <w:kern w:val="2"/>
                <w:szCs w:val="24"/>
                <w:lang w:val="es-ES_tradnl" w:eastAsia="es-CO"/>
              </w:rPr>
            </w:pPr>
            <w:r w:rsidRPr="00FD14B5">
              <w:rPr>
                <w:rFonts w:ascii="Arial" w:hAnsi="Arial" w:cs="Arial"/>
                <w:szCs w:val="24"/>
                <w:lang w:eastAsia="es-CO"/>
              </w:rPr>
              <w:t>Recaudo</w:t>
            </w:r>
          </w:p>
        </w:tc>
      </w:tr>
      <w:tr w:rsidR="00FD14B5" w:rsidRPr="00FD14B5" w:rsidTr="00B85448">
        <w:trPr>
          <w:trHeight w:val="300"/>
          <w:jc w:val="center"/>
        </w:trPr>
        <w:tc>
          <w:tcPr>
            <w:tcW w:w="2833" w:type="dxa"/>
            <w:tcBorders>
              <w:top w:val="single" w:sz="4" w:space="0" w:color="auto"/>
              <w:left w:val="single" w:sz="4" w:space="0" w:color="auto"/>
              <w:bottom w:val="single" w:sz="4" w:space="0" w:color="auto"/>
              <w:right w:val="single" w:sz="4" w:space="0" w:color="auto"/>
            </w:tcBorders>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kern w:val="2"/>
                <w:szCs w:val="24"/>
                <w:lang w:val="es-ES_tradnl" w:eastAsia="es-CO"/>
              </w:rPr>
            </w:pPr>
            <w:r w:rsidRPr="00FD14B5">
              <w:rPr>
                <w:rFonts w:ascii="Arial" w:hAnsi="Arial" w:cs="Arial"/>
                <w:b/>
                <w:szCs w:val="24"/>
                <w:lang w:eastAsia="es-CO"/>
              </w:rPr>
              <w:t>2016</w:t>
            </w:r>
          </w:p>
        </w:tc>
        <w:tc>
          <w:tcPr>
            <w:tcW w:w="2483" w:type="dxa"/>
            <w:tcBorders>
              <w:top w:val="single" w:sz="4" w:space="0" w:color="auto"/>
              <w:left w:val="single" w:sz="4" w:space="0" w:color="auto"/>
              <w:bottom w:val="single" w:sz="4" w:space="0" w:color="auto"/>
              <w:right w:val="single" w:sz="4" w:space="0" w:color="auto"/>
            </w:tcBorders>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Cs w:val="24"/>
                <w:lang w:val="es-ES_tradnl" w:eastAsia="es-CO"/>
              </w:rPr>
            </w:pPr>
            <w:r w:rsidRPr="00FD14B5">
              <w:rPr>
                <w:rFonts w:ascii="Arial" w:hAnsi="Arial" w:cs="Arial"/>
                <w:szCs w:val="24"/>
                <w:lang w:eastAsia="es-CO"/>
              </w:rPr>
              <w:t>$0</w:t>
            </w:r>
          </w:p>
        </w:tc>
      </w:tr>
      <w:tr w:rsidR="00FD14B5" w:rsidRPr="00FD14B5" w:rsidTr="00B85448">
        <w:trPr>
          <w:trHeight w:val="300"/>
          <w:jc w:val="center"/>
        </w:trPr>
        <w:tc>
          <w:tcPr>
            <w:tcW w:w="2833" w:type="dxa"/>
            <w:tcBorders>
              <w:top w:val="single" w:sz="4" w:space="0" w:color="auto"/>
              <w:left w:val="single" w:sz="4" w:space="0" w:color="auto"/>
              <w:bottom w:val="single" w:sz="4" w:space="0" w:color="auto"/>
              <w:right w:val="single" w:sz="4" w:space="0" w:color="auto"/>
            </w:tcBorders>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kern w:val="2"/>
                <w:szCs w:val="24"/>
                <w:lang w:val="es-ES_tradnl" w:eastAsia="es-CO"/>
              </w:rPr>
            </w:pPr>
            <w:r w:rsidRPr="00FD14B5">
              <w:rPr>
                <w:rFonts w:ascii="Arial" w:hAnsi="Arial" w:cs="Arial"/>
                <w:b/>
                <w:szCs w:val="24"/>
                <w:lang w:eastAsia="es-CO"/>
              </w:rPr>
              <w:t>2017</w:t>
            </w:r>
          </w:p>
        </w:tc>
        <w:tc>
          <w:tcPr>
            <w:tcW w:w="2483" w:type="dxa"/>
            <w:tcBorders>
              <w:top w:val="single" w:sz="4" w:space="0" w:color="auto"/>
              <w:left w:val="single" w:sz="4" w:space="0" w:color="auto"/>
              <w:bottom w:val="single" w:sz="4" w:space="0" w:color="auto"/>
              <w:right w:val="single" w:sz="4" w:space="0" w:color="auto"/>
            </w:tcBorders>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Cs w:val="24"/>
                <w:lang w:val="es-ES_tradnl" w:eastAsia="es-CO"/>
              </w:rPr>
            </w:pPr>
            <w:r w:rsidRPr="00FD14B5">
              <w:rPr>
                <w:rFonts w:ascii="Arial" w:hAnsi="Arial" w:cs="Arial"/>
                <w:szCs w:val="24"/>
                <w:lang w:eastAsia="es-CO"/>
              </w:rPr>
              <w:t>$0</w:t>
            </w:r>
          </w:p>
        </w:tc>
      </w:tr>
      <w:tr w:rsidR="00FD14B5" w:rsidRPr="00FD14B5" w:rsidTr="00B85448">
        <w:trPr>
          <w:trHeight w:val="300"/>
          <w:jc w:val="center"/>
        </w:trPr>
        <w:tc>
          <w:tcPr>
            <w:tcW w:w="2833" w:type="dxa"/>
            <w:tcBorders>
              <w:top w:val="single" w:sz="4" w:space="0" w:color="auto"/>
              <w:left w:val="single" w:sz="4" w:space="0" w:color="auto"/>
              <w:bottom w:val="single" w:sz="4" w:space="0" w:color="auto"/>
              <w:right w:val="single" w:sz="4" w:space="0" w:color="auto"/>
            </w:tcBorders>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kern w:val="2"/>
                <w:szCs w:val="24"/>
                <w:lang w:val="es-ES_tradnl" w:eastAsia="es-CO"/>
              </w:rPr>
            </w:pPr>
            <w:r w:rsidRPr="00FD14B5">
              <w:rPr>
                <w:rFonts w:ascii="Arial" w:hAnsi="Arial" w:cs="Arial"/>
                <w:b/>
                <w:szCs w:val="24"/>
                <w:lang w:eastAsia="es-CO"/>
              </w:rPr>
              <w:t>2018</w:t>
            </w:r>
          </w:p>
        </w:tc>
        <w:tc>
          <w:tcPr>
            <w:tcW w:w="2483" w:type="dxa"/>
            <w:tcBorders>
              <w:top w:val="single" w:sz="4" w:space="0" w:color="auto"/>
              <w:left w:val="single" w:sz="4" w:space="0" w:color="auto"/>
              <w:bottom w:val="single" w:sz="4" w:space="0" w:color="auto"/>
              <w:right w:val="single" w:sz="4" w:space="0" w:color="auto"/>
            </w:tcBorders>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Cs w:val="24"/>
                <w:lang w:val="es-ES_tradnl" w:eastAsia="es-CO"/>
              </w:rPr>
            </w:pPr>
            <w:r w:rsidRPr="00FD14B5">
              <w:rPr>
                <w:rFonts w:ascii="Arial" w:hAnsi="Arial" w:cs="Arial"/>
                <w:szCs w:val="24"/>
                <w:lang w:eastAsia="es-CO"/>
              </w:rPr>
              <w:t>$61</w:t>
            </w:r>
          </w:p>
        </w:tc>
      </w:tr>
      <w:tr w:rsidR="00FD14B5" w:rsidRPr="00FD14B5" w:rsidTr="00B85448">
        <w:trPr>
          <w:trHeight w:val="300"/>
          <w:jc w:val="center"/>
        </w:trPr>
        <w:tc>
          <w:tcPr>
            <w:tcW w:w="2833" w:type="dxa"/>
            <w:tcBorders>
              <w:top w:val="single" w:sz="4" w:space="0" w:color="auto"/>
              <w:left w:val="single" w:sz="4" w:space="0" w:color="auto"/>
              <w:bottom w:val="single" w:sz="4" w:space="0" w:color="auto"/>
              <w:right w:val="single" w:sz="4" w:space="0" w:color="auto"/>
            </w:tcBorders>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kern w:val="2"/>
                <w:szCs w:val="24"/>
                <w:lang w:val="es-ES_tradnl" w:eastAsia="es-CO"/>
              </w:rPr>
            </w:pPr>
            <w:r w:rsidRPr="00FD14B5">
              <w:rPr>
                <w:rFonts w:ascii="Arial" w:hAnsi="Arial" w:cs="Arial"/>
                <w:b/>
                <w:szCs w:val="24"/>
                <w:lang w:eastAsia="es-CO"/>
              </w:rPr>
              <w:t>2019 Nov</w:t>
            </w:r>
          </w:p>
        </w:tc>
        <w:tc>
          <w:tcPr>
            <w:tcW w:w="2483" w:type="dxa"/>
            <w:tcBorders>
              <w:top w:val="single" w:sz="4" w:space="0" w:color="auto"/>
              <w:left w:val="single" w:sz="4" w:space="0" w:color="auto"/>
              <w:bottom w:val="single" w:sz="4" w:space="0" w:color="auto"/>
              <w:right w:val="single" w:sz="4" w:space="0" w:color="auto"/>
            </w:tcBorders>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Cs w:val="24"/>
                <w:lang w:val="es-ES_tradnl" w:eastAsia="es-CO"/>
              </w:rPr>
            </w:pPr>
            <w:r w:rsidRPr="00FD14B5">
              <w:rPr>
                <w:rFonts w:ascii="Arial" w:hAnsi="Arial" w:cs="Arial"/>
                <w:szCs w:val="24"/>
                <w:lang w:eastAsia="es-CO"/>
              </w:rPr>
              <w:t>$125.727</w:t>
            </w:r>
          </w:p>
        </w:tc>
      </w:tr>
      <w:tr w:rsidR="00FD14B5" w:rsidRPr="00FD14B5" w:rsidTr="00B85448">
        <w:trPr>
          <w:trHeight w:val="300"/>
          <w:jc w:val="center"/>
        </w:trPr>
        <w:tc>
          <w:tcPr>
            <w:tcW w:w="2833"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bCs/>
                <w:kern w:val="2"/>
                <w:szCs w:val="24"/>
                <w:lang w:val="es-ES_tradnl" w:eastAsia="es-CO"/>
              </w:rPr>
            </w:pPr>
            <w:r w:rsidRPr="00FD14B5">
              <w:rPr>
                <w:rFonts w:ascii="Arial" w:hAnsi="Arial" w:cs="Arial"/>
                <w:szCs w:val="24"/>
                <w:lang w:eastAsia="es-CO"/>
              </w:rPr>
              <w:t>Total</w:t>
            </w:r>
          </w:p>
        </w:tc>
        <w:tc>
          <w:tcPr>
            <w:tcW w:w="2483"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FD14B5" w:rsidRPr="00FD14B5" w:rsidRDefault="00FD14B5" w:rsidP="00B85448">
            <w:pPr>
              <w:widowControl w:val="0"/>
              <w:suppressAutoHyphens/>
              <w:spacing w:line="276" w:lineRule="auto"/>
              <w:jc w:val="center"/>
              <w:rPr>
                <w:rFonts w:ascii="Arial" w:eastAsia="Arial Unicode MS" w:hAnsi="Arial" w:cs="Arial"/>
                <w:b/>
                <w:kern w:val="2"/>
                <w:szCs w:val="24"/>
                <w:lang w:val="es-ES_tradnl" w:eastAsia="es-CO"/>
              </w:rPr>
            </w:pPr>
            <w:r w:rsidRPr="00FD14B5">
              <w:rPr>
                <w:rFonts w:ascii="Arial" w:hAnsi="Arial" w:cs="Arial"/>
                <w:b/>
                <w:szCs w:val="24"/>
                <w:lang w:eastAsia="es-CO"/>
              </w:rPr>
              <w:t>$125.788</w:t>
            </w:r>
          </w:p>
        </w:tc>
      </w:tr>
    </w:tbl>
    <w:p w:rsidR="00FD14B5" w:rsidRPr="00FD14B5" w:rsidRDefault="00FD14B5" w:rsidP="00FD14B5">
      <w:pPr>
        <w:spacing w:line="276" w:lineRule="auto"/>
        <w:jc w:val="center"/>
        <w:rPr>
          <w:rFonts w:ascii="Arial" w:hAnsi="Arial" w:cs="Arial"/>
          <w:sz w:val="20"/>
          <w:szCs w:val="24"/>
        </w:rPr>
      </w:pPr>
      <w:r w:rsidRPr="00FD14B5">
        <w:rPr>
          <w:rFonts w:ascii="Arial" w:hAnsi="Arial" w:cs="Arial"/>
          <w:sz w:val="20"/>
          <w:szCs w:val="24"/>
        </w:rPr>
        <w:t>Fuente: Sistema financiero STONE.</w:t>
      </w:r>
    </w:p>
    <w:p w:rsidR="00FD14B5" w:rsidRDefault="00FD14B5" w:rsidP="00FD14B5">
      <w:pPr>
        <w:spacing w:line="276" w:lineRule="auto"/>
        <w:jc w:val="center"/>
        <w:rPr>
          <w:rFonts w:ascii="Arial" w:hAnsi="Arial" w:cs="Arial"/>
          <w:sz w:val="20"/>
          <w:szCs w:val="24"/>
        </w:rPr>
      </w:pPr>
    </w:p>
    <w:p w:rsidR="00C00F56" w:rsidRPr="00FD14B5" w:rsidRDefault="00C00F56" w:rsidP="00FD14B5">
      <w:pPr>
        <w:spacing w:line="276" w:lineRule="auto"/>
        <w:jc w:val="center"/>
        <w:rPr>
          <w:rFonts w:ascii="Arial" w:hAnsi="Arial" w:cs="Arial"/>
          <w:sz w:val="20"/>
          <w:szCs w:val="24"/>
        </w:rPr>
      </w:pPr>
    </w:p>
    <w:p w:rsidR="00FD14B5" w:rsidRPr="00AC355F" w:rsidRDefault="00FD14B5" w:rsidP="00D0183B">
      <w:pPr>
        <w:pStyle w:val="Ttulo4"/>
        <w:keepNext w:val="0"/>
        <w:keepLines w:val="0"/>
        <w:numPr>
          <w:ilvl w:val="3"/>
          <w:numId w:val="56"/>
        </w:numPr>
        <w:spacing w:before="0" w:line="276" w:lineRule="auto"/>
        <w:jc w:val="both"/>
        <w:rPr>
          <w:rFonts w:ascii="Arial" w:hAnsi="Arial" w:cs="Arial"/>
          <w:b/>
          <w:i w:val="0"/>
          <w:color w:val="auto"/>
        </w:rPr>
      </w:pPr>
      <w:bookmarkStart w:id="168" w:name="_Toc441480192"/>
      <w:bookmarkStart w:id="169" w:name="_Toc441478562"/>
      <w:r w:rsidRPr="00AC355F">
        <w:rPr>
          <w:rFonts w:ascii="Arial" w:hAnsi="Arial" w:cs="Arial"/>
          <w:b/>
          <w:i w:val="0"/>
          <w:color w:val="auto"/>
        </w:rPr>
        <w:t xml:space="preserve">Trámite y giro </w:t>
      </w:r>
      <w:r w:rsidR="00C00F56" w:rsidRPr="00AC355F">
        <w:rPr>
          <w:rFonts w:ascii="Arial" w:hAnsi="Arial" w:cs="Arial"/>
          <w:b/>
          <w:i w:val="0"/>
          <w:color w:val="auto"/>
        </w:rPr>
        <w:t>de las</w:t>
      </w:r>
      <w:r w:rsidRPr="00AC355F">
        <w:rPr>
          <w:rFonts w:ascii="Arial" w:hAnsi="Arial" w:cs="Arial"/>
          <w:b/>
          <w:i w:val="0"/>
          <w:color w:val="auto"/>
        </w:rPr>
        <w:t xml:space="preserve"> órdenes de pago</w:t>
      </w:r>
      <w:bookmarkEnd w:id="168"/>
      <w:bookmarkEnd w:id="169"/>
    </w:p>
    <w:p w:rsidR="00FD14B5" w:rsidRPr="00FD14B5" w:rsidRDefault="00FD14B5" w:rsidP="00FD14B5">
      <w:pPr>
        <w:spacing w:line="276" w:lineRule="auto"/>
        <w:rPr>
          <w:rFonts w:ascii="Arial" w:hAnsi="Arial" w:cs="Arial"/>
          <w:szCs w:val="24"/>
        </w:rPr>
      </w:pPr>
    </w:p>
    <w:p w:rsidR="00FD14B5" w:rsidRPr="00FD14B5" w:rsidRDefault="00FD14B5" w:rsidP="00C00F56">
      <w:pPr>
        <w:spacing w:line="276" w:lineRule="auto"/>
        <w:jc w:val="both"/>
        <w:rPr>
          <w:rFonts w:ascii="Arial" w:hAnsi="Arial" w:cs="Arial"/>
          <w:szCs w:val="24"/>
          <w:lang w:val="es-ES_tradnl" w:eastAsia="ar-SA"/>
        </w:rPr>
      </w:pPr>
      <w:r w:rsidRPr="00FD14B5">
        <w:rPr>
          <w:rFonts w:ascii="Arial" w:hAnsi="Arial" w:cs="Arial"/>
          <w:szCs w:val="24"/>
        </w:rPr>
        <w:t xml:space="preserve">La Subdirección Técnica de Tesorería y Recaudo realiza el trámite de la totalidad de los pagos del Instituto a través de las órdenes de pago remitidas por los diferentes ordenadores, los siguientes son los resultados obtenidos en cada una de las vigencias: </w:t>
      </w:r>
    </w:p>
    <w:p w:rsidR="00FD14B5" w:rsidRDefault="00FD14B5" w:rsidP="00C00F56">
      <w:pPr>
        <w:pStyle w:val="Prrafodelista"/>
        <w:numPr>
          <w:ilvl w:val="0"/>
          <w:numId w:val="29"/>
        </w:numPr>
        <w:spacing w:after="0" w:line="276" w:lineRule="auto"/>
        <w:ind w:left="567" w:hanging="283"/>
        <w:jc w:val="both"/>
        <w:rPr>
          <w:rFonts w:ascii="Arial" w:hAnsi="Arial" w:cs="Arial"/>
          <w:szCs w:val="24"/>
        </w:rPr>
      </w:pPr>
      <w:r w:rsidRPr="00FD14B5">
        <w:rPr>
          <w:rFonts w:ascii="Arial" w:hAnsi="Arial" w:cs="Arial"/>
          <w:szCs w:val="24"/>
        </w:rPr>
        <w:t xml:space="preserve">Al 31 de octubre de la vigencia de 2019 se giraron un total de 3.614 órdenes de pago, de las cuales 3.267 (90%) fueron giradas dentro del límite máximo de seis días hábiles y 347 (10%) órdenes de pago fuera del límite. </w:t>
      </w:r>
    </w:p>
    <w:p w:rsidR="008C70CC" w:rsidRDefault="008C70CC" w:rsidP="008C70CC">
      <w:pPr>
        <w:pStyle w:val="Prrafodelista"/>
        <w:spacing w:after="0" w:line="276" w:lineRule="auto"/>
        <w:ind w:left="567"/>
        <w:jc w:val="both"/>
        <w:rPr>
          <w:rFonts w:ascii="Arial" w:hAnsi="Arial" w:cs="Arial"/>
          <w:szCs w:val="24"/>
        </w:rPr>
      </w:pPr>
    </w:p>
    <w:p w:rsidR="00C00F56" w:rsidRDefault="00C00F56" w:rsidP="008C70CC">
      <w:pPr>
        <w:pStyle w:val="Prrafodelista"/>
        <w:spacing w:after="0" w:line="276" w:lineRule="auto"/>
        <w:ind w:left="567"/>
        <w:jc w:val="both"/>
        <w:rPr>
          <w:rFonts w:ascii="Arial" w:hAnsi="Arial" w:cs="Arial"/>
          <w:szCs w:val="24"/>
        </w:rPr>
      </w:pPr>
    </w:p>
    <w:p w:rsidR="00C00F56" w:rsidRDefault="00C00F56" w:rsidP="008C70CC">
      <w:pPr>
        <w:pStyle w:val="Prrafodelista"/>
        <w:spacing w:after="0" w:line="276" w:lineRule="auto"/>
        <w:ind w:left="567"/>
        <w:jc w:val="both"/>
        <w:rPr>
          <w:rFonts w:ascii="Arial" w:hAnsi="Arial" w:cs="Arial"/>
          <w:szCs w:val="24"/>
        </w:rPr>
      </w:pPr>
    </w:p>
    <w:p w:rsidR="00C00F56" w:rsidRDefault="00C00F56" w:rsidP="008C70CC">
      <w:pPr>
        <w:pStyle w:val="Prrafodelista"/>
        <w:spacing w:after="0" w:line="276" w:lineRule="auto"/>
        <w:ind w:left="567"/>
        <w:jc w:val="both"/>
        <w:rPr>
          <w:rFonts w:ascii="Arial" w:hAnsi="Arial" w:cs="Arial"/>
          <w:szCs w:val="24"/>
        </w:rPr>
      </w:pPr>
    </w:p>
    <w:p w:rsidR="00C00F56" w:rsidRDefault="00C00F56" w:rsidP="008C70CC">
      <w:pPr>
        <w:pStyle w:val="Prrafodelista"/>
        <w:spacing w:after="0" w:line="276" w:lineRule="auto"/>
        <w:ind w:left="567"/>
        <w:jc w:val="both"/>
        <w:rPr>
          <w:rFonts w:ascii="Arial" w:hAnsi="Arial" w:cs="Arial"/>
          <w:szCs w:val="24"/>
        </w:rPr>
      </w:pPr>
    </w:p>
    <w:p w:rsidR="00C00F56" w:rsidRPr="00FD14B5" w:rsidRDefault="00C00F56" w:rsidP="008C70CC">
      <w:pPr>
        <w:pStyle w:val="Prrafodelista"/>
        <w:spacing w:after="0" w:line="276" w:lineRule="auto"/>
        <w:ind w:left="567"/>
        <w:jc w:val="both"/>
        <w:rPr>
          <w:rFonts w:ascii="Arial" w:hAnsi="Arial" w:cs="Arial"/>
          <w:szCs w:val="24"/>
        </w:rPr>
      </w:pPr>
    </w:p>
    <w:p w:rsidR="00FD14B5" w:rsidRPr="00FD14B5" w:rsidRDefault="00FD14B5" w:rsidP="008C70CC">
      <w:pPr>
        <w:pStyle w:val="Descripcin"/>
        <w:spacing w:after="0"/>
        <w:ind w:firstLine="567"/>
        <w:rPr>
          <w:rFonts w:ascii="Arial" w:hAnsi="Arial" w:cs="Arial"/>
          <w:color w:val="auto"/>
          <w:szCs w:val="24"/>
        </w:rPr>
      </w:pPr>
      <w:bookmarkStart w:id="170" w:name="_Toc27665395"/>
      <w:r w:rsidRPr="00FD14B5">
        <w:rPr>
          <w:rFonts w:ascii="Arial" w:hAnsi="Arial" w:cs="Arial"/>
          <w:color w:val="auto"/>
          <w:szCs w:val="24"/>
        </w:rPr>
        <w:t>Órdenes de Pago giradas desde el 2016 hasta octubre de 2019.</w:t>
      </w:r>
      <w:bookmarkEnd w:id="170"/>
    </w:p>
    <w:tbl>
      <w:tblPr>
        <w:tblW w:w="8242" w:type="dxa"/>
        <w:jc w:val="center"/>
        <w:tblLook w:val="04A0" w:firstRow="1" w:lastRow="0" w:firstColumn="1" w:lastColumn="0" w:noHBand="0" w:noVBand="1"/>
      </w:tblPr>
      <w:tblGrid>
        <w:gridCol w:w="1777"/>
        <w:gridCol w:w="1542"/>
        <w:gridCol w:w="1539"/>
        <w:gridCol w:w="951"/>
        <w:gridCol w:w="1544"/>
        <w:gridCol w:w="889"/>
      </w:tblGrid>
      <w:tr w:rsidR="00FD14B5" w:rsidRPr="00FD14B5" w:rsidTr="00C00F56">
        <w:trPr>
          <w:trHeight w:val="113"/>
          <w:jc w:val="center"/>
        </w:trPr>
        <w:tc>
          <w:tcPr>
            <w:tcW w:w="1777"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_tradnl" w:eastAsia="ar-SA"/>
              </w:rPr>
            </w:pPr>
            <w:r w:rsidRPr="00FD14B5">
              <w:rPr>
                <w:rFonts w:ascii="Arial" w:hAnsi="Arial" w:cs="Arial"/>
                <w:b/>
                <w:sz w:val="18"/>
                <w:szCs w:val="24"/>
              </w:rPr>
              <w:t>Meses</w:t>
            </w:r>
          </w:p>
        </w:tc>
        <w:tc>
          <w:tcPr>
            <w:tcW w:w="1542"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B85448">
            <w:pPr>
              <w:widowControl w:val="0"/>
              <w:suppressAutoHyphens/>
              <w:spacing w:line="276" w:lineRule="auto"/>
              <w:jc w:val="center"/>
              <w:rPr>
                <w:rFonts w:ascii="Arial" w:eastAsia="Arial Unicode MS" w:hAnsi="Arial" w:cs="Arial"/>
                <w:b/>
                <w:kern w:val="2"/>
                <w:sz w:val="18"/>
                <w:szCs w:val="24"/>
                <w:lang w:val="es-ES_tradnl" w:eastAsia="ar-SA"/>
              </w:rPr>
            </w:pPr>
            <w:r w:rsidRPr="00FD14B5">
              <w:rPr>
                <w:rFonts w:ascii="Arial" w:hAnsi="Arial" w:cs="Arial"/>
                <w:b/>
                <w:sz w:val="18"/>
                <w:szCs w:val="24"/>
              </w:rPr>
              <w:t>Cuentas Tramitadas</w:t>
            </w:r>
          </w:p>
        </w:tc>
        <w:tc>
          <w:tcPr>
            <w:tcW w:w="2490" w:type="dxa"/>
            <w:gridSpan w:val="2"/>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B85448">
            <w:pPr>
              <w:widowControl w:val="0"/>
              <w:suppressAutoHyphens/>
              <w:spacing w:line="276" w:lineRule="auto"/>
              <w:jc w:val="center"/>
              <w:rPr>
                <w:rFonts w:ascii="Arial" w:eastAsia="Arial Unicode MS" w:hAnsi="Arial" w:cs="Arial"/>
                <w:b/>
                <w:kern w:val="2"/>
                <w:sz w:val="18"/>
                <w:szCs w:val="24"/>
                <w:lang w:val="es-ES_tradnl" w:eastAsia="ar-SA"/>
              </w:rPr>
            </w:pPr>
            <w:r w:rsidRPr="00FD14B5">
              <w:rPr>
                <w:rFonts w:ascii="Arial" w:hAnsi="Arial" w:cs="Arial"/>
                <w:b/>
                <w:bCs/>
                <w:sz w:val="18"/>
                <w:szCs w:val="24"/>
              </w:rPr>
              <w:t>Cuentas tramitadas en &lt;=6 días</w:t>
            </w:r>
          </w:p>
        </w:tc>
        <w:tc>
          <w:tcPr>
            <w:tcW w:w="2433" w:type="dxa"/>
            <w:gridSpan w:val="2"/>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B85448">
            <w:pPr>
              <w:widowControl w:val="0"/>
              <w:suppressAutoHyphens/>
              <w:spacing w:line="276" w:lineRule="auto"/>
              <w:jc w:val="center"/>
              <w:rPr>
                <w:rFonts w:ascii="Arial" w:eastAsia="Arial Unicode MS" w:hAnsi="Arial" w:cs="Arial"/>
                <w:b/>
                <w:kern w:val="2"/>
                <w:sz w:val="18"/>
                <w:szCs w:val="24"/>
                <w:lang w:val="es-ES_tradnl" w:eastAsia="ar-SA"/>
              </w:rPr>
            </w:pPr>
            <w:r w:rsidRPr="00FD14B5">
              <w:rPr>
                <w:rFonts w:ascii="Arial" w:hAnsi="Arial" w:cs="Arial"/>
                <w:b/>
                <w:bCs/>
                <w:sz w:val="18"/>
                <w:szCs w:val="24"/>
              </w:rPr>
              <w:t>Cuentas tramitadas en &gt;6 días</w:t>
            </w:r>
          </w:p>
        </w:tc>
      </w:tr>
      <w:tr w:rsidR="00FD14B5" w:rsidRPr="00FD14B5" w:rsidTr="00C00F56">
        <w:trPr>
          <w:trHeight w:val="113"/>
          <w:jc w:val="center"/>
        </w:trPr>
        <w:tc>
          <w:tcPr>
            <w:tcW w:w="0" w:type="auto"/>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B85448">
            <w:pPr>
              <w:spacing w:line="276" w:lineRule="auto"/>
              <w:rPr>
                <w:rFonts w:ascii="Arial" w:eastAsia="Arial Unicode MS" w:hAnsi="Arial" w:cs="Arial"/>
                <w:kern w:val="2"/>
                <w:sz w:val="18"/>
                <w:szCs w:val="24"/>
                <w:lang w:val="es-ES_tradnl" w:eastAsia="ar-SA"/>
              </w:rPr>
            </w:pPr>
          </w:p>
        </w:tc>
        <w:tc>
          <w:tcPr>
            <w:tcW w:w="0" w:type="auto"/>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B85448">
            <w:pPr>
              <w:spacing w:line="276" w:lineRule="auto"/>
              <w:rPr>
                <w:rFonts w:ascii="Arial" w:eastAsia="Arial Unicode MS" w:hAnsi="Arial" w:cs="Arial"/>
                <w:b/>
                <w:kern w:val="2"/>
                <w:sz w:val="18"/>
                <w:szCs w:val="24"/>
                <w:lang w:val="es-ES_tradnl" w:eastAsia="ar-SA"/>
              </w:rPr>
            </w:pPr>
          </w:p>
        </w:tc>
        <w:tc>
          <w:tcPr>
            <w:tcW w:w="153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B85448">
            <w:pPr>
              <w:widowControl w:val="0"/>
              <w:suppressAutoHyphens/>
              <w:spacing w:line="276" w:lineRule="auto"/>
              <w:jc w:val="center"/>
              <w:rPr>
                <w:rFonts w:ascii="Arial" w:eastAsia="Arial Unicode MS" w:hAnsi="Arial" w:cs="Arial"/>
                <w:b/>
                <w:bCs/>
                <w:kern w:val="2"/>
                <w:sz w:val="18"/>
                <w:szCs w:val="24"/>
                <w:lang w:val="es-ES_tradnl" w:eastAsia="ar-SA"/>
              </w:rPr>
            </w:pPr>
            <w:r w:rsidRPr="00FD14B5">
              <w:rPr>
                <w:rFonts w:ascii="Arial" w:hAnsi="Arial" w:cs="Arial"/>
                <w:b/>
                <w:bCs/>
                <w:sz w:val="18"/>
                <w:szCs w:val="24"/>
              </w:rPr>
              <w:t>Cantidad</w:t>
            </w:r>
          </w:p>
        </w:tc>
        <w:tc>
          <w:tcPr>
            <w:tcW w:w="951"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B85448">
            <w:pPr>
              <w:widowControl w:val="0"/>
              <w:suppressAutoHyphens/>
              <w:spacing w:line="276" w:lineRule="auto"/>
              <w:jc w:val="center"/>
              <w:rPr>
                <w:rFonts w:ascii="Arial" w:eastAsia="Arial Unicode MS" w:hAnsi="Arial" w:cs="Arial"/>
                <w:b/>
                <w:bCs/>
                <w:kern w:val="2"/>
                <w:sz w:val="18"/>
                <w:szCs w:val="24"/>
                <w:lang w:val="es-ES_tradnl" w:eastAsia="ar-SA"/>
              </w:rPr>
            </w:pPr>
            <w:r w:rsidRPr="00FD14B5">
              <w:rPr>
                <w:rFonts w:ascii="Arial" w:hAnsi="Arial" w:cs="Arial"/>
                <w:b/>
                <w:bCs/>
                <w:sz w:val="18"/>
                <w:szCs w:val="24"/>
              </w:rPr>
              <w:t>%</w:t>
            </w:r>
          </w:p>
        </w:tc>
        <w:tc>
          <w:tcPr>
            <w:tcW w:w="154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B85448">
            <w:pPr>
              <w:widowControl w:val="0"/>
              <w:suppressAutoHyphens/>
              <w:spacing w:line="276" w:lineRule="auto"/>
              <w:jc w:val="center"/>
              <w:rPr>
                <w:rFonts w:ascii="Arial" w:eastAsia="Arial Unicode MS" w:hAnsi="Arial" w:cs="Arial"/>
                <w:b/>
                <w:bCs/>
                <w:kern w:val="2"/>
                <w:sz w:val="18"/>
                <w:szCs w:val="24"/>
                <w:lang w:val="es-ES_tradnl" w:eastAsia="ar-SA"/>
              </w:rPr>
            </w:pPr>
            <w:r w:rsidRPr="00FD14B5">
              <w:rPr>
                <w:rFonts w:ascii="Arial" w:hAnsi="Arial" w:cs="Arial"/>
                <w:b/>
                <w:bCs/>
                <w:sz w:val="18"/>
                <w:szCs w:val="24"/>
              </w:rPr>
              <w:t>Cantidad</w:t>
            </w:r>
          </w:p>
        </w:tc>
        <w:tc>
          <w:tcPr>
            <w:tcW w:w="88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B85448">
            <w:pPr>
              <w:widowControl w:val="0"/>
              <w:suppressAutoHyphens/>
              <w:spacing w:line="276" w:lineRule="auto"/>
              <w:jc w:val="center"/>
              <w:rPr>
                <w:rFonts w:ascii="Arial" w:eastAsia="Arial Unicode MS" w:hAnsi="Arial" w:cs="Arial"/>
                <w:b/>
                <w:bCs/>
                <w:kern w:val="2"/>
                <w:sz w:val="18"/>
                <w:szCs w:val="24"/>
                <w:lang w:val="es-ES_tradnl" w:eastAsia="ar-SA"/>
              </w:rPr>
            </w:pPr>
            <w:r w:rsidRPr="00FD14B5">
              <w:rPr>
                <w:rFonts w:ascii="Arial" w:hAnsi="Arial" w:cs="Arial"/>
                <w:b/>
                <w:bCs/>
                <w:sz w:val="18"/>
                <w:szCs w:val="24"/>
              </w:rPr>
              <w:t>%</w:t>
            </w:r>
          </w:p>
        </w:tc>
      </w:tr>
      <w:tr w:rsidR="00FD14B5" w:rsidRPr="00FD14B5" w:rsidTr="00C00F56">
        <w:trPr>
          <w:trHeight w:val="113"/>
          <w:jc w:val="center"/>
        </w:trPr>
        <w:tc>
          <w:tcPr>
            <w:tcW w:w="1777" w:type="dxa"/>
            <w:tcBorders>
              <w:top w:val="single" w:sz="4" w:space="0" w:color="auto"/>
              <w:left w:val="single" w:sz="4" w:space="0" w:color="auto"/>
              <w:bottom w:val="single" w:sz="4" w:space="0" w:color="auto"/>
              <w:right w:val="single" w:sz="4" w:space="0" w:color="auto"/>
            </w:tcBorders>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_tradnl" w:eastAsia="ar-SA"/>
              </w:rPr>
            </w:pPr>
            <w:r w:rsidRPr="00FD14B5">
              <w:rPr>
                <w:rFonts w:ascii="Arial" w:hAnsi="Arial" w:cs="Arial"/>
                <w:sz w:val="18"/>
                <w:szCs w:val="24"/>
              </w:rPr>
              <w:t>2016</w:t>
            </w:r>
          </w:p>
        </w:tc>
        <w:tc>
          <w:tcPr>
            <w:tcW w:w="1542" w:type="dxa"/>
            <w:tcBorders>
              <w:top w:val="single" w:sz="4" w:space="0" w:color="auto"/>
              <w:left w:val="single" w:sz="4" w:space="0" w:color="auto"/>
              <w:bottom w:val="single" w:sz="4" w:space="0" w:color="auto"/>
              <w:right w:val="single" w:sz="4" w:space="0" w:color="auto"/>
            </w:tcBorders>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_tradnl" w:eastAsia="ar-SA"/>
              </w:rPr>
            </w:pPr>
            <w:r w:rsidRPr="00FD14B5">
              <w:rPr>
                <w:rFonts w:ascii="Arial" w:hAnsi="Arial" w:cs="Arial"/>
                <w:sz w:val="18"/>
                <w:szCs w:val="24"/>
              </w:rPr>
              <w:t>3.787</w:t>
            </w:r>
          </w:p>
        </w:tc>
        <w:tc>
          <w:tcPr>
            <w:tcW w:w="1539" w:type="dxa"/>
            <w:tcBorders>
              <w:top w:val="single" w:sz="4" w:space="0" w:color="auto"/>
              <w:left w:val="single" w:sz="4" w:space="0" w:color="auto"/>
              <w:bottom w:val="single" w:sz="4" w:space="0" w:color="auto"/>
              <w:right w:val="single" w:sz="4" w:space="0" w:color="auto"/>
            </w:tcBorders>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_tradnl" w:eastAsia="ar-SA"/>
              </w:rPr>
            </w:pPr>
            <w:r w:rsidRPr="00FD14B5">
              <w:rPr>
                <w:rFonts w:ascii="Arial" w:hAnsi="Arial" w:cs="Arial"/>
                <w:sz w:val="18"/>
                <w:szCs w:val="24"/>
              </w:rPr>
              <w:t>3.527</w:t>
            </w:r>
          </w:p>
        </w:tc>
        <w:tc>
          <w:tcPr>
            <w:tcW w:w="951" w:type="dxa"/>
            <w:tcBorders>
              <w:top w:val="single" w:sz="4" w:space="0" w:color="auto"/>
              <w:left w:val="single" w:sz="4" w:space="0" w:color="auto"/>
              <w:bottom w:val="single" w:sz="4" w:space="0" w:color="auto"/>
              <w:right w:val="single" w:sz="4" w:space="0" w:color="auto"/>
            </w:tcBorders>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_tradnl" w:eastAsia="ar-SA"/>
              </w:rPr>
            </w:pPr>
            <w:r w:rsidRPr="00FD14B5">
              <w:rPr>
                <w:rFonts w:ascii="Arial" w:hAnsi="Arial" w:cs="Arial"/>
                <w:sz w:val="18"/>
                <w:szCs w:val="24"/>
              </w:rPr>
              <w:t>93%</w:t>
            </w:r>
          </w:p>
        </w:tc>
        <w:tc>
          <w:tcPr>
            <w:tcW w:w="1544" w:type="dxa"/>
            <w:tcBorders>
              <w:top w:val="single" w:sz="4" w:space="0" w:color="auto"/>
              <w:left w:val="single" w:sz="4" w:space="0" w:color="auto"/>
              <w:bottom w:val="single" w:sz="4" w:space="0" w:color="auto"/>
              <w:right w:val="single" w:sz="4" w:space="0" w:color="auto"/>
            </w:tcBorders>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_tradnl" w:eastAsia="ar-SA"/>
              </w:rPr>
            </w:pPr>
            <w:r w:rsidRPr="00FD14B5">
              <w:rPr>
                <w:rFonts w:ascii="Arial" w:hAnsi="Arial" w:cs="Arial"/>
                <w:sz w:val="18"/>
                <w:szCs w:val="24"/>
              </w:rPr>
              <w:t>260</w:t>
            </w:r>
          </w:p>
        </w:tc>
        <w:tc>
          <w:tcPr>
            <w:tcW w:w="889" w:type="dxa"/>
            <w:tcBorders>
              <w:top w:val="single" w:sz="4" w:space="0" w:color="auto"/>
              <w:left w:val="single" w:sz="4" w:space="0" w:color="auto"/>
              <w:bottom w:val="single" w:sz="4" w:space="0" w:color="auto"/>
              <w:right w:val="single" w:sz="4" w:space="0" w:color="auto"/>
            </w:tcBorders>
            <w:vAlign w:val="center"/>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_tradnl" w:eastAsia="ar-SA"/>
              </w:rPr>
            </w:pPr>
            <w:r w:rsidRPr="00FD14B5">
              <w:rPr>
                <w:rFonts w:ascii="Arial" w:hAnsi="Arial" w:cs="Arial"/>
                <w:sz w:val="18"/>
                <w:szCs w:val="24"/>
              </w:rPr>
              <w:t>7%</w:t>
            </w:r>
          </w:p>
        </w:tc>
      </w:tr>
      <w:tr w:rsidR="00FD14B5" w:rsidRPr="00FD14B5" w:rsidTr="00C00F56">
        <w:trPr>
          <w:trHeight w:val="113"/>
          <w:jc w:val="center"/>
        </w:trPr>
        <w:tc>
          <w:tcPr>
            <w:tcW w:w="1777" w:type="dxa"/>
            <w:tcBorders>
              <w:top w:val="single" w:sz="4" w:space="0" w:color="auto"/>
              <w:left w:val="single" w:sz="4" w:space="0" w:color="auto"/>
              <w:bottom w:val="single" w:sz="4" w:space="0" w:color="auto"/>
              <w:right w:val="single" w:sz="4" w:space="0" w:color="auto"/>
            </w:tcBorders>
            <w:noWrap/>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 w:eastAsia="es-ES"/>
              </w:rPr>
            </w:pPr>
            <w:r w:rsidRPr="00FD14B5">
              <w:rPr>
                <w:rFonts w:ascii="Arial" w:hAnsi="Arial" w:cs="Arial"/>
                <w:sz w:val="18"/>
                <w:szCs w:val="24"/>
                <w:lang w:val="es-ES" w:eastAsia="es-ES"/>
              </w:rPr>
              <w:t>2017</w:t>
            </w:r>
          </w:p>
        </w:tc>
        <w:tc>
          <w:tcPr>
            <w:tcW w:w="1542" w:type="dxa"/>
            <w:tcBorders>
              <w:top w:val="single" w:sz="4" w:space="0" w:color="auto"/>
              <w:left w:val="single" w:sz="4" w:space="0" w:color="auto"/>
              <w:bottom w:val="single" w:sz="4" w:space="0" w:color="auto"/>
              <w:right w:val="single" w:sz="4" w:space="0" w:color="auto"/>
            </w:tcBorders>
            <w:noWrap/>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 w:eastAsia="es-ES"/>
              </w:rPr>
            </w:pPr>
            <w:r w:rsidRPr="00FD14B5">
              <w:rPr>
                <w:rFonts w:ascii="Arial" w:hAnsi="Arial" w:cs="Arial"/>
                <w:sz w:val="18"/>
                <w:szCs w:val="24"/>
                <w:lang w:val="es-ES" w:eastAsia="es-ES"/>
              </w:rPr>
              <w:t>3.021</w:t>
            </w:r>
          </w:p>
        </w:tc>
        <w:tc>
          <w:tcPr>
            <w:tcW w:w="1539" w:type="dxa"/>
            <w:tcBorders>
              <w:top w:val="single" w:sz="4" w:space="0" w:color="auto"/>
              <w:left w:val="single" w:sz="4" w:space="0" w:color="auto"/>
              <w:bottom w:val="single" w:sz="4" w:space="0" w:color="auto"/>
              <w:right w:val="single" w:sz="4" w:space="0" w:color="auto"/>
            </w:tcBorders>
            <w:noWrap/>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 w:eastAsia="es-ES"/>
              </w:rPr>
            </w:pPr>
            <w:r w:rsidRPr="00FD14B5">
              <w:rPr>
                <w:rFonts w:ascii="Arial" w:hAnsi="Arial" w:cs="Arial"/>
                <w:sz w:val="18"/>
                <w:szCs w:val="24"/>
                <w:lang w:val="es-ES" w:eastAsia="es-ES"/>
              </w:rPr>
              <w:t>2.791</w:t>
            </w:r>
          </w:p>
        </w:tc>
        <w:tc>
          <w:tcPr>
            <w:tcW w:w="951" w:type="dxa"/>
            <w:tcBorders>
              <w:top w:val="single" w:sz="4" w:space="0" w:color="auto"/>
              <w:left w:val="single" w:sz="4" w:space="0" w:color="auto"/>
              <w:bottom w:val="single" w:sz="4" w:space="0" w:color="auto"/>
              <w:right w:val="single" w:sz="4" w:space="0" w:color="auto"/>
            </w:tcBorders>
            <w:noWrap/>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 w:eastAsia="es-ES"/>
              </w:rPr>
            </w:pPr>
            <w:r w:rsidRPr="00FD14B5">
              <w:rPr>
                <w:rFonts w:ascii="Arial" w:hAnsi="Arial" w:cs="Arial"/>
                <w:sz w:val="18"/>
                <w:szCs w:val="24"/>
                <w:lang w:val="es-ES" w:eastAsia="es-ES"/>
              </w:rPr>
              <w:t>92%</w:t>
            </w:r>
          </w:p>
        </w:tc>
        <w:tc>
          <w:tcPr>
            <w:tcW w:w="1544" w:type="dxa"/>
            <w:tcBorders>
              <w:top w:val="single" w:sz="4" w:space="0" w:color="auto"/>
              <w:left w:val="single" w:sz="4" w:space="0" w:color="auto"/>
              <w:bottom w:val="single" w:sz="4" w:space="0" w:color="auto"/>
              <w:right w:val="single" w:sz="4" w:space="0" w:color="auto"/>
            </w:tcBorders>
            <w:noWrap/>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 w:eastAsia="es-ES"/>
              </w:rPr>
            </w:pPr>
            <w:r w:rsidRPr="00FD14B5">
              <w:rPr>
                <w:rFonts w:ascii="Arial" w:hAnsi="Arial" w:cs="Arial"/>
                <w:sz w:val="18"/>
                <w:szCs w:val="24"/>
                <w:lang w:val="es-ES" w:eastAsia="es-ES"/>
              </w:rPr>
              <w:t>230</w:t>
            </w:r>
          </w:p>
        </w:tc>
        <w:tc>
          <w:tcPr>
            <w:tcW w:w="889" w:type="dxa"/>
            <w:tcBorders>
              <w:top w:val="single" w:sz="4" w:space="0" w:color="auto"/>
              <w:left w:val="single" w:sz="4" w:space="0" w:color="auto"/>
              <w:bottom w:val="single" w:sz="4" w:space="0" w:color="auto"/>
              <w:right w:val="single" w:sz="4" w:space="0" w:color="auto"/>
            </w:tcBorders>
            <w:noWrap/>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 w:eastAsia="es-ES"/>
              </w:rPr>
            </w:pPr>
            <w:r w:rsidRPr="00FD14B5">
              <w:rPr>
                <w:rFonts w:ascii="Arial" w:hAnsi="Arial" w:cs="Arial"/>
                <w:sz w:val="18"/>
                <w:szCs w:val="24"/>
                <w:lang w:val="es-ES" w:eastAsia="es-ES"/>
              </w:rPr>
              <w:t>8%</w:t>
            </w:r>
          </w:p>
        </w:tc>
      </w:tr>
      <w:tr w:rsidR="00FD14B5" w:rsidRPr="00FD14B5" w:rsidTr="00C00F56">
        <w:trPr>
          <w:trHeight w:val="113"/>
          <w:jc w:val="center"/>
        </w:trPr>
        <w:tc>
          <w:tcPr>
            <w:tcW w:w="1777" w:type="dxa"/>
            <w:tcBorders>
              <w:top w:val="single" w:sz="4" w:space="0" w:color="auto"/>
              <w:left w:val="single" w:sz="4" w:space="0" w:color="auto"/>
              <w:bottom w:val="single" w:sz="4" w:space="0" w:color="auto"/>
              <w:right w:val="single" w:sz="4" w:space="0" w:color="auto"/>
            </w:tcBorders>
            <w:noWrap/>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_tradnl" w:eastAsia="ar-SA"/>
              </w:rPr>
            </w:pPr>
            <w:r w:rsidRPr="00FD14B5">
              <w:rPr>
                <w:rFonts w:ascii="Arial" w:hAnsi="Arial" w:cs="Arial"/>
                <w:sz w:val="18"/>
                <w:szCs w:val="24"/>
              </w:rPr>
              <w:t>2018</w:t>
            </w:r>
          </w:p>
        </w:tc>
        <w:tc>
          <w:tcPr>
            <w:tcW w:w="1542" w:type="dxa"/>
            <w:tcBorders>
              <w:top w:val="single" w:sz="4" w:space="0" w:color="auto"/>
              <w:left w:val="single" w:sz="4" w:space="0" w:color="auto"/>
              <w:bottom w:val="single" w:sz="4" w:space="0" w:color="auto"/>
              <w:right w:val="single" w:sz="4" w:space="0" w:color="auto"/>
            </w:tcBorders>
            <w:noWrap/>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_tradnl" w:eastAsia="ar-SA"/>
              </w:rPr>
            </w:pPr>
            <w:r w:rsidRPr="00FD14B5">
              <w:rPr>
                <w:rFonts w:ascii="Arial" w:hAnsi="Arial" w:cs="Arial"/>
                <w:sz w:val="18"/>
                <w:szCs w:val="24"/>
              </w:rPr>
              <w:t>3.647</w:t>
            </w:r>
          </w:p>
        </w:tc>
        <w:tc>
          <w:tcPr>
            <w:tcW w:w="1539" w:type="dxa"/>
            <w:tcBorders>
              <w:top w:val="single" w:sz="4" w:space="0" w:color="auto"/>
              <w:left w:val="single" w:sz="4" w:space="0" w:color="auto"/>
              <w:bottom w:val="single" w:sz="4" w:space="0" w:color="auto"/>
              <w:right w:val="single" w:sz="4" w:space="0" w:color="auto"/>
            </w:tcBorders>
            <w:noWrap/>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_tradnl" w:eastAsia="ar-SA"/>
              </w:rPr>
            </w:pPr>
            <w:r w:rsidRPr="00FD14B5">
              <w:rPr>
                <w:rFonts w:ascii="Arial" w:hAnsi="Arial" w:cs="Arial"/>
                <w:sz w:val="18"/>
                <w:szCs w:val="24"/>
              </w:rPr>
              <w:t>3.634</w:t>
            </w:r>
          </w:p>
        </w:tc>
        <w:tc>
          <w:tcPr>
            <w:tcW w:w="951" w:type="dxa"/>
            <w:tcBorders>
              <w:top w:val="single" w:sz="4" w:space="0" w:color="auto"/>
              <w:left w:val="single" w:sz="4" w:space="0" w:color="auto"/>
              <w:bottom w:val="single" w:sz="4" w:space="0" w:color="auto"/>
              <w:right w:val="single" w:sz="4" w:space="0" w:color="auto"/>
            </w:tcBorders>
            <w:noWrap/>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_tradnl" w:eastAsia="ar-SA"/>
              </w:rPr>
            </w:pPr>
            <w:r w:rsidRPr="00FD14B5">
              <w:rPr>
                <w:rFonts w:ascii="Arial" w:hAnsi="Arial" w:cs="Arial"/>
                <w:sz w:val="18"/>
                <w:szCs w:val="24"/>
              </w:rPr>
              <w:t>100%</w:t>
            </w:r>
          </w:p>
        </w:tc>
        <w:tc>
          <w:tcPr>
            <w:tcW w:w="1544" w:type="dxa"/>
            <w:tcBorders>
              <w:top w:val="single" w:sz="4" w:space="0" w:color="auto"/>
              <w:left w:val="single" w:sz="4" w:space="0" w:color="auto"/>
              <w:bottom w:val="single" w:sz="4" w:space="0" w:color="auto"/>
              <w:right w:val="single" w:sz="4" w:space="0" w:color="auto"/>
            </w:tcBorders>
            <w:noWrap/>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_tradnl" w:eastAsia="ar-SA"/>
              </w:rPr>
            </w:pPr>
            <w:r w:rsidRPr="00FD14B5">
              <w:rPr>
                <w:rFonts w:ascii="Arial" w:hAnsi="Arial" w:cs="Arial"/>
                <w:sz w:val="18"/>
                <w:szCs w:val="24"/>
              </w:rPr>
              <w:t>13</w:t>
            </w:r>
          </w:p>
        </w:tc>
        <w:tc>
          <w:tcPr>
            <w:tcW w:w="889" w:type="dxa"/>
            <w:tcBorders>
              <w:top w:val="single" w:sz="4" w:space="0" w:color="auto"/>
              <w:left w:val="single" w:sz="4" w:space="0" w:color="auto"/>
              <w:bottom w:val="single" w:sz="4" w:space="0" w:color="auto"/>
              <w:right w:val="single" w:sz="4" w:space="0" w:color="auto"/>
            </w:tcBorders>
            <w:noWrap/>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_tradnl" w:eastAsia="ar-SA"/>
              </w:rPr>
            </w:pPr>
            <w:r w:rsidRPr="00FD14B5">
              <w:rPr>
                <w:rFonts w:ascii="Arial" w:hAnsi="Arial" w:cs="Arial"/>
                <w:sz w:val="18"/>
                <w:szCs w:val="24"/>
              </w:rPr>
              <w:t>0%</w:t>
            </w:r>
          </w:p>
        </w:tc>
      </w:tr>
      <w:tr w:rsidR="00FD14B5" w:rsidRPr="00FD14B5" w:rsidTr="00C00F56">
        <w:trPr>
          <w:trHeight w:val="113"/>
          <w:jc w:val="center"/>
        </w:trPr>
        <w:tc>
          <w:tcPr>
            <w:tcW w:w="1777" w:type="dxa"/>
            <w:tcBorders>
              <w:top w:val="single" w:sz="4" w:space="0" w:color="auto"/>
              <w:left w:val="single" w:sz="4" w:space="0" w:color="auto"/>
              <w:bottom w:val="single" w:sz="4" w:space="0" w:color="auto"/>
              <w:right w:val="single" w:sz="4" w:space="0" w:color="auto"/>
            </w:tcBorders>
            <w:noWrap/>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_tradnl" w:eastAsia="ar-SA"/>
              </w:rPr>
            </w:pPr>
            <w:r w:rsidRPr="00FD14B5">
              <w:rPr>
                <w:rFonts w:ascii="Arial" w:hAnsi="Arial" w:cs="Arial"/>
                <w:sz w:val="18"/>
                <w:szCs w:val="24"/>
              </w:rPr>
              <w:t>2019 Oct</w:t>
            </w:r>
          </w:p>
        </w:tc>
        <w:tc>
          <w:tcPr>
            <w:tcW w:w="1542" w:type="dxa"/>
            <w:tcBorders>
              <w:top w:val="single" w:sz="4" w:space="0" w:color="auto"/>
              <w:left w:val="single" w:sz="4" w:space="0" w:color="auto"/>
              <w:bottom w:val="single" w:sz="4" w:space="0" w:color="auto"/>
              <w:right w:val="single" w:sz="4" w:space="0" w:color="auto"/>
            </w:tcBorders>
            <w:noWrap/>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_tradnl" w:eastAsia="ar-SA"/>
              </w:rPr>
            </w:pPr>
            <w:r w:rsidRPr="00FD14B5">
              <w:rPr>
                <w:rFonts w:ascii="Arial" w:hAnsi="Arial" w:cs="Arial"/>
                <w:sz w:val="18"/>
                <w:szCs w:val="24"/>
              </w:rPr>
              <w:t>3.614</w:t>
            </w:r>
          </w:p>
        </w:tc>
        <w:tc>
          <w:tcPr>
            <w:tcW w:w="1539" w:type="dxa"/>
            <w:tcBorders>
              <w:top w:val="single" w:sz="4" w:space="0" w:color="auto"/>
              <w:left w:val="single" w:sz="4" w:space="0" w:color="auto"/>
              <w:bottom w:val="single" w:sz="4" w:space="0" w:color="auto"/>
              <w:right w:val="single" w:sz="4" w:space="0" w:color="auto"/>
            </w:tcBorders>
            <w:noWrap/>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_tradnl" w:eastAsia="ar-SA"/>
              </w:rPr>
            </w:pPr>
            <w:r w:rsidRPr="00FD14B5">
              <w:rPr>
                <w:rFonts w:ascii="Arial" w:hAnsi="Arial" w:cs="Arial"/>
                <w:sz w:val="18"/>
                <w:szCs w:val="24"/>
              </w:rPr>
              <w:t>3.267</w:t>
            </w:r>
          </w:p>
        </w:tc>
        <w:tc>
          <w:tcPr>
            <w:tcW w:w="951" w:type="dxa"/>
            <w:tcBorders>
              <w:top w:val="single" w:sz="4" w:space="0" w:color="auto"/>
              <w:left w:val="single" w:sz="4" w:space="0" w:color="auto"/>
              <w:bottom w:val="single" w:sz="4" w:space="0" w:color="auto"/>
              <w:right w:val="single" w:sz="4" w:space="0" w:color="auto"/>
            </w:tcBorders>
            <w:noWrap/>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_tradnl" w:eastAsia="ar-SA"/>
              </w:rPr>
            </w:pPr>
            <w:r w:rsidRPr="00FD14B5">
              <w:rPr>
                <w:rFonts w:ascii="Arial" w:hAnsi="Arial" w:cs="Arial"/>
                <w:sz w:val="18"/>
                <w:szCs w:val="24"/>
              </w:rPr>
              <w:t>90%</w:t>
            </w:r>
          </w:p>
        </w:tc>
        <w:tc>
          <w:tcPr>
            <w:tcW w:w="1544" w:type="dxa"/>
            <w:tcBorders>
              <w:top w:val="single" w:sz="4" w:space="0" w:color="auto"/>
              <w:left w:val="single" w:sz="4" w:space="0" w:color="auto"/>
              <w:bottom w:val="single" w:sz="4" w:space="0" w:color="auto"/>
              <w:right w:val="single" w:sz="4" w:space="0" w:color="auto"/>
            </w:tcBorders>
            <w:noWrap/>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_tradnl" w:eastAsia="ar-SA"/>
              </w:rPr>
            </w:pPr>
            <w:r w:rsidRPr="00FD14B5">
              <w:rPr>
                <w:rFonts w:ascii="Arial" w:hAnsi="Arial" w:cs="Arial"/>
                <w:sz w:val="18"/>
                <w:szCs w:val="24"/>
              </w:rPr>
              <w:t>347</w:t>
            </w:r>
          </w:p>
        </w:tc>
        <w:tc>
          <w:tcPr>
            <w:tcW w:w="889" w:type="dxa"/>
            <w:tcBorders>
              <w:top w:val="single" w:sz="4" w:space="0" w:color="auto"/>
              <w:left w:val="single" w:sz="4" w:space="0" w:color="auto"/>
              <w:bottom w:val="single" w:sz="4" w:space="0" w:color="auto"/>
              <w:right w:val="single" w:sz="4" w:space="0" w:color="auto"/>
            </w:tcBorders>
            <w:noWrap/>
            <w:hideMark/>
          </w:tcPr>
          <w:p w:rsidR="00FD14B5" w:rsidRPr="00FD14B5" w:rsidRDefault="00FD14B5" w:rsidP="00B85448">
            <w:pPr>
              <w:widowControl w:val="0"/>
              <w:suppressAutoHyphens/>
              <w:spacing w:line="276" w:lineRule="auto"/>
              <w:jc w:val="center"/>
              <w:rPr>
                <w:rFonts w:ascii="Arial" w:eastAsia="Arial Unicode MS" w:hAnsi="Arial" w:cs="Arial"/>
                <w:kern w:val="2"/>
                <w:sz w:val="18"/>
                <w:szCs w:val="24"/>
                <w:lang w:val="es-ES_tradnl" w:eastAsia="ar-SA"/>
              </w:rPr>
            </w:pPr>
            <w:r w:rsidRPr="00FD14B5">
              <w:rPr>
                <w:rFonts w:ascii="Arial" w:hAnsi="Arial" w:cs="Arial"/>
                <w:sz w:val="18"/>
                <w:szCs w:val="24"/>
              </w:rPr>
              <w:t>10%</w:t>
            </w:r>
          </w:p>
        </w:tc>
      </w:tr>
    </w:tbl>
    <w:p w:rsidR="00FD14B5" w:rsidRPr="00FD14B5" w:rsidRDefault="00FD14B5" w:rsidP="00FD14B5">
      <w:pPr>
        <w:spacing w:line="276" w:lineRule="auto"/>
        <w:jc w:val="center"/>
        <w:rPr>
          <w:rFonts w:ascii="Arial" w:eastAsia="Arial Unicode MS" w:hAnsi="Arial" w:cs="Arial"/>
          <w:kern w:val="2"/>
          <w:sz w:val="20"/>
          <w:szCs w:val="24"/>
          <w:lang w:val="es-ES_tradnl" w:eastAsia="ar-SA"/>
        </w:rPr>
      </w:pPr>
      <w:r w:rsidRPr="00FD14B5">
        <w:rPr>
          <w:rFonts w:ascii="Arial" w:hAnsi="Arial" w:cs="Arial"/>
          <w:sz w:val="20"/>
          <w:szCs w:val="24"/>
        </w:rPr>
        <w:t>Fuente: Subdirección Técnica de Tesorería y Recaudo – IDU</w:t>
      </w:r>
    </w:p>
    <w:p w:rsidR="00FD14B5" w:rsidRPr="00FD14B5" w:rsidRDefault="00FD14B5" w:rsidP="00FD14B5">
      <w:pPr>
        <w:spacing w:line="276" w:lineRule="auto"/>
        <w:jc w:val="center"/>
        <w:rPr>
          <w:rFonts w:ascii="Arial" w:hAnsi="Arial" w:cs="Arial"/>
          <w:b/>
          <w:szCs w:val="24"/>
        </w:rPr>
      </w:pPr>
    </w:p>
    <w:p w:rsidR="00FD14B5" w:rsidRPr="00FD14B5" w:rsidRDefault="00FD14B5" w:rsidP="00FD14B5">
      <w:pPr>
        <w:spacing w:line="276" w:lineRule="auto"/>
        <w:rPr>
          <w:rFonts w:ascii="Arial" w:hAnsi="Arial" w:cs="Arial"/>
          <w:kern w:val="24"/>
          <w:szCs w:val="24"/>
          <w:lang w:eastAsia="es-CO"/>
        </w:rPr>
      </w:pPr>
      <w:r w:rsidRPr="00FD14B5">
        <w:rPr>
          <w:rFonts w:ascii="Arial" w:hAnsi="Arial" w:cs="Arial"/>
          <w:kern w:val="24"/>
          <w:szCs w:val="24"/>
          <w:lang w:eastAsia="es-CO"/>
        </w:rPr>
        <w:t>Es preciso señalar, que el Instituto ha cumplido con el pago de las obligaciones tributarias, según los cronogramas establecidos por las entidades encargas de la administración de los impuestos del orden nacional y distrital.</w:t>
      </w:r>
    </w:p>
    <w:p w:rsidR="00FD14B5" w:rsidRDefault="00FD14B5" w:rsidP="00FD14B5">
      <w:pPr>
        <w:spacing w:line="276" w:lineRule="auto"/>
        <w:jc w:val="center"/>
        <w:rPr>
          <w:rFonts w:ascii="Arial" w:hAnsi="Arial" w:cs="Arial"/>
          <w:b/>
          <w:szCs w:val="24"/>
        </w:rPr>
      </w:pPr>
    </w:p>
    <w:p w:rsidR="00C00F56" w:rsidRPr="00FD14B5" w:rsidRDefault="00C00F56" w:rsidP="00FD14B5">
      <w:pPr>
        <w:spacing w:line="276" w:lineRule="auto"/>
        <w:jc w:val="center"/>
        <w:rPr>
          <w:rFonts w:ascii="Arial" w:hAnsi="Arial" w:cs="Arial"/>
          <w:b/>
          <w:szCs w:val="24"/>
        </w:rPr>
      </w:pPr>
    </w:p>
    <w:p w:rsidR="00FD14B5" w:rsidRPr="00AC355F" w:rsidRDefault="00FD14B5" w:rsidP="00D0183B">
      <w:pPr>
        <w:pStyle w:val="Ttulo4"/>
        <w:keepNext w:val="0"/>
        <w:keepLines w:val="0"/>
        <w:numPr>
          <w:ilvl w:val="3"/>
          <w:numId w:val="56"/>
        </w:numPr>
        <w:spacing w:before="0" w:line="276" w:lineRule="auto"/>
        <w:jc w:val="both"/>
        <w:rPr>
          <w:rFonts w:ascii="Arial" w:hAnsi="Arial" w:cs="Arial"/>
          <w:b/>
          <w:i w:val="0"/>
          <w:color w:val="auto"/>
        </w:rPr>
      </w:pPr>
      <w:bookmarkStart w:id="171" w:name="_Toc441480193"/>
      <w:bookmarkStart w:id="172" w:name="_Toc441478563"/>
      <w:r w:rsidRPr="00AC355F">
        <w:rPr>
          <w:rFonts w:ascii="Arial" w:hAnsi="Arial" w:cs="Arial"/>
          <w:b/>
          <w:i w:val="0"/>
          <w:color w:val="auto"/>
        </w:rPr>
        <w:t>Portafolio de inversiones financieras</w:t>
      </w:r>
      <w:bookmarkEnd w:id="171"/>
      <w:bookmarkEnd w:id="172"/>
    </w:p>
    <w:p w:rsidR="00FD14B5" w:rsidRPr="00FD14B5" w:rsidRDefault="00FD14B5" w:rsidP="00FD14B5">
      <w:pPr>
        <w:pStyle w:val="Prrafodelista"/>
        <w:spacing w:line="276" w:lineRule="auto"/>
        <w:ind w:left="0"/>
        <w:rPr>
          <w:rFonts w:ascii="Arial" w:hAnsi="Arial" w:cs="Arial"/>
          <w:kern w:val="24"/>
          <w:szCs w:val="24"/>
          <w:lang w:eastAsia="es-CO"/>
        </w:rPr>
      </w:pPr>
    </w:p>
    <w:p w:rsidR="00FD14B5" w:rsidRPr="00FD14B5" w:rsidRDefault="00FD14B5" w:rsidP="00FD14B5">
      <w:pPr>
        <w:pStyle w:val="Prrafodelista"/>
        <w:spacing w:line="276" w:lineRule="auto"/>
        <w:ind w:left="0"/>
        <w:rPr>
          <w:rFonts w:ascii="Arial" w:hAnsi="Arial" w:cs="Arial"/>
          <w:kern w:val="24"/>
          <w:szCs w:val="24"/>
          <w:lang w:eastAsia="es-CO"/>
        </w:rPr>
      </w:pPr>
      <w:r w:rsidRPr="00FD14B5">
        <w:rPr>
          <w:rFonts w:ascii="Arial" w:hAnsi="Arial" w:cs="Arial"/>
          <w:kern w:val="24"/>
          <w:szCs w:val="24"/>
          <w:lang w:eastAsia="es-CO"/>
        </w:rPr>
        <w:t xml:space="preserve">El Instituto realiza los pagos de sus obligaciones a través de dos fuentes de recursos; recursos transferidos por la Secretaria de Hacienda y recursos administrados. Entre los recursos administrados se encuentra: valorización, convenios y recursos propios. </w:t>
      </w:r>
    </w:p>
    <w:p w:rsidR="00FD14B5" w:rsidRPr="00FD14B5" w:rsidRDefault="00FD14B5" w:rsidP="00FD14B5">
      <w:pPr>
        <w:pStyle w:val="Prrafodelista"/>
        <w:spacing w:line="276" w:lineRule="auto"/>
        <w:ind w:left="0"/>
        <w:rPr>
          <w:rFonts w:ascii="Arial" w:hAnsi="Arial" w:cs="Arial"/>
          <w:kern w:val="24"/>
          <w:szCs w:val="24"/>
          <w:lang w:eastAsia="es-CO"/>
        </w:rPr>
      </w:pPr>
    </w:p>
    <w:p w:rsidR="00FD14B5" w:rsidRPr="00FD14B5" w:rsidRDefault="00FD14B5" w:rsidP="00FD14B5">
      <w:pPr>
        <w:pStyle w:val="Prrafodelista"/>
        <w:spacing w:line="276" w:lineRule="auto"/>
        <w:ind w:left="0"/>
        <w:rPr>
          <w:rFonts w:ascii="Arial" w:hAnsi="Arial" w:cs="Arial"/>
          <w:kern w:val="24"/>
          <w:szCs w:val="24"/>
          <w:lang w:eastAsia="es-CO"/>
        </w:rPr>
      </w:pPr>
      <w:r w:rsidRPr="00FD14B5">
        <w:rPr>
          <w:rFonts w:ascii="Arial" w:hAnsi="Arial" w:cs="Arial"/>
          <w:kern w:val="24"/>
          <w:szCs w:val="24"/>
          <w:lang w:eastAsia="es-CO"/>
        </w:rPr>
        <w:t>Las siguientes gráficas muestran la composición del portafolio del Instituto de los recursos administrados, discriminado por: depósitos a la vista (saldos de cuentas corrientes y ahorros) e inversiones temporales (CDT´s), a</w:t>
      </w:r>
      <w:r w:rsidR="00AE0EB1">
        <w:rPr>
          <w:rFonts w:ascii="Arial" w:hAnsi="Arial" w:cs="Arial"/>
          <w:kern w:val="24"/>
          <w:szCs w:val="24"/>
          <w:lang w:eastAsia="es-CO"/>
        </w:rPr>
        <w:t xml:space="preserve"> diciembre 31</w:t>
      </w:r>
      <w:r w:rsidR="002A03B0">
        <w:rPr>
          <w:rFonts w:ascii="Arial" w:hAnsi="Arial" w:cs="Arial"/>
          <w:kern w:val="24"/>
          <w:szCs w:val="24"/>
          <w:lang w:eastAsia="es-CO"/>
        </w:rPr>
        <w:t xml:space="preserve"> de 2019</w:t>
      </w:r>
      <w:r w:rsidRPr="00FD14B5">
        <w:rPr>
          <w:rFonts w:ascii="Arial" w:hAnsi="Arial" w:cs="Arial"/>
          <w:kern w:val="24"/>
          <w:szCs w:val="24"/>
          <w:lang w:eastAsia="es-CO"/>
        </w:rPr>
        <w:t xml:space="preserve"> </w:t>
      </w:r>
      <w:r w:rsidRPr="00FD14B5">
        <w:rPr>
          <w:rFonts w:ascii="Arial" w:hAnsi="Arial" w:cs="Arial"/>
          <w:szCs w:val="24"/>
        </w:rPr>
        <w:t>(todas las cifras se presentan en millones de pesos):</w:t>
      </w:r>
    </w:p>
    <w:p w:rsidR="00FD14B5" w:rsidRPr="00FD14B5" w:rsidRDefault="00FD14B5" w:rsidP="00FD14B5">
      <w:pPr>
        <w:spacing w:line="276" w:lineRule="auto"/>
        <w:rPr>
          <w:rFonts w:ascii="Arial" w:eastAsia="Calibri" w:hAnsi="Arial" w:cs="Arial"/>
          <w:szCs w:val="24"/>
        </w:rPr>
      </w:pPr>
    </w:p>
    <w:p w:rsidR="00FD14B5" w:rsidRPr="00FD14B5" w:rsidRDefault="00FD14B5" w:rsidP="00FD14B5">
      <w:pPr>
        <w:pStyle w:val="Descripcin"/>
        <w:rPr>
          <w:rFonts w:ascii="Arial" w:hAnsi="Arial" w:cs="Arial"/>
          <w:color w:val="auto"/>
          <w:szCs w:val="24"/>
        </w:rPr>
      </w:pPr>
      <w:bookmarkStart w:id="173" w:name="_Toc27665780"/>
      <w:r w:rsidRPr="00FD14B5">
        <w:rPr>
          <w:rFonts w:ascii="Arial" w:hAnsi="Arial" w:cs="Arial"/>
          <w:color w:val="auto"/>
          <w:szCs w:val="24"/>
        </w:rPr>
        <w:t xml:space="preserve">Composición del portafolio a </w:t>
      </w:r>
      <w:r w:rsidR="007C1B71">
        <w:rPr>
          <w:rFonts w:ascii="Arial" w:hAnsi="Arial" w:cs="Arial"/>
          <w:color w:val="auto"/>
          <w:szCs w:val="24"/>
        </w:rPr>
        <w:t>DICIEMBRE</w:t>
      </w:r>
      <w:r w:rsidRPr="00FD14B5">
        <w:rPr>
          <w:rFonts w:ascii="Arial" w:hAnsi="Arial" w:cs="Arial"/>
          <w:color w:val="auto"/>
          <w:szCs w:val="24"/>
        </w:rPr>
        <w:t xml:space="preserve"> 3</w:t>
      </w:r>
      <w:r w:rsidR="00AE0EB1">
        <w:rPr>
          <w:rFonts w:ascii="Arial" w:hAnsi="Arial" w:cs="Arial"/>
          <w:color w:val="auto"/>
          <w:szCs w:val="24"/>
        </w:rPr>
        <w:t>1</w:t>
      </w:r>
      <w:r w:rsidRPr="00FD14B5">
        <w:rPr>
          <w:rFonts w:ascii="Arial" w:hAnsi="Arial" w:cs="Arial"/>
          <w:color w:val="auto"/>
          <w:szCs w:val="24"/>
        </w:rPr>
        <w:t xml:space="preserve"> de 2019.</w:t>
      </w:r>
      <w:bookmarkEnd w:id="173"/>
    </w:p>
    <w:p w:rsidR="00FD14B5" w:rsidRPr="00FD14B5" w:rsidRDefault="00FD14B5" w:rsidP="00FD14B5">
      <w:pPr>
        <w:spacing w:line="276" w:lineRule="auto"/>
        <w:jc w:val="center"/>
        <w:rPr>
          <w:rFonts w:ascii="Arial" w:hAnsi="Arial" w:cs="Arial"/>
          <w:szCs w:val="24"/>
          <w:lang w:val="es-ES" w:eastAsia="es-ES"/>
        </w:rPr>
      </w:pPr>
      <w:r w:rsidRPr="00FD14B5">
        <w:rPr>
          <w:rFonts w:ascii="Arial" w:hAnsi="Arial" w:cs="Arial"/>
          <w:noProof/>
          <w:szCs w:val="24"/>
          <w:lang w:eastAsia="es-CO"/>
        </w:rPr>
        <w:lastRenderedPageBreak/>
        <w:drawing>
          <wp:inline distT="0" distB="0" distL="0" distR="0" wp14:anchorId="29D908FE" wp14:editId="063AB186">
            <wp:extent cx="4609097" cy="3606445"/>
            <wp:effectExtent l="0" t="0" r="127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35228" cy="3626892"/>
                    </a:xfrm>
                    <a:prstGeom prst="rect">
                      <a:avLst/>
                    </a:prstGeom>
                    <a:noFill/>
                    <a:ln>
                      <a:noFill/>
                    </a:ln>
                  </pic:spPr>
                </pic:pic>
              </a:graphicData>
            </a:graphic>
          </wp:inline>
        </w:drawing>
      </w:r>
    </w:p>
    <w:p w:rsidR="00FD14B5" w:rsidRPr="00FD14B5" w:rsidRDefault="00FD14B5" w:rsidP="00FD14B5">
      <w:pPr>
        <w:pStyle w:val="Prrafodelista"/>
        <w:spacing w:line="276" w:lineRule="auto"/>
        <w:jc w:val="center"/>
        <w:rPr>
          <w:rFonts w:ascii="Arial" w:hAnsi="Arial" w:cs="Arial"/>
          <w:b/>
          <w:kern w:val="24"/>
          <w:sz w:val="20"/>
          <w:szCs w:val="24"/>
          <w:lang w:eastAsia="es-CO"/>
        </w:rPr>
      </w:pPr>
      <w:r w:rsidRPr="00FD14B5">
        <w:rPr>
          <w:rFonts w:ascii="Arial" w:hAnsi="Arial" w:cs="Arial"/>
          <w:b/>
          <w:kern w:val="24"/>
          <w:sz w:val="20"/>
          <w:szCs w:val="24"/>
          <w:lang w:eastAsia="es-CO"/>
        </w:rPr>
        <w:t xml:space="preserve">Total portafolio </w:t>
      </w:r>
      <w:r w:rsidRPr="00FD14B5">
        <w:rPr>
          <w:rFonts w:ascii="Arial" w:hAnsi="Arial" w:cs="Arial"/>
          <w:b/>
          <w:sz w:val="20"/>
          <w:szCs w:val="24"/>
          <w:lang w:eastAsia="es-CO"/>
        </w:rPr>
        <w:t>$918.559</w:t>
      </w:r>
      <w:r w:rsidRPr="00FD14B5">
        <w:rPr>
          <w:rFonts w:ascii="Arial" w:hAnsi="Arial" w:cs="Arial"/>
          <w:b/>
          <w:bCs/>
          <w:kern w:val="24"/>
          <w:sz w:val="20"/>
          <w:szCs w:val="24"/>
          <w:lang w:eastAsia="es-CO"/>
        </w:rPr>
        <w:t>5</w:t>
      </w:r>
      <w:r w:rsidRPr="00FD14B5">
        <w:rPr>
          <w:rFonts w:ascii="Arial" w:hAnsi="Arial" w:cs="Arial"/>
          <w:b/>
          <w:kern w:val="24"/>
          <w:sz w:val="20"/>
          <w:szCs w:val="24"/>
          <w:lang w:eastAsia="es-CO"/>
        </w:rPr>
        <w:t>millones</w:t>
      </w:r>
    </w:p>
    <w:p w:rsidR="00FD14B5" w:rsidRPr="00FD14B5" w:rsidRDefault="00FD14B5" w:rsidP="00FD14B5">
      <w:pPr>
        <w:pStyle w:val="Prrafodelista"/>
        <w:spacing w:line="276" w:lineRule="auto"/>
        <w:jc w:val="center"/>
        <w:rPr>
          <w:rFonts w:ascii="Arial" w:hAnsi="Arial" w:cs="Arial"/>
          <w:sz w:val="20"/>
          <w:szCs w:val="24"/>
        </w:rPr>
      </w:pPr>
      <w:r w:rsidRPr="00FD14B5">
        <w:rPr>
          <w:rFonts w:ascii="Arial" w:hAnsi="Arial" w:cs="Arial"/>
          <w:sz w:val="20"/>
          <w:szCs w:val="24"/>
        </w:rPr>
        <w:t>Nota: Valor nominal Inversiones en CTDs.</w:t>
      </w:r>
    </w:p>
    <w:p w:rsidR="00FD14B5" w:rsidRPr="00FD14B5" w:rsidRDefault="00FD14B5" w:rsidP="00FD14B5">
      <w:pPr>
        <w:pStyle w:val="Prrafodelista"/>
        <w:spacing w:line="276" w:lineRule="auto"/>
        <w:jc w:val="center"/>
        <w:rPr>
          <w:rFonts w:ascii="Arial" w:hAnsi="Arial" w:cs="Arial"/>
          <w:sz w:val="20"/>
          <w:szCs w:val="24"/>
        </w:rPr>
      </w:pPr>
      <w:r w:rsidRPr="00FD14B5">
        <w:rPr>
          <w:rFonts w:ascii="Arial" w:hAnsi="Arial" w:cs="Arial"/>
          <w:sz w:val="20"/>
          <w:szCs w:val="24"/>
        </w:rPr>
        <w:t>Fuente: Saldos sistema financiero STONE.</w:t>
      </w:r>
    </w:p>
    <w:p w:rsidR="00FD14B5" w:rsidRPr="00FD14B5" w:rsidRDefault="00FD14B5" w:rsidP="00FD14B5">
      <w:pPr>
        <w:spacing w:line="276" w:lineRule="auto"/>
        <w:rPr>
          <w:rFonts w:ascii="Arial" w:eastAsia="Calibri" w:hAnsi="Arial" w:cs="Arial"/>
          <w:szCs w:val="24"/>
        </w:rPr>
      </w:pPr>
    </w:p>
    <w:p w:rsidR="00FD14B5" w:rsidRPr="00FD14B5" w:rsidRDefault="00FD14B5" w:rsidP="00FD14B5">
      <w:pPr>
        <w:spacing w:line="276" w:lineRule="auto"/>
        <w:rPr>
          <w:rFonts w:ascii="Arial" w:eastAsia="Calibri" w:hAnsi="Arial" w:cs="Arial"/>
          <w:szCs w:val="24"/>
          <w:lang w:val="es-ES_tradnl"/>
        </w:rPr>
      </w:pPr>
      <w:r w:rsidRPr="00FD14B5">
        <w:rPr>
          <w:rFonts w:ascii="Arial" w:eastAsia="Calibri" w:hAnsi="Arial" w:cs="Arial"/>
          <w:szCs w:val="24"/>
        </w:rPr>
        <w:t>Al 3</w:t>
      </w:r>
      <w:r w:rsidR="00AE0EB1">
        <w:rPr>
          <w:rFonts w:ascii="Arial" w:eastAsia="Calibri" w:hAnsi="Arial" w:cs="Arial"/>
          <w:szCs w:val="24"/>
        </w:rPr>
        <w:t>1</w:t>
      </w:r>
      <w:r w:rsidRPr="00FD14B5">
        <w:rPr>
          <w:rFonts w:ascii="Arial" w:eastAsia="Calibri" w:hAnsi="Arial" w:cs="Arial"/>
          <w:szCs w:val="24"/>
        </w:rPr>
        <w:t xml:space="preserve"> de </w:t>
      </w:r>
      <w:r w:rsidR="007C1B71">
        <w:rPr>
          <w:rFonts w:ascii="Arial" w:eastAsia="Calibri" w:hAnsi="Arial" w:cs="Arial"/>
          <w:szCs w:val="24"/>
        </w:rPr>
        <w:t>DICIEMBRE</w:t>
      </w:r>
      <w:r w:rsidRPr="00FD14B5">
        <w:rPr>
          <w:rFonts w:ascii="Arial" w:eastAsia="Calibri" w:hAnsi="Arial" w:cs="Arial"/>
          <w:szCs w:val="24"/>
        </w:rPr>
        <w:t xml:space="preserve"> de 2019 el total del portafolio del Instituto ascendió a $918.559 millones, de los cuales el 86% se concentró en inversiones en CDTs y el 14% en cuentas de ahorro y corrientes. Lo recursos depositados en cuentas corrientes corresponden al recaudo de valorización, el cual debe mantenerse en cuentas corrientes por un número de días de reciprocidad de acuerdo con los convenios de recaudo vigentes con las entidades financieras.</w:t>
      </w:r>
    </w:p>
    <w:p w:rsidR="00FD14B5" w:rsidRDefault="00FD14B5" w:rsidP="00FD14B5">
      <w:pPr>
        <w:spacing w:line="276" w:lineRule="auto"/>
        <w:rPr>
          <w:rFonts w:ascii="Arial" w:eastAsia="Calibri" w:hAnsi="Arial" w:cs="Arial"/>
          <w:szCs w:val="24"/>
        </w:rPr>
      </w:pPr>
    </w:p>
    <w:p w:rsidR="00C00F56" w:rsidRPr="00FD14B5" w:rsidRDefault="00C00F56" w:rsidP="00FD14B5">
      <w:pPr>
        <w:spacing w:line="276" w:lineRule="auto"/>
        <w:rPr>
          <w:rFonts w:ascii="Arial" w:eastAsia="Calibri" w:hAnsi="Arial" w:cs="Arial"/>
          <w:szCs w:val="24"/>
        </w:rPr>
      </w:pPr>
    </w:p>
    <w:p w:rsidR="00FD14B5" w:rsidRPr="00AC355F" w:rsidRDefault="00FD14B5" w:rsidP="00D0183B">
      <w:pPr>
        <w:pStyle w:val="Ttulo4"/>
        <w:keepNext w:val="0"/>
        <w:keepLines w:val="0"/>
        <w:numPr>
          <w:ilvl w:val="3"/>
          <w:numId w:val="56"/>
        </w:numPr>
        <w:spacing w:before="0" w:line="276" w:lineRule="auto"/>
        <w:jc w:val="both"/>
        <w:rPr>
          <w:rFonts w:ascii="Arial" w:hAnsi="Arial" w:cs="Arial"/>
          <w:b/>
          <w:i w:val="0"/>
          <w:color w:val="auto"/>
        </w:rPr>
      </w:pPr>
      <w:bookmarkStart w:id="174" w:name="_Toc441480194"/>
      <w:bookmarkStart w:id="175" w:name="_Toc441478564"/>
      <w:r w:rsidRPr="00AC355F">
        <w:rPr>
          <w:rFonts w:ascii="Arial" w:hAnsi="Arial" w:cs="Arial"/>
          <w:b/>
          <w:i w:val="0"/>
          <w:color w:val="auto"/>
        </w:rPr>
        <w:t>Rentabilidad portafolio de inversiones financieras</w:t>
      </w:r>
      <w:bookmarkEnd w:id="174"/>
      <w:bookmarkEnd w:id="175"/>
    </w:p>
    <w:p w:rsidR="00FD14B5" w:rsidRPr="00FD14B5" w:rsidRDefault="00FD14B5" w:rsidP="00FD14B5">
      <w:pPr>
        <w:spacing w:line="276" w:lineRule="auto"/>
        <w:rPr>
          <w:rFonts w:ascii="Arial" w:hAnsi="Arial" w:cs="Arial"/>
          <w:szCs w:val="24"/>
        </w:rPr>
      </w:pPr>
    </w:p>
    <w:p w:rsidR="00FD14B5" w:rsidRPr="00AC355F" w:rsidRDefault="00FD14B5" w:rsidP="00FD14B5">
      <w:pPr>
        <w:spacing w:line="276" w:lineRule="auto"/>
        <w:rPr>
          <w:rFonts w:ascii="Arial" w:hAnsi="Arial" w:cs="Arial"/>
          <w:szCs w:val="24"/>
          <w:lang w:val="es-ES_tradnl" w:eastAsia="ar-SA"/>
        </w:rPr>
      </w:pPr>
      <w:r w:rsidRPr="00FD14B5">
        <w:rPr>
          <w:rFonts w:ascii="Arial" w:hAnsi="Arial" w:cs="Arial"/>
          <w:szCs w:val="24"/>
        </w:rPr>
        <w:t xml:space="preserve">La siguiente gráfica representa la evolución del último año de la rentabilidad promedio ponderado del portafolio, comparado con la tasa de referencia DTF. Se evidencia que la rentabilidad del portafolio del Instituto ha sido superior a la rentabilidad del mercado representada por la tasa DTF.  </w:t>
      </w:r>
    </w:p>
    <w:p w:rsidR="00FD14B5" w:rsidRPr="00FD14B5" w:rsidRDefault="00FD14B5" w:rsidP="00FD14B5">
      <w:pPr>
        <w:spacing w:line="276" w:lineRule="auto"/>
        <w:rPr>
          <w:rFonts w:ascii="Arial" w:hAnsi="Arial" w:cs="Arial"/>
          <w:szCs w:val="24"/>
        </w:rPr>
      </w:pPr>
      <w:r w:rsidRPr="00FD14B5">
        <w:rPr>
          <w:rFonts w:ascii="Arial" w:hAnsi="Arial" w:cs="Arial"/>
          <w:szCs w:val="24"/>
        </w:rPr>
        <w:lastRenderedPageBreak/>
        <w:t>La rentabilidad del portafolio se ha incrementado debido a una estrategia de optimización de los recursos disponibles, los recursos a la vista (Cuentas corrientes y ahorros) presentan una menor participación en la composición del portafolio frente a los recursos en renta fija (CDT´s). Lo anterior basado en un riguroso seguimiento al flujo de caja a través del cumplimiento de</w:t>
      </w:r>
      <w:r w:rsidR="00AC355F">
        <w:rPr>
          <w:rFonts w:ascii="Arial" w:hAnsi="Arial" w:cs="Arial"/>
          <w:szCs w:val="24"/>
        </w:rPr>
        <w:t>l PAC.</w:t>
      </w:r>
    </w:p>
    <w:p w:rsidR="00FD14B5" w:rsidRPr="00FD14B5" w:rsidRDefault="00FD14B5" w:rsidP="00FD14B5">
      <w:pPr>
        <w:spacing w:line="276" w:lineRule="auto"/>
        <w:rPr>
          <w:rFonts w:ascii="Arial" w:hAnsi="Arial" w:cs="Arial"/>
          <w:b/>
          <w:szCs w:val="24"/>
        </w:rPr>
      </w:pPr>
      <w:r w:rsidRPr="00FD14B5">
        <w:rPr>
          <w:rFonts w:ascii="Arial" w:hAnsi="Arial" w:cs="Arial"/>
          <w:szCs w:val="24"/>
        </w:rPr>
        <w:t>El incremento en la rentabilidad del portafolio se traduce en mayores rendimientos financieros, recursos que se incorporan al presupuesto para atender diferentes necesidades.</w:t>
      </w:r>
      <w:r w:rsidR="00AC355F">
        <w:rPr>
          <w:rFonts w:ascii="Arial" w:hAnsi="Arial" w:cs="Arial"/>
          <w:b/>
          <w:szCs w:val="24"/>
        </w:rPr>
        <w:t xml:space="preserve">  </w:t>
      </w:r>
    </w:p>
    <w:p w:rsidR="00FD14B5" w:rsidRPr="00FD14B5" w:rsidRDefault="00FD14B5" w:rsidP="00FD14B5">
      <w:pPr>
        <w:pStyle w:val="Descripcin"/>
        <w:spacing w:after="0" w:line="276" w:lineRule="auto"/>
        <w:rPr>
          <w:rFonts w:ascii="Arial" w:hAnsi="Arial" w:cs="Arial"/>
          <w:color w:val="auto"/>
          <w:szCs w:val="24"/>
        </w:rPr>
      </w:pPr>
      <w:bookmarkStart w:id="176" w:name="_Toc27665781"/>
      <w:r w:rsidRPr="00FD14B5">
        <w:rPr>
          <w:rFonts w:ascii="Arial" w:hAnsi="Arial" w:cs="Arial"/>
          <w:color w:val="auto"/>
        </w:rPr>
        <w:t xml:space="preserve">Figura </w:t>
      </w:r>
      <w:r w:rsidRPr="00FD14B5">
        <w:rPr>
          <w:rFonts w:ascii="Arial" w:hAnsi="Arial" w:cs="Arial"/>
          <w:color w:val="auto"/>
        </w:rPr>
        <w:fldChar w:fldCharType="begin"/>
      </w:r>
      <w:r w:rsidRPr="00FD14B5">
        <w:rPr>
          <w:rFonts w:ascii="Arial" w:hAnsi="Arial" w:cs="Arial"/>
          <w:color w:val="auto"/>
        </w:rPr>
        <w:instrText xml:space="preserve"> SEQ Figura \* ARABIC </w:instrText>
      </w:r>
      <w:r w:rsidRPr="00FD14B5">
        <w:rPr>
          <w:rFonts w:ascii="Arial" w:hAnsi="Arial" w:cs="Arial"/>
          <w:color w:val="auto"/>
        </w:rPr>
        <w:fldChar w:fldCharType="separate"/>
      </w:r>
      <w:r w:rsidR="002D104F">
        <w:rPr>
          <w:rFonts w:ascii="Arial" w:hAnsi="Arial" w:cs="Arial"/>
          <w:noProof/>
          <w:color w:val="auto"/>
        </w:rPr>
        <w:t>3</w:t>
      </w:r>
      <w:r w:rsidRPr="00FD14B5">
        <w:rPr>
          <w:rFonts w:ascii="Arial" w:hAnsi="Arial" w:cs="Arial"/>
          <w:noProof/>
          <w:color w:val="auto"/>
        </w:rPr>
        <w:fldChar w:fldCharType="end"/>
      </w:r>
      <w:r w:rsidRPr="00FD14B5">
        <w:rPr>
          <w:rFonts w:ascii="Arial" w:hAnsi="Arial" w:cs="Arial"/>
          <w:color w:val="auto"/>
        </w:rPr>
        <w:t>. R</w:t>
      </w:r>
      <w:r w:rsidRPr="00FD14B5">
        <w:rPr>
          <w:rFonts w:ascii="Arial" w:hAnsi="Arial" w:cs="Arial"/>
          <w:color w:val="auto"/>
          <w:szCs w:val="24"/>
        </w:rPr>
        <w:t xml:space="preserve">entabilidad del portafolio a </w:t>
      </w:r>
      <w:r w:rsidR="007C1B71">
        <w:rPr>
          <w:rFonts w:ascii="Arial" w:hAnsi="Arial" w:cs="Arial"/>
          <w:color w:val="auto"/>
          <w:szCs w:val="24"/>
        </w:rPr>
        <w:t>DICIEMBRE</w:t>
      </w:r>
      <w:r w:rsidRPr="00FD14B5">
        <w:rPr>
          <w:rFonts w:ascii="Arial" w:hAnsi="Arial" w:cs="Arial"/>
          <w:color w:val="auto"/>
          <w:szCs w:val="24"/>
        </w:rPr>
        <w:t xml:space="preserve"> 3</w:t>
      </w:r>
      <w:r w:rsidR="00AE0EB1">
        <w:rPr>
          <w:rFonts w:ascii="Arial" w:hAnsi="Arial" w:cs="Arial"/>
          <w:color w:val="auto"/>
          <w:szCs w:val="24"/>
        </w:rPr>
        <w:t>1</w:t>
      </w:r>
      <w:r w:rsidRPr="00FD14B5">
        <w:rPr>
          <w:rFonts w:ascii="Arial" w:hAnsi="Arial" w:cs="Arial"/>
          <w:color w:val="auto"/>
          <w:szCs w:val="24"/>
        </w:rPr>
        <w:t xml:space="preserve"> de 2019</w:t>
      </w:r>
      <w:bookmarkEnd w:id="176"/>
    </w:p>
    <w:p w:rsidR="00FD14B5" w:rsidRPr="00FD14B5" w:rsidRDefault="00FD14B5" w:rsidP="00FD14B5">
      <w:pPr>
        <w:spacing w:line="276" w:lineRule="auto"/>
        <w:jc w:val="center"/>
        <w:rPr>
          <w:rFonts w:ascii="Arial" w:eastAsia="Calibri" w:hAnsi="Arial" w:cs="Arial"/>
          <w:szCs w:val="24"/>
        </w:rPr>
      </w:pPr>
      <w:r w:rsidRPr="00FD14B5">
        <w:rPr>
          <w:rFonts w:ascii="Arial" w:eastAsia="Calibri" w:hAnsi="Arial" w:cs="Arial"/>
          <w:noProof/>
          <w:szCs w:val="24"/>
          <w:lang w:eastAsia="es-CO"/>
        </w:rPr>
        <w:drawing>
          <wp:inline distT="0" distB="0" distL="0" distR="0" wp14:anchorId="14B90C77" wp14:editId="1A200035">
            <wp:extent cx="5607894" cy="453961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18530" cy="4548225"/>
                    </a:xfrm>
                    <a:prstGeom prst="rect">
                      <a:avLst/>
                    </a:prstGeom>
                    <a:noFill/>
                    <a:ln>
                      <a:noFill/>
                    </a:ln>
                  </pic:spPr>
                </pic:pic>
              </a:graphicData>
            </a:graphic>
          </wp:inline>
        </w:drawing>
      </w:r>
    </w:p>
    <w:p w:rsidR="00FD14B5" w:rsidRPr="00FD14B5" w:rsidRDefault="00FD14B5" w:rsidP="00FD14B5">
      <w:pPr>
        <w:spacing w:line="276" w:lineRule="auto"/>
        <w:jc w:val="center"/>
        <w:rPr>
          <w:rFonts w:ascii="Arial" w:eastAsia="Arial Unicode MS" w:hAnsi="Arial" w:cs="Arial"/>
          <w:sz w:val="20"/>
          <w:szCs w:val="24"/>
        </w:rPr>
      </w:pPr>
      <w:r w:rsidRPr="00FD14B5">
        <w:rPr>
          <w:rFonts w:ascii="Arial" w:hAnsi="Arial" w:cs="Arial"/>
          <w:sz w:val="20"/>
          <w:szCs w:val="24"/>
        </w:rPr>
        <w:t>Fuente: Subdirección Técnica de Tesorería y Recaudo – IDU</w:t>
      </w:r>
    </w:p>
    <w:p w:rsidR="00FD14B5" w:rsidRPr="00FD14B5" w:rsidRDefault="00FD14B5" w:rsidP="00FD14B5">
      <w:pPr>
        <w:tabs>
          <w:tab w:val="left" w:pos="2364"/>
        </w:tabs>
        <w:spacing w:line="276" w:lineRule="auto"/>
        <w:rPr>
          <w:rFonts w:ascii="Arial" w:eastAsia="Calibri" w:hAnsi="Arial" w:cs="Arial"/>
          <w:szCs w:val="24"/>
        </w:rPr>
      </w:pPr>
    </w:p>
    <w:p w:rsidR="00C00F56" w:rsidRDefault="00C00F56" w:rsidP="00FD14B5">
      <w:pPr>
        <w:tabs>
          <w:tab w:val="left" w:pos="2364"/>
        </w:tabs>
        <w:spacing w:line="276" w:lineRule="auto"/>
        <w:rPr>
          <w:rFonts w:ascii="Arial" w:eastAsia="Calibri" w:hAnsi="Arial" w:cs="Arial"/>
          <w:szCs w:val="24"/>
        </w:rPr>
      </w:pPr>
    </w:p>
    <w:p w:rsidR="00C00F56" w:rsidRDefault="00C00F56" w:rsidP="00FD14B5">
      <w:pPr>
        <w:tabs>
          <w:tab w:val="left" w:pos="2364"/>
        </w:tabs>
        <w:spacing w:line="276" w:lineRule="auto"/>
        <w:rPr>
          <w:rFonts w:ascii="Arial" w:eastAsia="Calibri" w:hAnsi="Arial" w:cs="Arial"/>
          <w:szCs w:val="24"/>
        </w:rPr>
      </w:pPr>
    </w:p>
    <w:p w:rsidR="00FD14B5" w:rsidRPr="00FD14B5" w:rsidRDefault="00FD14B5" w:rsidP="00FD14B5">
      <w:pPr>
        <w:tabs>
          <w:tab w:val="left" w:pos="2364"/>
        </w:tabs>
        <w:spacing w:line="276" w:lineRule="auto"/>
        <w:rPr>
          <w:rFonts w:ascii="Arial" w:eastAsia="Calibri" w:hAnsi="Arial" w:cs="Arial"/>
          <w:szCs w:val="24"/>
        </w:rPr>
      </w:pPr>
      <w:r w:rsidRPr="00FD14B5">
        <w:rPr>
          <w:rFonts w:ascii="Arial" w:eastAsia="Calibri" w:hAnsi="Arial" w:cs="Arial"/>
          <w:szCs w:val="24"/>
        </w:rPr>
        <w:tab/>
      </w:r>
    </w:p>
    <w:p w:rsidR="00FD14B5" w:rsidRPr="004C5B8E" w:rsidRDefault="00FD14B5" w:rsidP="00D0183B">
      <w:pPr>
        <w:pStyle w:val="Ttulo4"/>
        <w:keepNext w:val="0"/>
        <w:keepLines w:val="0"/>
        <w:numPr>
          <w:ilvl w:val="3"/>
          <w:numId w:val="56"/>
        </w:numPr>
        <w:spacing w:before="0" w:line="276" w:lineRule="auto"/>
        <w:jc w:val="both"/>
        <w:rPr>
          <w:rFonts w:ascii="Arial" w:hAnsi="Arial" w:cs="Arial"/>
          <w:b/>
          <w:i w:val="0"/>
          <w:color w:val="auto"/>
        </w:rPr>
      </w:pPr>
      <w:bookmarkStart w:id="177" w:name="_Toc441480196"/>
      <w:bookmarkStart w:id="178" w:name="_Toc441478566"/>
      <w:r w:rsidRPr="004C5B8E">
        <w:rPr>
          <w:rFonts w:ascii="Arial" w:hAnsi="Arial" w:cs="Arial"/>
          <w:b/>
          <w:i w:val="0"/>
          <w:color w:val="auto"/>
        </w:rPr>
        <w:lastRenderedPageBreak/>
        <w:t>Comportamiento del PAC</w:t>
      </w:r>
      <w:bookmarkEnd w:id="177"/>
      <w:bookmarkEnd w:id="178"/>
    </w:p>
    <w:p w:rsidR="00FD14B5" w:rsidRPr="00FD14B5" w:rsidRDefault="00FD14B5" w:rsidP="00FD14B5">
      <w:pPr>
        <w:pStyle w:val="Ttulo3"/>
        <w:spacing w:line="276" w:lineRule="auto"/>
        <w:rPr>
          <w:rFonts w:ascii="Arial" w:hAnsi="Arial" w:cs="Arial"/>
          <w:color w:val="auto"/>
        </w:rPr>
      </w:pPr>
      <w:r w:rsidRPr="00FD14B5">
        <w:rPr>
          <w:rFonts w:ascii="Arial" w:hAnsi="Arial" w:cs="Arial"/>
          <w:color w:val="auto"/>
        </w:rPr>
        <w:t xml:space="preserve"> </w:t>
      </w:r>
    </w:p>
    <w:p w:rsidR="00FD14B5" w:rsidRPr="00FD14B5" w:rsidRDefault="00FD14B5" w:rsidP="00FD14B5">
      <w:pPr>
        <w:spacing w:line="276" w:lineRule="auto"/>
        <w:rPr>
          <w:rFonts w:ascii="Arial" w:eastAsia="Times New Roman" w:hAnsi="Arial" w:cs="Arial"/>
          <w:szCs w:val="24"/>
          <w:lang w:val="es-ES" w:eastAsia="es-ES"/>
        </w:rPr>
      </w:pPr>
      <w:r w:rsidRPr="00FD14B5">
        <w:rPr>
          <w:rFonts w:ascii="Arial" w:eastAsia="Times New Roman" w:hAnsi="Arial" w:cs="Arial"/>
          <w:szCs w:val="24"/>
          <w:lang w:val="es-ES" w:eastAsia="es-ES"/>
        </w:rPr>
        <w:t>Con base en los lineamientos financieros del Instituto, la Subdirección Técnica de Tesorería y Recaudo consolidada las necesidades de caja programadas por todas las áreas, la</w:t>
      </w:r>
      <w:r w:rsidR="004C5B8E">
        <w:rPr>
          <w:rFonts w:ascii="Arial" w:eastAsia="Times New Roman" w:hAnsi="Arial" w:cs="Arial"/>
          <w:szCs w:val="24"/>
          <w:lang w:val="es-ES" w:eastAsia="es-ES"/>
        </w:rPr>
        <w:t xml:space="preserve"> siguiente gráfica</w:t>
      </w:r>
      <w:r w:rsidRPr="00FD14B5">
        <w:rPr>
          <w:rFonts w:ascii="Arial" w:eastAsia="Times New Roman" w:hAnsi="Arial" w:cs="Arial"/>
          <w:szCs w:val="24"/>
          <w:lang w:val="es-ES" w:eastAsia="es-ES"/>
        </w:rPr>
        <w:t xml:space="preserve"> presenta el comportamiento del PAC en la vigencia 201</w:t>
      </w:r>
      <w:r w:rsidR="004C5B8E">
        <w:rPr>
          <w:rFonts w:ascii="Arial" w:eastAsia="Times New Roman" w:hAnsi="Arial" w:cs="Arial"/>
          <w:szCs w:val="24"/>
          <w:lang w:val="es-ES" w:eastAsia="es-ES"/>
        </w:rPr>
        <w:t>9:</w:t>
      </w:r>
    </w:p>
    <w:p w:rsidR="00FD14B5" w:rsidRPr="00FD14B5" w:rsidRDefault="00FD14B5" w:rsidP="00FD14B5">
      <w:pPr>
        <w:spacing w:line="276" w:lineRule="auto"/>
        <w:rPr>
          <w:rFonts w:ascii="Arial" w:eastAsia="Times New Roman" w:hAnsi="Arial" w:cs="Arial"/>
          <w:szCs w:val="24"/>
          <w:lang w:val="es-ES" w:eastAsia="es-ES"/>
        </w:rPr>
      </w:pPr>
    </w:p>
    <w:p w:rsidR="00FD14B5" w:rsidRPr="00FD14B5" w:rsidRDefault="00FD14B5" w:rsidP="00FD14B5">
      <w:pPr>
        <w:pStyle w:val="Descripcin"/>
        <w:spacing w:after="0"/>
        <w:rPr>
          <w:rFonts w:ascii="Arial" w:eastAsia="Arial Unicode MS" w:hAnsi="Arial" w:cs="Arial"/>
          <w:color w:val="auto"/>
          <w:szCs w:val="24"/>
          <w:lang w:eastAsia="ar-SA"/>
        </w:rPr>
      </w:pPr>
      <w:bookmarkStart w:id="179" w:name="_Toc27665785"/>
      <w:r w:rsidRPr="00FD14B5">
        <w:rPr>
          <w:rFonts w:ascii="Arial" w:hAnsi="Arial" w:cs="Arial"/>
          <w:color w:val="auto"/>
          <w:szCs w:val="24"/>
        </w:rPr>
        <w:t xml:space="preserve">Porcentaje de ejecución del PAC inicial y sus reprogramaciones mensuales a </w:t>
      </w:r>
      <w:r w:rsidR="007C1B71">
        <w:rPr>
          <w:rFonts w:ascii="Arial" w:hAnsi="Arial" w:cs="Arial"/>
          <w:color w:val="auto"/>
          <w:szCs w:val="24"/>
        </w:rPr>
        <w:t>DICIEMBRE</w:t>
      </w:r>
      <w:r w:rsidRPr="00FD14B5">
        <w:rPr>
          <w:rFonts w:ascii="Arial" w:hAnsi="Arial" w:cs="Arial"/>
          <w:color w:val="auto"/>
          <w:szCs w:val="24"/>
        </w:rPr>
        <w:t xml:space="preserve"> 3</w:t>
      </w:r>
      <w:r w:rsidR="00AE0EB1">
        <w:rPr>
          <w:rFonts w:ascii="Arial" w:hAnsi="Arial" w:cs="Arial"/>
          <w:color w:val="auto"/>
          <w:szCs w:val="24"/>
        </w:rPr>
        <w:t>1</w:t>
      </w:r>
      <w:r w:rsidRPr="00FD14B5">
        <w:rPr>
          <w:rFonts w:ascii="Arial" w:hAnsi="Arial" w:cs="Arial"/>
          <w:color w:val="auto"/>
          <w:szCs w:val="24"/>
        </w:rPr>
        <w:t xml:space="preserve"> de 2019.</w:t>
      </w:r>
      <w:bookmarkEnd w:id="179"/>
    </w:p>
    <w:p w:rsidR="00FD14B5" w:rsidRPr="00FD14B5" w:rsidRDefault="00FD14B5" w:rsidP="00FD14B5">
      <w:pPr>
        <w:spacing w:line="276" w:lineRule="auto"/>
        <w:jc w:val="center"/>
        <w:rPr>
          <w:rFonts w:ascii="Arial" w:eastAsia="Times New Roman" w:hAnsi="Arial" w:cs="Arial"/>
          <w:b/>
          <w:szCs w:val="24"/>
          <w:lang w:eastAsia="es-ES"/>
        </w:rPr>
      </w:pPr>
      <w:r w:rsidRPr="00FD14B5">
        <w:rPr>
          <w:rFonts w:ascii="Arial" w:eastAsia="Times New Roman" w:hAnsi="Arial" w:cs="Arial"/>
          <w:b/>
          <w:noProof/>
          <w:szCs w:val="24"/>
          <w:lang w:eastAsia="es-CO"/>
        </w:rPr>
        <w:drawing>
          <wp:inline distT="0" distB="0" distL="0" distR="0" wp14:anchorId="58B4B5F6" wp14:editId="27B58DDD">
            <wp:extent cx="4625340" cy="2202180"/>
            <wp:effectExtent l="0" t="0" r="3810" b="762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25340" cy="2202180"/>
                    </a:xfrm>
                    <a:prstGeom prst="rect">
                      <a:avLst/>
                    </a:prstGeom>
                    <a:noFill/>
                    <a:ln>
                      <a:noFill/>
                    </a:ln>
                  </pic:spPr>
                </pic:pic>
              </a:graphicData>
            </a:graphic>
          </wp:inline>
        </w:drawing>
      </w:r>
    </w:p>
    <w:p w:rsidR="00FD14B5" w:rsidRDefault="00FD14B5" w:rsidP="004C5B8E">
      <w:pPr>
        <w:spacing w:line="276" w:lineRule="auto"/>
        <w:jc w:val="center"/>
        <w:rPr>
          <w:rFonts w:ascii="Arial" w:eastAsia="Arial Unicode MS" w:hAnsi="Arial" w:cs="Arial"/>
          <w:sz w:val="20"/>
          <w:szCs w:val="24"/>
          <w:lang w:eastAsia="ar-SA"/>
        </w:rPr>
      </w:pPr>
      <w:r w:rsidRPr="00FD14B5">
        <w:rPr>
          <w:rFonts w:ascii="Arial" w:hAnsi="Arial" w:cs="Arial"/>
          <w:sz w:val="20"/>
          <w:szCs w:val="24"/>
        </w:rPr>
        <w:t>Fuente: Subdirección Técnica de Tesorería y Recaudo – IDU</w:t>
      </w:r>
    </w:p>
    <w:p w:rsidR="004C5B8E" w:rsidRPr="004C5B8E" w:rsidRDefault="004C5B8E" w:rsidP="004C5B8E">
      <w:pPr>
        <w:spacing w:line="276" w:lineRule="auto"/>
        <w:jc w:val="center"/>
        <w:rPr>
          <w:rFonts w:ascii="Arial" w:eastAsia="Arial Unicode MS" w:hAnsi="Arial" w:cs="Arial"/>
          <w:sz w:val="20"/>
          <w:szCs w:val="24"/>
          <w:lang w:eastAsia="ar-SA"/>
        </w:rPr>
      </w:pPr>
    </w:p>
    <w:p w:rsidR="00FD14B5" w:rsidRPr="00FD14B5" w:rsidRDefault="00FD14B5" w:rsidP="00FD14B5">
      <w:pPr>
        <w:spacing w:line="276" w:lineRule="auto"/>
        <w:rPr>
          <w:rFonts w:ascii="Arial" w:eastAsia="Times New Roman" w:hAnsi="Arial" w:cs="Arial"/>
          <w:szCs w:val="24"/>
          <w:lang w:val="es-ES" w:eastAsia="es-ES"/>
        </w:rPr>
      </w:pPr>
      <w:r w:rsidRPr="00FD14B5">
        <w:rPr>
          <w:rFonts w:ascii="Arial" w:eastAsia="Times New Roman" w:hAnsi="Arial" w:cs="Arial"/>
          <w:szCs w:val="24"/>
          <w:lang w:val="es-ES" w:eastAsia="es-ES"/>
        </w:rPr>
        <w:t>Con el fin de incrementar la ejecución del PAC, se han llevado a cabo las siguientes estrategias:</w:t>
      </w:r>
    </w:p>
    <w:p w:rsidR="00FD14B5" w:rsidRPr="00FD14B5" w:rsidRDefault="00FD14B5" w:rsidP="00FD14B5">
      <w:pPr>
        <w:spacing w:line="276" w:lineRule="auto"/>
        <w:rPr>
          <w:rFonts w:ascii="Arial" w:eastAsia="Times New Roman" w:hAnsi="Arial" w:cs="Arial"/>
          <w:szCs w:val="24"/>
          <w:lang w:val="es-ES" w:eastAsia="es-ES"/>
        </w:rPr>
      </w:pPr>
    </w:p>
    <w:p w:rsidR="00FD14B5" w:rsidRPr="00FD14B5" w:rsidRDefault="00FD14B5" w:rsidP="00D0183B">
      <w:pPr>
        <w:pStyle w:val="Prrafodelista"/>
        <w:numPr>
          <w:ilvl w:val="0"/>
          <w:numId w:val="30"/>
        </w:numPr>
        <w:tabs>
          <w:tab w:val="left" w:pos="567"/>
        </w:tabs>
        <w:spacing w:after="0" w:line="276" w:lineRule="auto"/>
        <w:ind w:left="567" w:hanging="283"/>
        <w:jc w:val="both"/>
        <w:rPr>
          <w:rFonts w:ascii="Arial" w:eastAsia="Times New Roman" w:hAnsi="Arial" w:cs="Arial"/>
          <w:szCs w:val="24"/>
          <w:lang w:val="es-ES" w:eastAsia="es-ES"/>
        </w:rPr>
      </w:pPr>
      <w:r w:rsidRPr="00FD14B5">
        <w:rPr>
          <w:rFonts w:ascii="Arial" w:eastAsia="Times New Roman" w:hAnsi="Arial" w:cs="Arial"/>
          <w:szCs w:val="24"/>
          <w:lang w:val="es-ES" w:eastAsia="es-ES"/>
        </w:rPr>
        <w:t>Seguimiento mensual a través de la presentación en el Comité Directivo de los resultados obtenidos durante cada mes por cada una de las áreas.</w:t>
      </w:r>
    </w:p>
    <w:p w:rsidR="00FD14B5" w:rsidRPr="00FD14B5" w:rsidRDefault="00FD14B5" w:rsidP="00FD14B5">
      <w:pPr>
        <w:pStyle w:val="Prrafodelista"/>
        <w:tabs>
          <w:tab w:val="left" w:pos="567"/>
        </w:tabs>
        <w:spacing w:line="276" w:lineRule="auto"/>
        <w:ind w:left="567" w:hanging="283"/>
        <w:rPr>
          <w:rFonts w:ascii="Arial" w:eastAsia="Times New Roman" w:hAnsi="Arial" w:cs="Arial"/>
          <w:szCs w:val="24"/>
          <w:lang w:val="es-ES" w:eastAsia="es-ES"/>
        </w:rPr>
      </w:pPr>
    </w:p>
    <w:p w:rsidR="00FD14B5" w:rsidRPr="00FD14B5" w:rsidRDefault="00FD14B5" w:rsidP="00D0183B">
      <w:pPr>
        <w:pStyle w:val="Prrafodelista"/>
        <w:numPr>
          <w:ilvl w:val="0"/>
          <w:numId w:val="30"/>
        </w:numPr>
        <w:tabs>
          <w:tab w:val="left" w:pos="567"/>
        </w:tabs>
        <w:spacing w:after="0" w:line="276" w:lineRule="auto"/>
        <w:ind w:left="567" w:hanging="283"/>
        <w:jc w:val="both"/>
        <w:rPr>
          <w:rFonts w:ascii="Arial" w:eastAsia="Times New Roman" w:hAnsi="Arial" w:cs="Arial"/>
          <w:szCs w:val="24"/>
          <w:lang w:val="es-ES" w:eastAsia="es-ES"/>
        </w:rPr>
      </w:pPr>
      <w:r w:rsidRPr="00FD14B5">
        <w:rPr>
          <w:rFonts w:ascii="Arial" w:eastAsia="Times New Roman" w:hAnsi="Arial" w:cs="Arial"/>
          <w:szCs w:val="24"/>
          <w:lang w:val="es-ES" w:eastAsia="es-ES"/>
        </w:rPr>
        <w:t>Remisión de informes con el avance del cumplimiento por cada área antes del cierre de radicación de facturas.</w:t>
      </w:r>
    </w:p>
    <w:p w:rsidR="00FD14B5" w:rsidRPr="00FD14B5" w:rsidRDefault="00FD14B5" w:rsidP="00FD14B5">
      <w:pPr>
        <w:pStyle w:val="Prrafodelista"/>
        <w:tabs>
          <w:tab w:val="left" w:pos="567"/>
        </w:tabs>
        <w:spacing w:line="276" w:lineRule="auto"/>
        <w:ind w:left="567" w:hanging="283"/>
        <w:rPr>
          <w:rFonts w:ascii="Arial" w:eastAsia="Times New Roman" w:hAnsi="Arial" w:cs="Arial"/>
          <w:szCs w:val="24"/>
          <w:lang w:val="es-ES" w:eastAsia="es-ES"/>
        </w:rPr>
      </w:pPr>
    </w:p>
    <w:p w:rsidR="00FD14B5" w:rsidRPr="00FD14B5" w:rsidRDefault="00FD14B5" w:rsidP="00D0183B">
      <w:pPr>
        <w:pStyle w:val="Prrafodelista"/>
        <w:numPr>
          <w:ilvl w:val="0"/>
          <w:numId w:val="30"/>
        </w:numPr>
        <w:tabs>
          <w:tab w:val="left" w:pos="567"/>
        </w:tabs>
        <w:spacing w:after="0" w:line="276" w:lineRule="auto"/>
        <w:ind w:left="567" w:hanging="283"/>
        <w:jc w:val="both"/>
        <w:rPr>
          <w:rFonts w:ascii="Arial" w:eastAsia="Times New Roman" w:hAnsi="Arial" w:cs="Arial"/>
          <w:szCs w:val="24"/>
          <w:lang w:val="es-ES" w:eastAsia="es-ES"/>
        </w:rPr>
      </w:pPr>
      <w:r w:rsidRPr="00FD14B5">
        <w:rPr>
          <w:rFonts w:ascii="Arial" w:eastAsia="Times New Roman" w:hAnsi="Arial" w:cs="Arial"/>
          <w:szCs w:val="24"/>
          <w:lang w:val="es-ES" w:eastAsia="es-ES"/>
        </w:rPr>
        <w:t>Indicador transversal que mide el cumplimiento del PAC por cada una de las áreas del Instituto, indicador que se encuentra formalizado por la Oficina Asesora de Planeación y hace parte de los acuerdos de gestión de los gerentes públicos.</w:t>
      </w:r>
    </w:p>
    <w:p w:rsidR="00FD14B5" w:rsidRPr="00FD14B5" w:rsidRDefault="00FD14B5" w:rsidP="00FD14B5">
      <w:pPr>
        <w:pStyle w:val="Prrafodelista"/>
        <w:tabs>
          <w:tab w:val="left" w:pos="567"/>
        </w:tabs>
        <w:spacing w:line="276" w:lineRule="auto"/>
        <w:ind w:left="567" w:hanging="283"/>
        <w:rPr>
          <w:rFonts w:ascii="Arial" w:eastAsia="Times New Roman" w:hAnsi="Arial" w:cs="Arial"/>
          <w:szCs w:val="24"/>
          <w:lang w:val="es-ES" w:eastAsia="es-ES"/>
        </w:rPr>
      </w:pPr>
    </w:p>
    <w:p w:rsidR="008B63B7" w:rsidRPr="00C00F56" w:rsidRDefault="00FD14B5" w:rsidP="00001F39">
      <w:pPr>
        <w:pStyle w:val="Prrafodelista"/>
        <w:numPr>
          <w:ilvl w:val="0"/>
          <w:numId w:val="30"/>
        </w:numPr>
        <w:tabs>
          <w:tab w:val="left" w:pos="567"/>
        </w:tabs>
        <w:spacing w:after="0" w:line="276" w:lineRule="auto"/>
        <w:ind w:left="567" w:hanging="283"/>
        <w:jc w:val="both"/>
        <w:rPr>
          <w:rFonts w:ascii="Arial" w:eastAsia="Times New Roman" w:hAnsi="Arial" w:cs="Arial"/>
          <w:szCs w:val="24"/>
          <w:lang w:val="es-ES" w:eastAsia="es-ES"/>
        </w:rPr>
      </w:pPr>
      <w:r w:rsidRPr="00C00F56">
        <w:rPr>
          <w:rFonts w:ascii="Arial" w:eastAsia="Times New Roman" w:hAnsi="Arial" w:cs="Arial"/>
          <w:szCs w:val="24"/>
          <w:lang w:val="es-ES" w:eastAsia="es-ES"/>
        </w:rPr>
        <w:t>Remisión de memorandos mensuales a todas las áreas con los resultados obtenidos durante el mes.</w:t>
      </w:r>
    </w:p>
    <w:p w:rsidR="00FD14B5" w:rsidRPr="00FD14B5" w:rsidRDefault="00FD14B5" w:rsidP="00FD14B5">
      <w:pPr>
        <w:pStyle w:val="Prrafodelista"/>
        <w:spacing w:line="276" w:lineRule="auto"/>
        <w:ind w:left="0"/>
        <w:rPr>
          <w:rFonts w:ascii="Arial" w:eastAsia="Times New Roman" w:hAnsi="Arial" w:cs="Arial"/>
          <w:szCs w:val="24"/>
          <w:lang w:val="es-ES" w:eastAsia="es-ES"/>
        </w:rPr>
      </w:pPr>
    </w:p>
    <w:p w:rsidR="00FD14B5" w:rsidRPr="00FD14B5" w:rsidRDefault="00FD14B5" w:rsidP="00FD14B5">
      <w:pPr>
        <w:spacing w:line="276" w:lineRule="auto"/>
        <w:rPr>
          <w:rFonts w:ascii="Arial" w:eastAsia="Times New Roman" w:hAnsi="Arial" w:cs="Arial"/>
          <w:szCs w:val="24"/>
          <w:lang w:val="es-ES" w:eastAsia="es-ES"/>
        </w:rPr>
      </w:pPr>
      <w:r w:rsidRPr="00FD14B5">
        <w:rPr>
          <w:rFonts w:ascii="Arial" w:eastAsia="Times New Roman" w:hAnsi="Arial" w:cs="Arial"/>
          <w:szCs w:val="24"/>
          <w:lang w:val="es-ES" w:eastAsia="es-ES"/>
        </w:rPr>
        <w:lastRenderedPageBreak/>
        <w:t xml:space="preserve">La siguiente gráfica representa la ejecución acumulada por áreas correspondiente a </w:t>
      </w:r>
      <w:r w:rsidR="007C1B71">
        <w:rPr>
          <w:rFonts w:ascii="Arial" w:eastAsia="Times New Roman" w:hAnsi="Arial" w:cs="Arial"/>
          <w:szCs w:val="24"/>
          <w:lang w:val="es-ES" w:eastAsia="es-ES"/>
        </w:rPr>
        <w:t>DICIEMBRE</w:t>
      </w:r>
      <w:r w:rsidRPr="00FD14B5">
        <w:rPr>
          <w:rFonts w:ascii="Arial" w:eastAsia="Times New Roman" w:hAnsi="Arial" w:cs="Arial"/>
          <w:szCs w:val="24"/>
          <w:lang w:val="es-ES" w:eastAsia="es-ES"/>
        </w:rPr>
        <w:t xml:space="preserve"> 3</w:t>
      </w:r>
      <w:r w:rsidR="00AE0EB1">
        <w:rPr>
          <w:rFonts w:ascii="Arial" w:eastAsia="Times New Roman" w:hAnsi="Arial" w:cs="Arial"/>
          <w:szCs w:val="24"/>
          <w:lang w:val="es-ES" w:eastAsia="es-ES"/>
        </w:rPr>
        <w:t>1</w:t>
      </w:r>
      <w:r w:rsidRPr="00FD14B5">
        <w:rPr>
          <w:rFonts w:ascii="Arial" w:eastAsia="Times New Roman" w:hAnsi="Arial" w:cs="Arial"/>
          <w:szCs w:val="24"/>
          <w:lang w:val="es-ES" w:eastAsia="es-ES"/>
        </w:rPr>
        <w:t xml:space="preserve"> de 2019.</w:t>
      </w:r>
    </w:p>
    <w:p w:rsidR="00FD14B5" w:rsidRPr="00FD14B5" w:rsidRDefault="00FD14B5" w:rsidP="00FD14B5">
      <w:pPr>
        <w:pStyle w:val="Descripcin"/>
        <w:spacing w:after="0"/>
        <w:rPr>
          <w:rFonts w:ascii="Arial" w:hAnsi="Arial" w:cs="Arial"/>
          <w:color w:val="auto"/>
          <w:szCs w:val="24"/>
          <w:lang w:val="es-ES" w:eastAsia="es-ES"/>
        </w:rPr>
      </w:pPr>
      <w:bookmarkStart w:id="180" w:name="_Toc27665789"/>
      <w:r w:rsidRPr="00FD14B5">
        <w:rPr>
          <w:rFonts w:ascii="Arial" w:hAnsi="Arial" w:cs="Arial"/>
          <w:color w:val="auto"/>
        </w:rPr>
        <w:t xml:space="preserve">Figura </w:t>
      </w:r>
      <w:r w:rsidRPr="00FD14B5">
        <w:rPr>
          <w:rFonts w:ascii="Arial" w:hAnsi="Arial" w:cs="Arial"/>
          <w:color w:val="auto"/>
        </w:rPr>
        <w:fldChar w:fldCharType="begin"/>
      </w:r>
      <w:r w:rsidRPr="00FD14B5">
        <w:rPr>
          <w:rFonts w:ascii="Arial" w:hAnsi="Arial" w:cs="Arial"/>
          <w:color w:val="auto"/>
        </w:rPr>
        <w:instrText xml:space="preserve"> SEQ Figura \* ARABIC </w:instrText>
      </w:r>
      <w:r w:rsidRPr="00FD14B5">
        <w:rPr>
          <w:rFonts w:ascii="Arial" w:hAnsi="Arial" w:cs="Arial"/>
          <w:color w:val="auto"/>
        </w:rPr>
        <w:fldChar w:fldCharType="separate"/>
      </w:r>
      <w:r w:rsidR="002D104F">
        <w:rPr>
          <w:rFonts w:ascii="Arial" w:hAnsi="Arial" w:cs="Arial"/>
          <w:noProof/>
          <w:color w:val="auto"/>
        </w:rPr>
        <w:t>4</w:t>
      </w:r>
      <w:r w:rsidRPr="00FD14B5">
        <w:rPr>
          <w:rFonts w:ascii="Arial" w:hAnsi="Arial" w:cs="Arial"/>
          <w:noProof/>
          <w:color w:val="auto"/>
        </w:rPr>
        <w:fldChar w:fldCharType="end"/>
      </w:r>
      <w:r w:rsidRPr="00FD14B5">
        <w:rPr>
          <w:rFonts w:ascii="Arial" w:hAnsi="Arial" w:cs="Arial"/>
          <w:color w:val="auto"/>
        </w:rPr>
        <w:t xml:space="preserve">. </w:t>
      </w:r>
      <w:r w:rsidRPr="00FD14B5">
        <w:rPr>
          <w:rFonts w:ascii="Arial" w:hAnsi="Arial" w:cs="Arial"/>
          <w:color w:val="auto"/>
          <w:szCs w:val="24"/>
        </w:rPr>
        <w:t xml:space="preserve">Ejecución del PAC por Áreas Enero - </w:t>
      </w:r>
      <w:r w:rsidR="007C1B71">
        <w:rPr>
          <w:rFonts w:ascii="Arial" w:hAnsi="Arial" w:cs="Arial"/>
          <w:color w:val="auto"/>
          <w:szCs w:val="24"/>
        </w:rPr>
        <w:t>DICIEMBRE</w:t>
      </w:r>
      <w:r w:rsidRPr="00FD14B5">
        <w:rPr>
          <w:rFonts w:ascii="Arial" w:hAnsi="Arial" w:cs="Arial"/>
          <w:color w:val="auto"/>
          <w:szCs w:val="24"/>
        </w:rPr>
        <w:t xml:space="preserve"> 2019</w:t>
      </w:r>
      <w:bookmarkEnd w:id="180"/>
    </w:p>
    <w:p w:rsidR="00FD14B5" w:rsidRPr="00FD14B5" w:rsidRDefault="00FD14B5" w:rsidP="00FD14B5">
      <w:pPr>
        <w:pStyle w:val="Prrafodelista"/>
        <w:spacing w:line="276" w:lineRule="auto"/>
        <w:ind w:left="0"/>
        <w:jc w:val="center"/>
        <w:rPr>
          <w:rFonts w:ascii="Arial" w:eastAsia="Times New Roman" w:hAnsi="Arial" w:cs="Arial"/>
          <w:szCs w:val="24"/>
          <w:lang w:val="es-ES" w:eastAsia="es-ES"/>
        </w:rPr>
      </w:pPr>
      <w:r w:rsidRPr="00FD14B5">
        <w:rPr>
          <w:rFonts w:ascii="Arial" w:eastAsia="Times New Roman" w:hAnsi="Arial" w:cs="Arial"/>
          <w:noProof/>
          <w:szCs w:val="24"/>
          <w:lang w:eastAsia="es-CO"/>
        </w:rPr>
        <w:drawing>
          <wp:inline distT="0" distB="0" distL="0" distR="0" wp14:anchorId="7B10158C" wp14:editId="331799E4">
            <wp:extent cx="5334000" cy="2811780"/>
            <wp:effectExtent l="0" t="0" r="0"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34000" cy="2811780"/>
                    </a:xfrm>
                    <a:prstGeom prst="rect">
                      <a:avLst/>
                    </a:prstGeom>
                    <a:noFill/>
                    <a:ln>
                      <a:noFill/>
                    </a:ln>
                  </pic:spPr>
                </pic:pic>
              </a:graphicData>
            </a:graphic>
          </wp:inline>
        </w:drawing>
      </w:r>
    </w:p>
    <w:p w:rsidR="00FD14B5" w:rsidRPr="00FD14B5" w:rsidRDefault="00FD14B5" w:rsidP="00FD14B5">
      <w:pPr>
        <w:spacing w:line="276" w:lineRule="auto"/>
        <w:jc w:val="center"/>
        <w:rPr>
          <w:rFonts w:ascii="Arial" w:eastAsia="Arial Unicode MS" w:hAnsi="Arial" w:cs="Arial"/>
          <w:sz w:val="20"/>
          <w:szCs w:val="24"/>
          <w:lang w:val="es-ES_tradnl" w:eastAsia="ar-SA"/>
        </w:rPr>
      </w:pPr>
      <w:r w:rsidRPr="00FD14B5">
        <w:rPr>
          <w:rFonts w:ascii="Arial" w:hAnsi="Arial" w:cs="Arial"/>
          <w:sz w:val="20"/>
          <w:szCs w:val="24"/>
        </w:rPr>
        <w:t>Fuente: Subdirección Técnica de Tesorería y Recaudo – IDU</w:t>
      </w:r>
    </w:p>
    <w:p w:rsidR="00FD14B5" w:rsidRPr="008B63B7" w:rsidRDefault="00FD14B5" w:rsidP="00D0183B">
      <w:pPr>
        <w:pStyle w:val="Ttulo4"/>
        <w:keepNext w:val="0"/>
        <w:keepLines w:val="0"/>
        <w:numPr>
          <w:ilvl w:val="3"/>
          <w:numId w:val="56"/>
        </w:numPr>
        <w:spacing w:before="0" w:line="276" w:lineRule="auto"/>
        <w:jc w:val="both"/>
        <w:rPr>
          <w:rFonts w:ascii="Arial" w:hAnsi="Arial" w:cs="Arial"/>
          <w:b/>
          <w:i w:val="0"/>
          <w:color w:val="auto"/>
        </w:rPr>
      </w:pPr>
      <w:bookmarkStart w:id="181" w:name="_Toc441480197"/>
      <w:bookmarkStart w:id="182" w:name="_Toc441478567"/>
      <w:r w:rsidRPr="008B63B7">
        <w:rPr>
          <w:rFonts w:ascii="Arial" w:hAnsi="Arial" w:cs="Arial"/>
          <w:b/>
          <w:i w:val="0"/>
          <w:color w:val="auto"/>
        </w:rPr>
        <w:t>Rendimientos financieros</w:t>
      </w:r>
      <w:bookmarkEnd w:id="181"/>
      <w:bookmarkEnd w:id="182"/>
    </w:p>
    <w:p w:rsidR="00FD14B5" w:rsidRPr="00FD14B5" w:rsidRDefault="00FD14B5" w:rsidP="00FD14B5">
      <w:pPr>
        <w:spacing w:line="276" w:lineRule="auto"/>
        <w:rPr>
          <w:rFonts w:ascii="Arial" w:hAnsi="Arial" w:cs="Arial"/>
          <w:b/>
          <w:szCs w:val="24"/>
        </w:rPr>
      </w:pPr>
    </w:p>
    <w:p w:rsidR="00FD14B5" w:rsidRPr="00FD14B5" w:rsidRDefault="00FD14B5" w:rsidP="00FD14B5">
      <w:pPr>
        <w:spacing w:line="276" w:lineRule="auto"/>
        <w:rPr>
          <w:rFonts w:ascii="Arial" w:hAnsi="Arial" w:cs="Arial"/>
          <w:szCs w:val="24"/>
        </w:rPr>
      </w:pPr>
      <w:r w:rsidRPr="00FD14B5">
        <w:rPr>
          <w:rFonts w:ascii="Arial" w:hAnsi="Arial" w:cs="Arial"/>
          <w:szCs w:val="24"/>
        </w:rPr>
        <w:t xml:space="preserve">La siguiente gráfica presenta el total de los rendimientos financieros generados por los recursos administrados en el Portafolio de Tesorería: </w:t>
      </w:r>
    </w:p>
    <w:p w:rsidR="00FD14B5" w:rsidRPr="00FD14B5" w:rsidRDefault="00FD14B5" w:rsidP="00FD14B5">
      <w:pPr>
        <w:spacing w:line="276" w:lineRule="auto"/>
        <w:rPr>
          <w:rFonts w:ascii="Arial" w:hAnsi="Arial" w:cs="Arial"/>
          <w:szCs w:val="24"/>
        </w:rPr>
      </w:pPr>
    </w:p>
    <w:p w:rsidR="00FD14B5" w:rsidRPr="00FD14B5" w:rsidRDefault="00FD14B5" w:rsidP="00A73E59">
      <w:pPr>
        <w:pStyle w:val="Descripcin"/>
        <w:ind w:left="1416" w:firstLine="708"/>
        <w:rPr>
          <w:rFonts w:ascii="Arial" w:hAnsi="Arial" w:cs="Arial"/>
          <w:noProof/>
          <w:color w:val="auto"/>
          <w:szCs w:val="24"/>
        </w:rPr>
      </w:pPr>
      <w:bookmarkStart w:id="183" w:name="_Toc27665790"/>
      <w:r w:rsidRPr="00FD14B5">
        <w:rPr>
          <w:rFonts w:ascii="Arial" w:hAnsi="Arial" w:cs="Arial"/>
          <w:color w:val="auto"/>
          <w:szCs w:val="24"/>
        </w:rPr>
        <w:t>Rendimiento financieros anuales 2016 – 2019</w:t>
      </w:r>
      <w:bookmarkEnd w:id="183"/>
    </w:p>
    <w:p w:rsidR="00FD14B5" w:rsidRPr="00FD14B5" w:rsidRDefault="00FD14B5" w:rsidP="00FD14B5">
      <w:pPr>
        <w:jc w:val="center"/>
        <w:rPr>
          <w:rFonts w:ascii="Arial" w:hAnsi="Arial" w:cs="Arial"/>
          <w:lang w:eastAsia="es-CO"/>
        </w:rPr>
      </w:pPr>
      <w:r w:rsidRPr="00FD14B5">
        <w:rPr>
          <w:rFonts w:ascii="Arial" w:hAnsi="Arial" w:cs="Arial"/>
          <w:noProof/>
          <w:szCs w:val="24"/>
          <w:lang w:eastAsia="es-CO"/>
        </w:rPr>
        <w:drawing>
          <wp:inline distT="0" distB="0" distL="0" distR="0" wp14:anchorId="2B778763" wp14:editId="2391A65A">
            <wp:extent cx="3309652" cy="2244108"/>
            <wp:effectExtent l="0" t="0" r="5080" b="381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08304" cy="2243194"/>
                    </a:xfrm>
                    <a:prstGeom prst="rect">
                      <a:avLst/>
                    </a:prstGeom>
                    <a:noFill/>
                  </pic:spPr>
                </pic:pic>
              </a:graphicData>
            </a:graphic>
          </wp:inline>
        </w:drawing>
      </w:r>
    </w:p>
    <w:p w:rsidR="00FD14B5" w:rsidRPr="00FD14B5" w:rsidRDefault="00FD14B5" w:rsidP="00FD14B5">
      <w:pPr>
        <w:spacing w:line="276" w:lineRule="auto"/>
        <w:jc w:val="center"/>
        <w:rPr>
          <w:rFonts w:ascii="Arial" w:hAnsi="Arial" w:cs="Arial"/>
          <w:sz w:val="20"/>
          <w:szCs w:val="24"/>
        </w:rPr>
      </w:pPr>
      <w:r w:rsidRPr="00FD14B5">
        <w:rPr>
          <w:rFonts w:ascii="Arial" w:hAnsi="Arial" w:cs="Arial"/>
          <w:sz w:val="20"/>
          <w:szCs w:val="24"/>
        </w:rPr>
        <w:t>Fuente: Subdirección Técnica de Tesorería y Recaudo – IDU</w:t>
      </w:r>
    </w:p>
    <w:p w:rsidR="00FD14B5" w:rsidRPr="00FD14B5" w:rsidRDefault="00FD14B5" w:rsidP="00A73E59">
      <w:pPr>
        <w:spacing w:line="276" w:lineRule="auto"/>
        <w:jc w:val="both"/>
        <w:rPr>
          <w:rFonts w:ascii="Arial" w:hAnsi="Arial" w:cs="Arial"/>
          <w:szCs w:val="24"/>
        </w:rPr>
      </w:pPr>
    </w:p>
    <w:p w:rsidR="00FD14B5" w:rsidRPr="00FD14B5" w:rsidRDefault="00FD14B5" w:rsidP="00A73E59">
      <w:pPr>
        <w:spacing w:line="276" w:lineRule="auto"/>
        <w:jc w:val="both"/>
        <w:rPr>
          <w:rFonts w:ascii="Arial" w:hAnsi="Arial" w:cs="Arial"/>
          <w:szCs w:val="24"/>
        </w:rPr>
      </w:pPr>
      <w:r w:rsidRPr="00FD14B5">
        <w:rPr>
          <w:rFonts w:ascii="Arial" w:hAnsi="Arial" w:cs="Arial"/>
          <w:szCs w:val="24"/>
        </w:rPr>
        <w:t xml:space="preserve">Los rendimientos financieros corresponden a las diferentes fuentes de financiación administradas (Recursos propios, valorización y convenios. Es de anotar que los rendimientos de la vigencia 2017 presentaron un crecimiento importante del 21% frente a los obtenidos en la vigencia 2016, lo anterior debido principalmente al incremento del porcentaje del cumplimiento del PAC y la optimización de la composición del portafolio. </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p>
    <w:p w:rsidR="00FD14B5" w:rsidRPr="00FD14B5" w:rsidRDefault="00FD14B5" w:rsidP="00D0183B">
      <w:pPr>
        <w:pStyle w:val="Ttulo2"/>
        <w:numPr>
          <w:ilvl w:val="1"/>
          <w:numId w:val="56"/>
        </w:numPr>
        <w:spacing w:line="276" w:lineRule="auto"/>
        <w:jc w:val="both"/>
      </w:pPr>
      <w:bookmarkStart w:id="184" w:name="_Toc27665275"/>
      <w:bookmarkStart w:id="185" w:name="_Toc30774646"/>
      <w:r w:rsidRPr="00FD14B5">
        <w:t>SITUACIÓN CONTABLE</w:t>
      </w:r>
      <w:bookmarkEnd w:id="184"/>
      <w:bookmarkEnd w:id="185"/>
    </w:p>
    <w:p w:rsidR="00FD14B5" w:rsidRPr="00FD14B5" w:rsidRDefault="00FD14B5" w:rsidP="00A73E59">
      <w:pPr>
        <w:spacing w:line="276" w:lineRule="auto"/>
        <w:jc w:val="both"/>
        <w:rPr>
          <w:rFonts w:ascii="Arial" w:hAnsi="Arial" w:cs="Arial"/>
        </w:rPr>
      </w:pPr>
    </w:p>
    <w:p w:rsidR="00FD14B5" w:rsidRPr="00FD14B5" w:rsidRDefault="00FD14B5" w:rsidP="00A73E59">
      <w:pPr>
        <w:pStyle w:val="NormalWeb"/>
        <w:spacing w:before="0" w:beforeAutospacing="0" w:after="0" w:afterAutospacing="0" w:line="276" w:lineRule="auto"/>
        <w:contextualSpacing/>
        <w:jc w:val="both"/>
        <w:rPr>
          <w:rFonts w:eastAsia="Arial" w:cs="Arial"/>
        </w:rPr>
      </w:pPr>
      <w:r w:rsidRPr="00FD14B5">
        <w:rPr>
          <w:rFonts w:eastAsia="Arial" w:cs="Arial"/>
        </w:rPr>
        <w:t>El Instituto de Desarrollo Urbano - IDU, genera la información financiera y contable, basada en los hechos económicos que son producto de su gestión, dando cumplimiento a la misionalidad de la Entidad. El resultado de esto se evidencia en los estados financieros.</w:t>
      </w:r>
    </w:p>
    <w:p w:rsidR="00FD14B5" w:rsidRPr="00FD14B5" w:rsidRDefault="00FD14B5" w:rsidP="00A73E59">
      <w:pPr>
        <w:pStyle w:val="NormalWeb"/>
        <w:spacing w:before="0" w:beforeAutospacing="0" w:after="0" w:afterAutospacing="0" w:line="276" w:lineRule="auto"/>
        <w:contextualSpacing/>
        <w:jc w:val="both"/>
        <w:rPr>
          <w:rFonts w:eastAsia="Arial" w:cs="Arial"/>
        </w:rPr>
      </w:pPr>
    </w:p>
    <w:p w:rsidR="00FD14B5" w:rsidRPr="00FD14B5" w:rsidRDefault="00FD14B5" w:rsidP="00A73E59">
      <w:pPr>
        <w:pStyle w:val="NormalWeb"/>
        <w:spacing w:before="0" w:beforeAutospacing="0" w:after="0" w:afterAutospacing="0" w:line="276" w:lineRule="auto"/>
        <w:contextualSpacing/>
        <w:jc w:val="both"/>
        <w:rPr>
          <w:rFonts w:eastAsiaTheme="minorEastAsia" w:cs="Arial"/>
          <w:bCs/>
        </w:rPr>
      </w:pPr>
      <w:r w:rsidRPr="00FD14B5">
        <w:rPr>
          <w:rFonts w:cs="Arial"/>
          <w:bCs/>
        </w:rPr>
        <w:t xml:space="preserve">De acuerdo con lo anterior, se presenta la información financiera correspondiente a </w:t>
      </w:r>
      <w:r w:rsidR="00A46760">
        <w:rPr>
          <w:rFonts w:cs="Arial"/>
          <w:bCs/>
        </w:rPr>
        <w:t xml:space="preserve">la vigencia 2019 </w:t>
      </w:r>
      <w:r w:rsidRPr="00FD14B5">
        <w:rPr>
          <w:rFonts w:cs="Arial"/>
          <w:bCs/>
        </w:rPr>
        <w:t xml:space="preserve">con corte a </w:t>
      </w:r>
      <w:r w:rsidR="00A46760">
        <w:rPr>
          <w:rFonts w:cs="Arial"/>
          <w:bCs/>
        </w:rPr>
        <w:t xml:space="preserve">diciembre de </w:t>
      </w:r>
      <w:r w:rsidRPr="00FD14B5">
        <w:rPr>
          <w:rFonts w:cs="Arial"/>
          <w:bCs/>
        </w:rPr>
        <w:t>2019.</w:t>
      </w:r>
    </w:p>
    <w:p w:rsidR="00FD14B5" w:rsidRPr="00FD14B5" w:rsidRDefault="00FD14B5" w:rsidP="00A73E59">
      <w:pPr>
        <w:spacing w:line="276" w:lineRule="auto"/>
        <w:jc w:val="both"/>
        <w:rPr>
          <w:rFonts w:ascii="Arial" w:hAnsi="Arial" w:cs="Arial"/>
        </w:rPr>
      </w:pPr>
    </w:p>
    <w:p w:rsidR="00FD14B5" w:rsidRPr="00FD14B5" w:rsidRDefault="00FD14B5" w:rsidP="00A73E59">
      <w:pPr>
        <w:pStyle w:val="NormalWeb"/>
        <w:spacing w:before="0" w:beforeAutospacing="0" w:after="0" w:afterAutospacing="0" w:line="276" w:lineRule="auto"/>
        <w:contextualSpacing/>
        <w:jc w:val="both"/>
        <w:rPr>
          <w:rFonts w:cs="Arial"/>
          <w:bCs/>
        </w:rPr>
      </w:pPr>
      <w:r w:rsidRPr="00FD14B5">
        <w:rPr>
          <w:rFonts w:cs="Arial"/>
          <w:bCs/>
        </w:rPr>
        <w:t>A partir de la vigencia 2019, los estados financieros se presentan comparativamente, de acuerdo con la aplicación de la normatividad vigente, del Marco Normativo Contable.</w:t>
      </w:r>
    </w:p>
    <w:p w:rsidR="00FD14B5" w:rsidRPr="00FD14B5" w:rsidRDefault="00FD14B5" w:rsidP="00A73E59">
      <w:pPr>
        <w:pStyle w:val="NormalWeb"/>
        <w:spacing w:before="0" w:beforeAutospacing="0" w:after="0" w:afterAutospacing="0" w:line="276" w:lineRule="auto"/>
        <w:contextualSpacing/>
        <w:jc w:val="both"/>
        <w:rPr>
          <w:rFonts w:cs="Arial"/>
          <w:bCs/>
        </w:rPr>
      </w:pPr>
    </w:p>
    <w:p w:rsidR="00FD14B5" w:rsidRPr="00FD14B5" w:rsidRDefault="00FD14B5" w:rsidP="00A73E59">
      <w:pPr>
        <w:pStyle w:val="NormalWeb"/>
        <w:spacing w:before="0" w:beforeAutospacing="0" w:after="0" w:afterAutospacing="0" w:line="276" w:lineRule="auto"/>
        <w:contextualSpacing/>
        <w:jc w:val="both"/>
        <w:rPr>
          <w:rFonts w:cs="Arial"/>
          <w:bCs/>
        </w:rPr>
      </w:pPr>
      <w:r w:rsidRPr="00FD14B5">
        <w:rPr>
          <w:rFonts w:cs="Arial"/>
          <w:bCs/>
        </w:rPr>
        <w:t xml:space="preserve">Se presenta el estado de situación financiera y el estado de resultados, con corte a 31 de </w:t>
      </w:r>
      <w:r w:rsidR="00A46760">
        <w:rPr>
          <w:rFonts w:cs="Arial"/>
          <w:bCs/>
        </w:rPr>
        <w:t>diciembre</w:t>
      </w:r>
      <w:r w:rsidRPr="00FD14B5">
        <w:rPr>
          <w:rFonts w:cs="Arial"/>
          <w:bCs/>
        </w:rPr>
        <w:t xml:space="preserve"> de 2019, donde se puede evidenciar las variaciones del año 2019 comprado con el año 2018, así:</w:t>
      </w:r>
    </w:p>
    <w:p w:rsidR="00FD14B5" w:rsidRDefault="00FD14B5" w:rsidP="00A73E59">
      <w:pPr>
        <w:spacing w:line="276" w:lineRule="auto"/>
        <w:jc w:val="both"/>
        <w:rPr>
          <w:rFonts w:ascii="Arial" w:hAnsi="Arial" w:cs="Arial"/>
        </w:rPr>
      </w:pPr>
    </w:p>
    <w:p w:rsidR="00A46760" w:rsidRDefault="00A46760" w:rsidP="00A73E59">
      <w:pPr>
        <w:spacing w:line="276" w:lineRule="auto"/>
        <w:jc w:val="both"/>
        <w:rPr>
          <w:rFonts w:ascii="Arial" w:hAnsi="Arial" w:cs="Arial"/>
        </w:rPr>
      </w:pPr>
    </w:p>
    <w:p w:rsidR="00A46760" w:rsidRDefault="00A46760" w:rsidP="00A73E59">
      <w:pPr>
        <w:spacing w:line="276" w:lineRule="auto"/>
        <w:jc w:val="both"/>
        <w:rPr>
          <w:rFonts w:ascii="Arial" w:hAnsi="Arial" w:cs="Arial"/>
        </w:rPr>
      </w:pPr>
    </w:p>
    <w:p w:rsidR="00A46760" w:rsidRDefault="00A46760" w:rsidP="00A73E59">
      <w:pPr>
        <w:spacing w:line="276" w:lineRule="auto"/>
        <w:jc w:val="both"/>
        <w:rPr>
          <w:rFonts w:ascii="Arial" w:hAnsi="Arial" w:cs="Arial"/>
        </w:rPr>
      </w:pPr>
    </w:p>
    <w:p w:rsidR="00A46760" w:rsidRDefault="00A46760" w:rsidP="00A73E59">
      <w:pPr>
        <w:spacing w:line="276" w:lineRule="auto"/>
        <w:jc w:val="both"/>
        <w:rPr>
          <w:rFonts w:ascii="Arial" w:hAnsi="Arial" w:cs="Arial"/>
        </w:rPr>
      </w:pPr>
    </w:p>
    <w:p w:rsidR="00A46760" w:rsidRDefault="00A46760" w:rsidP="00A73E59">
      <w:pPr>
        <w:spacing w:line="276" w:lineRule="auto"/>
        <w:jc w:val="both"/>
        <w:rPr>
          <w:rFonts w:ascii="Arial" w:hAnsi="Arial" w:cs="Arial"/>
        </w:rPr>
      </w:pPr>
    </w:p>
    <w:p w:rsidR="00A46760" w:rsidRDefault="00A46760" w:rsidP="00A73E59">
      <w:pPr>
        <w:spacing w:line="276" w:lineRule="auto"/>
        <w:jc w:val="both"/>
        <w:rPr>
          <w:rFonts w:ascii="Arial" w:hAnsi="Arial" w:cs="Arial"/>
        </w:rPr>
      </w:pPr>
    </w:p>
    <w:p w:rsidR="00A46760" w:rsidRDefault="00A46760" w:rsidP="00A73E59">
      <w:pPr>
        <w:spacing w:line="276" w:lineRule="auto"/>
        <w:jc w:val="both"/>
        <w:rPr>
          <w:rFonts w:ascii="Arial" w:hAnsi="Arial" w:cs="Arial"/>
        </w:rPr>
      </w:pPr>
    </w:p>
    <w:p w:rsidR="00A46760" w:rsidRDefault="00A46760" w:rsidP="00A73E59">
      <w:pPr>
        <w:spacing w:line="276" w:lineRule="auto"/>
        <w:jc w:val="both"/>
        <w:rPr>
          <w:rFonts w:ascii="Arial" w:hAnsi="Arial" w:cs="Arial"/>
        </w:rPr>
      </w:pPr>
    </w:p>
    <w:p w:rsidR="00A46760" w:rsidRPr="00FD14B5" w:rsidRDefault="00A46760" w:rsidP="00A73E59">
      <w:pPr>
        <w:spacing w:line="276" w:lineRule="auto"/>
        <w:jc w:val="both"/>
        <w:rPr>
          <w:rFonts w:ascii="Arial" w:hAnsi="Arial" w:cs="Arial"/>
        </w:rPr>
      </w:pPr>
    </w:p>
    <w:p w:rsidR="00FD14B5" w:rsidRPr="00FD14B5" w:rsidRDefault="00FD14B5" w:rsidP="00A73E59">
      <w:pPr>
        <w:pStyle w:val="Descripcin"/>
        <w:spacing w:after="0"/>
        <w:rPr>
          <w:rFonts w:ascii="Arial" w:hAnsi="Arial" w:cs="Arial"/>
          <w:color w:val="auto"/>
        </w:rPr>
      </w:pPr>
      <w:bookmarkStart w:id="186" w:name="_Toc27665408"/>
      <w:r w:rsidRPr="00FD14B5">
        <w:rPr>
          <w:rFonts w:ascii="Arial" w:hAnsi="Arial" w:cs="Arial"/>
          <w:color w:val="auto"/>
        </w:rPr>
        <w:t>Estados contables 2019</w:t>
      </w:r>
      <w:bookmarkEnd w:id="186"/>
    </w:p>
    <w:p w:rsidR="00FD14B5" w:rsidRPr="00FD14B5" w:rsidRDefault="00FD14B5" w:rsidP="00A73E59">
      <w:pPr>
        <w:spacing w:line="276" w:lineRule="auto"/>
        <w:jc w:val="both"/>
        <w:rPr>
          <w:rFonts w:ascii="Arial" w:hAnsi="Arial" w:cs="Arial"/>
        </w:rPr>
      </w:pPr>
      <w:r w:rsidRPr="00FD14B5">
        <w:rPr>
          <w:rFonts w:ascii="Arial" w:hAnsi="Arial" w:cs="Arial"/>
          <w:noProof/>
          <w:lang w:eastAsia="es-CO"/>
        </w:rPr>
        <w:drawing>
          <wp:inline distT="0" distB="0" distL="0" distR="0" wp14:anchorId="25A785D1" wp14:editId="26C56278">
            <wp:extent cx="4945380" cy="2766060"/>
            <wp:effectExtent l="0" t="0" r="762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45380" cy="2766060"/>
                    </a:xfrm>
                    <a:prstGeom prst="rect">
                      <a:avLst/>
                    </a:prstGeom>
                    <a:noFill/>
                    <a:ln>
                      <a:noFill/>
                    </a:ln>
                  </pic:spPr>
                </pic:pic>
              </a:graphicData>
            </a:graphic>
          </wp:inline>
        </w:drawing>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Detalle de la cuenta de activo, con corte a octubre de 2019.</w:t>
      </w:r>
    </w:p>
    <w:p w:rsidR="00FD14B5" w:rsidRPr="00FD14B5" w:rsidRDefault="00FD14B5" w:rsidP="00A73E59">
      <w:pPr>
        <w:spacing w:line="276" w:lineRule="auto"/>
        <w:jc w:val="both"/>
        <w:rPr>
          <w:rFonts w:ascii="Arial" w:hAnsi="Arial" w:cs="Arial"/>
        </w:rPr>
      </w:pPr>
    </w:p>
    <w:p w:rsidR="00FD14B5" w:rsidRPr="00FD14B5" w:rsidRDefault="00FD14B5" w:rsidP="00A73E59">
      <w:pPr>
        <w:pStyle w:val="Descripcin"/>
        <w:spacing w:after="0"/>
        <w:rPr>
          <w:rFonts w:ascii="Arial" w:hAnsi="Arial" w:cs="Arial"/>
          <w:color w:val="auto"/>
        </w:rPr>
      </w:pPr>
      <w:bookmarkStart w:id="187" w:name="_Toc27665409"/>
      <w:r w:rsidRPr="00FD14B5">
        <w:rPr>
          <w:rFonts w:ascii="Arial" w:hAnsi="Arial" w:cs="Arial"/>
          <w:color w:val="auto"/>
        </w:rPr>
        <w:t>Cuentas del Activo 2019</w:t>
      </w:r>
      <w:bookmarkEnd w:id="187"/>
    </w:p>
    <w:p w:rsidR="00FD14B5" w:rsidRPr="00FD14B5" w:rsidRDefault="00FD14B5" w:rsidP="00A73E59">
      <w:pPr>
        <w:spacing w:line="276" w:lineRule="auto"/>
        <w:jc w:val="both"/>
        <w:rPr>
          <w:rFonts w:ascii="Arial" w:hAnsi="Arial" w:cs="Arial"/>
        </w:rPr>
      </w:pPr>
      <w:r w:rsidRPr="00FD14B5">
        <w:rPr>
          <w:rFonts w:ascii="Arial" w:hAnsi="Arial" w:cs="Arial"/>
          <w:noProof/>
          <w:lang w:eastAsia="es-CO"/>
        </w:rPr>
        <w:drawing>
          <wp:inline distT="0" distB="0" distL="0" distR="0" wp14:anchorId="7D5F4A44" wp14:editId="4BB10724">
            <wp:extent cx="5615940" cy="1905000"/>
            <wp:effectExtent l="0" t="0" r="381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5940" cy="1905000"/>
                    </a:xfrm>
                    <a:prstGeom prst="rect">
                      <a:avLst/>
                    </a:prstGeom>
                    <a:noFill/>
                    <a:ln>
                      <a:noFill/>
                    </a:ln>
                  </pic:spPr>
                </pic:pic>
              </a:graphicData>
            </a:graphic>
          </wp:inline>
        </w:drawing>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 xml:space="preserve">Con corte a </w:t>
      </w:r>
      <w:r w:rsidR="009163C4">
        <w:rPr>
          <w:rFonts w:ascii="Arial" w:hAnsi="Arial" w:cs="Arial"/>
        </w:rPr>
        <w:t>diciembre</w:t>
      </w:r>
      <w:r w:rsidRPr="00FD14B5">
        <w:rPr>
          <w:rFonts w:ascii="Arial" w:hAnsi="Arial" w:cs="Arial"/>
        </w:rPr>
        <w:t xml:space="preserve"> de 2019, se analiza que la cuenta de bienes de uso público representa una participación del 84.03%, sobre el valor total del activo, siendo esta la cuenta más significativa del estado de situación financiera del IDU, por un valor acumulado de $10.813.481.782 (Cifra en miles).</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lastRenderedPageBreak/>
        <w:t>En las cuentas por cobrar se puede evidenciar una variación de una vigencia a otra por valor de $651.332.356 (Cifra en miles), lo anterior está representado principalmente por la entrada en vigencia del acuerdo de valorización 724 de 2018, aprobado por el Concejo de Bogotá D.C.</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contextualSpacing/>
        <w:jc w:val="both"/>
        <w:rPr>
          <w:rFonts w:ascii="Arial" w:hAnsi="Arial" w:cs="Arial"/>
        </w:rPr>
      </w:pPr>
      <w:r w:rsidRPr="00FD14B5">
        <w:rPr>
          <w:rFonts w:ascii="Arial" w:hAnsi="Arial" w:cs="Arial"/>
        </w:rPr>
        <w:t>Los bienes de uso público presentan un saldo de $10.813.481.782 (Cifras en miles), el cual refleja un incremento de $1.048.731.623 (Cifras en miles), comparativamente con el saldo de $9.764.750.159 (Cifras en miles), correspondiente a octubre de 2018, la variación principalmente obedece a la vías que están puestas al servicio de la comunidad, algunas de ellas son Avenida San Antonio, Avenida Bosa Tintal y un tramo de la Avenida Ciudad de Cali, entre otras; igualmente se encuentran algunas obras en proceso de estudios y diseños, la ejecución de las obras de las troncales de Transmilenio y la adquisición predial necesaria para la ejecución de la Avenida Alsacia, la Troncal calle 13 y las Avenidas Tintal y Bosa.</w:t>
      </w:r>
    </w:p>
    <w:p w:rsidR="00FD14B5" w:rsidRPr="00FD14B5" w:rsidRDefault="00FD14B5" w:rsidP="00A73E59">
      <w:pPr>
        <w:spacing w:line="276" w:lineRule="auto"/>
        <w:jc w:val="both"/>
        <w:rPr>
          <w:rFonts w:ascii="Arial" w:eastAsia="Arial Unicode MS" w:hAnsi="Arial" w:cs="Arial"/>
          <w:lang w:val="es-ES_tradnl" w:eastAsia="ar-SA"/>
        </w:rPr>
      </w:pPr>
    </w:p>
    <w:p w:rsidR="00FD14B5" w:rsidRPr="00FD14B5" w:rsidRDefault="00FD14B5" w:rsidP="00A73E59">
      <w:pPr>
        <w:spacing w:line="276" w:lineRule="auto"/>
        <w:jc w:val="both"/>
        <w:rPr>
          <w:rFonts w:ascii="Arial" w:hAnsi="Arial" w:cs="Arial"/>
        </w:rPr>
      </w:pPr>
      <w:r w:rsidRPr="00FD14B5">
        <w:rPr>
          <w:rFonts w:ascii="Arial" w:hAnsi="Arial" w:cs="Arial"/>
        </w:rPr>
        <w:t xml:space="preserve">Detalle de la cuenta del pasivo, con corte a </w:t>
      </w:r>
      <w:r w:rsidR="009163C4">
        <w:rPr>
          <w:rFonts w:ascii="Arial" w:hAnsi="Arial" w:cs="Arial"/>
        </w:rPr>
        <w:t>diciembre</w:t>
      </w:r>
      <w:r w:rsidRPr="00FD14B5">
        <w:rPr>
          <w:rFonts w:ascii="Arial" w:hAnsi="Arial" w:cs="Arial"/>
        </w:rPr>
        <w:t xml:space="preserve"> de 2019.</w:t>
      </w:r>
    </w:p>
    <w:p w:rsidR="00FD14B5" w:rsidRPr="00FD14B5" w:rsidRDefault="00FD14B5" w:rsidP="00A73E59">
      <w:pPr>
        <w:pStyle w:val="Descripcin"/>
        <w:spacing w:after="0"/>
        <w:rPr>
          <w:rFonts w:ascii="Arial" w:hAnsi="Arial" w:cs="Arial"/>
          <w:color w:val="auto"/>
        </w:rPr>
      </w:pPr>
    </w:p>
    <w:p w:rsidR="00FD14B5" w:rsidRPr="00FD14B5" w:rsidRDefault="00FD14B5" w:rsidP="00A73E59">
      <w:pPr>
        <w:pStyle w:val="Descripcin"/>
        <w:spacing w:after="0"/>
        <w:rPr>
          <w:rFonts w:ascii="Arial" w:hAnsi="Arial" w:cs="Arial"/>
          <w:color w:val="auto"/>
        </w:rPr>
      </w:pPr>
      <w:bookmarkStart w:id="188" w:name="_Toc27665410"/>
      <w:r w:rsidRPr="00FD14B5">
        <w:rPr>
          <w:rFonts w:ascii="Arial" w:hAnsi="Arial" w:cs="Arial"/>
          <w:color w:val="auto"/>
        </w:rPr>
        <w:t>Cuentas del Pasivo 2019</w:t>
      </w:r>
      <w:bookmarkEnd w:id="188"/>
    </w:p>
    <w:p w:rsidR="00FD14B5" w:rsidRPr="00FD14B5" w:rsidRDefault="00FD14B5" w:rsidP="00A73E59">
      <w:pPr>
        <w:spacing w:line="276" w:lineRule="auto"/>
        <w:jc w:val="both"/>
        <w:rPr>
          <w:rFonts w:ascii="Arial" w:hAnsi="Arial" w:cs="Arial"/>
        </w:rPr>
      </w:pPr>
      <w:r w:rsidRPr="00FD14B5">
        <w:rPr>
          <w:rFonts w:ascii="Arial" w:hAnsi="Arial" w:cs="Arial"/>
          <w:noProof/>
          <w:lang w:eastAsia="es-CO"/>
        </w:rPr>
        <w:drawing>
          <wp:inline distT="0" distB="0" distL="0" distR="0" wp14:anchorId="616BD468" wp14:editId="00C07BF1">
            <wp:extent cx="5166360" cy="1805940"/>
            <wp:effectExtent l="0" t="0" r="0" b="381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66360" cy="1805940"/>
                    </a:xfrm>
                    <a:prstGeom prst="rect">
                      <a:avLst/>
                    </a:prstGeom>
                    <a:noFill/>
                    <a:ln>
                      <a:noFill/>
                    </a:ln>
                  </pic:spPr>
                </pic:pic>
              </a:graphicData>
            </a:graphic>
          </wp:inline>
        </w:drawing>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 xml:space="preserve">Con corte a </w:t>
      </w:r>
      <w:r w:rsidR="009163C4">
        <w:rPr>
          <w:rFonts w:ascii="Arial" w:hAnsi="Arial" w:cs="Arial"/>
        </w:rPr>
        <w:t>diciembre</w:t>
      </w:r>
      <w:r w:rsidRPr="00FD14B5">
        <w:rPr>
          <w:rFonts w:ascii="Arial" w:hAnsi="Arial" w:cs="Arial"/>
        </w:rPr>
        <w:t xml:space="preserve"> de 2019, los pasivos totales están por valor de $178.795.643 (Cifras en miles), los cuales están representados principalmente por otros pasivos, que corresponden a ingresos recibidos por anticipado, por concepto de contribuciones.</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 xml:space="preserve">Las provisiones representan el 37.73%, sobre el total del pasivo, con corte a </w:t>
      </w:r>
      <w:r w:rsidR="009163C4">
        <w:rPr>
          <w:rFonts w:ascii="Arial" w:hAnsi="Arial" w:cs="Arial"/>
        </w:rPr>
        <w:t>diciembre</w:t>
      </w:r>
      <w:r w:rsidRPr="00FD14B5">
        <w:rPr>
          <w:rFonts w:ascii="Arial" w:hAnsi="Arial" w:cs="Arial"/>
        </w:rPr>
        <w:t xml:space="preserve"> de 2019, esta cuenta presenta el saldo por concepto de los litigios y demandas que tienen la entidad, de acuerdo con lo informado por el aplicativo SIPROJ.</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 xml:space="preserve">Estado de resultados con corte a </w:t>
      </w:r>
      <w:r w:rsidR="009163C4">
        <w:rPr>
          <w:rFonts w:ascii="Arial" w:hAnsi="Arial" w:cs="Arial"/>
        </w:rPr>
        <w:t>diciembre</w:t>
      </w:r>
      <w:r w:rsidRPr="00FD14B5">
        <w:rPr>
          <w:rFonts w:ascii="Arial" w:hAnsi="Arial" w:cs="Arial"/>
        </w:rPr>
        <w:t xml:space="preserve"> de 2019</w:t>
      </w:r>
    </w:p>
    <w:p w:rsidR="00FD14B5" w:rsidRPr="00FD14B5" w:rsidRDefault="00FD14B5" w:rsidP="00A73E59">
      <w:pPr>
        <w:spacing w:line="276" w:lineRule="auto"/>
        <w:jc w:val="both"/>
        <w:rPr>
          <w:rFonts w:ascii="Arial" w:hAnsi="Arial" w:cs="Arial"/>
          <w:sz w:val="20"/>
        </w:rPr>
      </w:pPr>
    </w:p>
    <w:p w:rsidR="009163C4" w:rsidRDefault="009163C4" w:rsidP="00A73E59">
      <w:pPr>
        <w:spacing w:line="276" w:lineRule="auto"/>
        <w:jc w:val="both"/>
        <w:rPr>
          <w:rFonts w:ascii="Arial" w:hAnsi="Arial" w:cs="Arial"/>
          <w:sz w:val="20"/>
        </w:rPr>
      </w:pPr>
      <w:bookmarkStart w:id="189" w:name="_Toc27665411"/>
    </w:p>
    <w:p w:rsidR="009163C4" w:rsidRDefault="009163C4" w:rsidP="00A73E59">
      <w:pPr>
        <w:spacing w:line="276" w:lineRule="auto"/>
        <w:jc w:val="both"/>
        <w:rPr>
          <w:rFonts w:ascii="Arial" w:hAnsi="Arial" w:cs="Arial"/>
          <w:sz w:val="20"/>
        </w:rPr>
      </w:pPr>
    </w:p>
    <w:p w:rsidR="009163C4" w:rsidRDefault="009163C4" w:rsidP="00A73E59">
      <w:pPr>
        <w:spacing w:line="276" w:lineRule="auto"/>
        <w:jc w:val="both"/>
        <w:rPr>
          <w:rFonts w:ascii="Arial" w:hAnsi="Arial" w:cs="Arial"/>
          <w:sz w:val="20"/>
        </w:rPr>
      </w:pPr>
    </w:p>
    <w:p w:rsidR="00FD14B5" w:rsidRPr="009163C4" w:rsidRDefault="00FD14B5" w:rsidP="00A73E59">
      <w:pPr>
        <w:spacing w:line="276" w:lineRule="auto"/>
        <w:jc w:val="both"/>
        <w:rPr>
          <w:rFonts w:ascii="Arial" w:hAnsi="Arial" w:cs="Arial"/>
          <w:sz w:val="18"/>
          <w:szCs w:val="18"/>
        </w:rPr>
      </w:pPr>
      <w:r w:rsidRPr="009163C4">
        <w:rPr>
          <w:rFonts w:ascii="Arial" w:hAnsi="Arial" w:cs="Arial"/>
          <w:sz w:val="18"/>
          <w:szCs w:val="18"/>
        </w:rPr>
        <w:t>Estado de Resultados 2019</w:t>
      </w:r>
      <w:bookmarkEnd w:id="189"/>
    </w:p>
    <w:p w:rsidR="00FD14B5" w:rsidRPr="00FD14B5" w:rsidRDefault="00FD14B5" w:rsidP="00A73E59">
      <w:pPr>
        <w:spacing w:line="276" w:lineRule="auto"/>
        <w:jc w:val="both"/>
        <w:rPr>
          <w:rFonts w:ascii="Arial" w:hAnsi="Arial" w:cs="Arial"/>
        </w:rPr>
      </w:pPr>
      <w:r w:rsidRPr="00FD14B5">
        <w:rPr>
          <w:rFonts w:ascii="Arial" w:hAnsi="Arial" w:cs="Arial"/>
          <w:noProof/>
          <w:lang w:eastAsia="es-CO"/>
        </w:rPr>
        <w:drawing>
          <wp:inline distT="0" distB="0" distL="0" distR="0" wp14:anchorId="735F7E13" wp14:editId="3174A194">
            <wp:extent cx="5356860" cy="2987040"/>
            <wp:effectExtent l="0" t="0" r="0" b="381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56860" cy="2987040"/>
                    </a:xfrm>
                    <a:prstGeom prst="rect">
                      <a:avLst/>
                    </a:prstGeom>
                    <a:noFill/>
                    <a:ln>
                      <a:noFill/>
                    </a:ln>
                  </pic:spPr>
                </pic:pic>
              </a:graphicData>
            </a:graphic>
          </wp:inline>
        </w:drawing>
      </w:r>
    </w:p>
    <w:p w:rsidR="00FD14B5" w:rsidRPr="00FD14B5" w:rsidRDefault="00FD14B5" w:rsidP="00A73E59">
      <w:pPr>
        <w:spacing w:line="276" w:lineRule="auto"/>
        <w:contextualSpacing/>
        <w:jc w:val="both"/>
        <w:rPr>
          <w:rFonts w:ascii="Arial" w:hAnsi="Arial" w:cs="Arial"/>
        </w:rPr>
      </w:pPr>
      <w:r w:rsidRPr="00FD14B5">
        <w:rPr>
          <w:rFonts w:ascii="Arial" w:hAnsi="Arial" w:cs="Arial"/>
        </w:rPr>
        <w:t>Los ingresos fiscales presentan una variación por valor de $788.233.650 (Cifras en miles), lo cual corresponde principalmente al reconocimiento de los ingresos por concepto del Acuerdo d</w:t>
      </w:r>
      <w:r w:rsidR="00BD0E63">
        <w:rPr>
          <w:rFonts w:ascii="Arial" w:hAnsi="Arial" w:cs="Arial"/>
        </w:rPr>
        <w:t>e Valorización 724 de 2018.</w:t>
      </w:r>
    </w:p>
    <w:p w:rsidR="00FD14B5" w:rsidRPr="00FD14B5" w:rsidRDefault="00FD14B5" w:rsidP="00A73E59">
      <w:pPr>
        <w:spacing w:line="276" w:lineRule="auto"/>
        <w:jc w:val="both"/>
        <w:rPr>
          <w:rFonts w:ascii="Arial" w:hAnsi="Arial" w:cs="Arial"/>
        </w:rPr>
      </w:pPr>
    </w:p>
    <w:p w:rsidR="00FD14B5" w:rsidRPr="00BD0E63" w:rsidRDefault="00FD14B5" w:rsidP="00D0183B">
      <w:pPr>
        <w:pStyle w:val="Ttulo2"/>
        <w:numPr>
          <w:ilvl w:val="1"/>
          <w:numId w:val="56"/>
        </w:numPr>
        <w:spacing w:line="276" w:lineRule="auto"/>
        <w:jc w:val="both"/>
        <w:rPr>
          <w:sz w:val="24"/>
          <w:szCs w:val="24"/>
        </w:rPr>
      </w:pPr>
      <w:bookmarkStart w:id="190" w:name="_Toc27665281"/>
      <w:bookmarkStart w:id="191" w:name="_Toc30774647"/>
      <w:r w:rsidRPr="00BD0E63">
        <w:rPr>
          <w:sz w:val="24"/>
          <w:szCs w:val="24"/>
        </w:rPr>
        <w:t>RECURSOS FÍSICOS</w:t>
      </w:r>
      <w:bookmarkEnd w:id="190"/>
      <w:bookmarkEnd w:id="191"/>
      <w:r w:rsidRPr="00BD0E63">
        <w:rPr>
          <w:sz w:val="24"/>
          <w:szCs w:val="24"/>
        </w:rPr>
        <w:t xml:space="preserve"> </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eastAsia="Calibri" w:hAnsi="Arial" w:cs="Arial"/>
        </w:rPr>
      </w:pPr>
      <w:r w:rsidRPr="00FD14B5">
        <w:rPr>
          <w:rFonts w:ascii="Arial" w:eastAsia="Calibri" w:hAnsi="Arial" w:cs="Arial"/>
        </w:rPr>
        <w:t>Mediante la ejecución de este proceso, se prestan servicios de logística y apoyo a la gestión de los procesos del IDU, mediante la eficiente administración de recursos físicos, bajo estándares de calidad, oportunidad y efectividad, para asegurar el normal funcionamiento de los procesos y la satisfacción de las necesidades internas. Inicia desde la identificación de necesidades para la adquisición y mantenimiento de bienes y servicios, hasta el suministro oportuno y adecuado de los recursos físicos y las operaciones logísticas necesarias que demanden dichos procesos, incluyendo su evaluación y seguimiento.</w:t>
      </w:r>
    </w:p>
    <w:p w:rsidR="00FD14B5" w:rsidRPr="00FD14B5" w:rsidRDefault="00FD14B5" w:rsidP="00A73E59">
      <w:pPr>
        <w:spacing w:line="276" w:lineRule="auto"/>
        <w:jc w:val="both"/>
        <w:rPr>
          <w:rFonts w:ascii="Arial" w:hAnsi="Arial" w:cs="Arial"/>
          <w:b/>
        </w:rPr>
      </w:pPr>
    </w:p>
    <w:p w:rsidR="00FD14B5" w:rsidRPr="00FD14B5" w:rsidRDefault="00FD14B5" w:rsidP="00A73E59">
      <w:pPr>
        <w:spacing w:line="276" w:lineRule="auto"/>
        <w:ind w:right="49"/>
        <w:jc w:val="both"/>
        <w:rPr>
          <w:rFonts w:ascii="Arial" w:hAnsi="Arial" w:cs="Arial"/>
        </w:rPr>
      </w:pPr>
      <w:r w:rsidRPr="00FD14B5">
        <w:rPr>
          <w:rFonts w:ascii="Arial" w:hAnsi="Arial" w:cs="Arial"/>
        </w:rPr>
        <w:t xml:space="preserve">La Subdirección Técnica de Recursos Físicos, ejecuta los planes y programas relacionados con la administración de los recursos físicos y de servicios que requiere la Entidad y las </w:t>
      </w:r>
      <w:r w:rsidRPr="00FD14B5">
        <w:rPr>
          <w:rFonts w:ascii="Arial" w:hAnsi="Arial" w:cs="Arial"/>
        </w:rPr>
        <w:lastRenderedPageBreak/>
        <w:t>acciones necesarias para garantizar la prestación de los servicios de transporte, aseo, cafetería, vigilancia, centro de documentación, archivo y correspondencia, mantenimiento locativo, mantenimiento preventivo y correctivo de los bienes muebles y equipos, así como el manejo de inventarios y demás servicios que se requieran para dar al IDU un apoyo logístico oportuno, ágil y eficiente. También administra el Programa de Seguros, dando curso al corredor de seguros de los siniestros o reclamaciones ocurridas en vigencia de las pólizas y haciendo seguimiento de su atención y trámite.</w:t>
      </w:r>
    </w:p>
    <w:p w:rsidR="00FD14B5" w:rsidRPr="00FD14B5" w:rsidRDefault="00FD14B5" w:rsidP="00A73E59">
      <w:pPr>
        <w:spacing w:line="276" w:lineRule="auto"/>
        <w:ind w:right="49"/>
        <w:jc w:val="both"/>
        <w:rPr>
          <w:rFonts w:ascii="Arial" w:hAnsi="Arial" w:cs="Arial"/>
        </w:rPr>
      </w:pPr>
    </w:p>
    <w:p w:rsidR="00FD14B5" w:rsidRPr="00FD14B5" w:rsidRDefault="00FD14B5" w:rsidP="00A73E59">
      <w:pPr>
        <w:spacing w:line="276" w:lineRule="auto"/>
        <w:ind w:right="49"/>
        <w:jc w:val="both"/>
        <w:rPr>
          <w:rFonts w:ascii="Arial" w:hAnsi="Arial" w:cs="Arial"/>
        </w:rPr>
      </w:pPr>
      <w:r w:rsidRPr="00FD14B5">
        <w:rPr>
          <w:rFonts w:ascii="Arial" w:hAnsi="Arial" w:cs="Arial"/>
        </w:rPr>
        <w:t>Así, durante el período de enero de 2016 y diciembre de 2019, se garantizaron no sólo los servicios básicos necesarios para el funcionamiento de la Entidad, sino que también se emprendieron acciones para mejorar la infraestructura existente, de forma que se brindaran condiciones óptimas de funcionamiento y de seguridad en las instalaciones donde opera el IDU.</w:t>
      </w:r>
    </w:p>
    <w:p w:rsidR="00FD14B5" w:rsidRPr="00FD14B5" w:rsidRDefault="00FD14B5" w:rsidP="00A73E59">
      <w:pPr>
        <w:spacing w:line="276" w:lineRule="auto"/>
        <w:ind w:right="49"/>
        <w:jc w:val="both"/>
        <w:rPr>
          <w:rFonts w:ascii="Arial" w:hAnsi="Arial" w:cs="Arial"/>
        </w:rPr>
      </w:pPr>
    </w:p>
    <w:p w:rsidR="00BD0E63" w:rsidRDefault="00FD14B5" w:rsidP="00A73E59">
      <w:pPr>
        <w:spacing w:line="276" w:lineRule="auto"/>
        <w:ind w:right="49"/>
        <w:jc w:val="both"/>
        <w:rPr>
          <w:rFonts w:ascii="Arial" w:hAnsi="Arial" w:cs="Arial"/>
        </w:rPr>
      </w:pPr>
      <w:r w:rsidRPr="00FD14B5">
        <w:rPr>
          <w:rFonts w:ascii="Arial" w:hAnsi="Arial" w:cs="Arial"/>
        </w:rPr>
        <w:t>El estado en que quedan los principales aspectos de la administración de Recursos Físicos, dan cuenta de la transformación y avance de la infraestructura con que cuenta la Entidad, la mejora en las instalaciones y espacios para la ejecución de las actividades que le son propias, servicios contratados y prestados con oportunidad y calidad, instalaciones eléctricas seguras, parque automotor parcialmente renovado, ascensores nuevos, inventarios depurados, reglas claras para la administración de recursos físicos, archivos más organizados de forma que se preserve la memoria institucional y un centro de documentación consolidado como fuente de información para el desarrollo urbano de la ciudad.</w:t>
      </w:r>
    </w:p>
    <w:p w:rsidR="00BD0E63" w:rsidRPr="00FD14B5" w:rsidRDefault="00BD0E63" w:rsidP="00A73E59">
      <w:pPr>
        <w:spacing w:line="276" w:lineRule="auto"/>
        <w:ind w:right="49"/>
        <w:jc w:val="both"/>
        <w:rPr>
          <w:rFonts w:ascii="Arial" w:hAnsi="Arial" w:cs="Arial"/>
        </w:rPr>
      </w:pPr>
    </w:p>
    <w:p w:rsidR="00FD14B5" w:rsidRPr="00BD0E63" w:rsidRDefault="00FD14B5" w:rsidP="00D0183B">
      <w:pPr>
        <w:pStyle w:val="Ttulo3"/>
        <w:keepNext w:val="0"/>
        <w:keepLines w:val="0"/>
        <w:numPr>
          <w:ilvl w:val="2"/>
          <w:numId w:val="56"/>
        </w:numPr>
        <w:tabs>
          <w:tab w:val="left" w:pos="709"/>
          <w:tab w:val="left" w:pos="1276"/>
        </w:tabs>
        <w:spacing w:before="0" w:line="276" w:lineRule="auto"/>
        <w:jc w:val="both"/>
        <w:rPr>
          <w:rFonts w:ascii="Arial" w:hAnsi="Arial" w:cs="Arial"/>
          <w:b/>
          <w:color w:val="auto"/>
          <w:sz w:val="22"/>
          <w:szCs w:val="22"/>
        </w:rPr>
      </w:pPr>
      <w:bookmarkStart w:id="192" w:name="_Toc27665282"/>
      <w:bookmarkStart w:id="193" w:name="_Toc30774648"/>
      <w:r w:rsidRPr="00BD0E63">
        <w:rPr>
          <w:rFonts w:ascii="Arial" w:hAnsi="Arial" w:cs="Arial"/>
          <w:b/>
          <w:color w:val="auto"/>
          <w:sz w:val="22"/>
          <w:szCs w:val="22"/>
        </w:rPr>
        <w:t>SEDES DEL IDU</w:t>
      </w:r>
      <w:bookmarkEnd w:id="192"/>
      <w:bookmarkEnd w:id="193"/>
    </w:p>
    <w:p w:rsidR="00FD14B5" w:rsidRPr="00FD14B5" w:rsidRDefault="00FD14B5" w:rsidP="00A73E59">
      <w:pPr>
        <w:spacing w:line="240" w:lineRule="auto"/>
        <w:jc w:val="both"/>
        <w:rPr>
          <w:rFonts w:ascii="Arial" w:hAnsi="Arial" w:cs="Arial"/>
          <w:b/>
        </w:rPr>
      </w:pPr>
    </w:p>
    <w:p w:rsidR="00FD14B5" w:rsidRPr="00FD14B5" w:rsidRDefault="00FD14B5" w:rsidP="00A73E59">
      <w:pPr>
        <w:spacing w:line="276" w:lineRule="auto"/>
        <w:jc w:val="both"/>
        <w:rPr>
          <w:rFonts w:ascii="Arial" w:hAnsi="Arial" w:cs="Arial"/>
        </w:rPr>
      </w:pPr>
      <w:r w:rsidRPr="00FD14B5">
        <w:rPr>
          <w:rFonts w:ascii="Arial" w:eastAsia="Times New Roman" w:hAnsi="Arial" w:cs="Arial"/>
        </w:rPr>
        <w:t>En el presente numeral se da a conocer los inmuebles con que cuenta el IDU, tanto de su propiedad como sedes arrendadas, para adelantar la misión que le ha sido</w:t>
      </w:r>
      <w:r w:rsidRPr="00FD14B5">
        <w:rPr>
          <w:rFonts w:ascii="Arial" w:hAnsi="Arial" w:cs="Arial"/>
        </w:rPr>
        <w:t xml:space="preserve"> encomendada, a saber:</w:t>
      </w:r>
    </w:p>
    <w:p w:rsidR="00FD14B5" w:rsidRPr="00FD14B5" w:rsidRDefault="00FD14B5" w:rsidP="00A73E59">
      <w:pPr>
        <w:spacing w:line="276" w:lineRule="auto"/>
        <w:jc w:val="both"/>
        <w:rPr>
          <w:rFonts w:ascii="Arial" w:hAnsi="Arial" w:cs="Arial"/>
        </w:rPr>
      </w:pPr>
    </w:p>
    <w:p w:rsidR="00FD14B5" w:rsidRPr="00BD0E63" w:rsidRDefault="00FD14B5" w:rsidP="00D0183B">
      <w:pPr>
        <w:pStyle w:val="Ttulo4"/>
        <w:keepNext w:val="0"/>
        <w:keepLines w:val="0"/>
        <w:numPr>
          <w:ilvl w:val="3"/>
          <w:numId w:val="56"/>
        </w:numPr>
        <w:spacing w:before="0" w:line="276" w:lineRule="auto"/>
        <w:jc w:val="both"/>
        <w:rPr>
          <w:rFonts w:ascii="Arial" w:hAnsi="Arial" w:cs="Arial"/>
          <w:b/>
          <w:i w:val="0"/>
          <w:color w:val="auto"/>
        </w:rPr>
      </w:pPr>
      <w:bookmarkStart w:id="194" w:name="_Toc440528667"/>
      <w:r w:rsidRPr="00BD0E63">
        <w:rPr>
          <w:rFonts w:ascii="Arial" w:hAnsi="Arial" w:cs="Arial"/>
          <w:b/>
          <w:i w:val="0"/>
          <w:color w:val="auto"/>
        </w:rPr>
        <w:t>Predios de propiedad del IDU</w:t>
      </w:r>
      <w:bookmarkEnd w:id="194"/>
    </w:p>
    <w:p w:rsidR="00FD14B5" w:rsidRPr="00FD14B5" w:rsidRDefault="00FD14B5" w:rsidP="00A73E59">
      <w:pPr>
        <w:spacing w:line="276" w:lineRule="auto"/>
        <w:jc w:val="both"/>
        <w:rPr>
          <w:rFonts w:ascii="Arial" w:hAnsi="Arial" w:cs="Arial"/>
        </w:rPr>
      </w:pPr>
    </w:p>
    <w:p w:rsidR="00FD14B5" w:rsidRPr="00FD14B5" w:rsidRDefault="00FD14B5" w:rsidP="00D0183B">
      <w:pPr>
        <w:pStyle w:val="Prrafodelista"/>
        <w:numPr>
          <w:ilvl w:val="0"/>
          <w:numId w:val="37"/>
        </w:numPr>
        <w:autoSpaceDE w:val="0"/>
        <w:autoSpaceDN w:val="0"/>
        <w:adjustRightInd w:val="0"/>
        <w:spacing w:after="0" w:line="240" w:lineRule="auto"/>
        <w:ind w:left="567"/>
        <w:jc w:val="both"/>
        <w:rPr>
          <w:rFonts w:ascii="Arial" w:hAnsi="Arial" w:cs="Arial"/>
        </w:rPr>
      </w:pPr>
      <w:r w:rsidRPr="00FD14B5">
        <w:rPr>
          <w:rFonts w:ascii="Arial" w:hAnsi="Arial" w:cs="Arial"/>
        </w:rPr>
        <w:t>Sede calle 22, ubicada en la calle 22 No.6-27: Cuenta con un total de 12 pisos y un sótano y alberga 820 puestos de trabajo y una serie de espacios para reuniones de trabajo, auditorio con capacidad para 80 personas, zonas comunes y áreas para el desarrollo de procesos estratégicos, áreas misionales y de apoyo. Así mismo, presta atención a un promedio de 6500 visitantes mensualmente y atiende en el área de atención al contribuyente 16 mil turnos mensuales en promedio.</w:t>
      </w:r>
    </w:p>
    <w:p w:rsidR="00FD14B5" w:rsidRPr="00FD14B5" w:rsidRDefault="00FD14B5" w:rsidP="00A73E59">
      <w:pPr>
        <w:pStyle w:val="Prrafodelista"/>
        <w:tabs>
          <w:tab w:val="left" w:pos="284"/>
        </w:tabs>
        <w:autoSpaceDE w:val="0"/>
        <w:autoSpaceDN w:val="0"/>
        <w:adjustRightInd w:val="0"/>
        <w:spacing w:line="240" w:lineRule="auto"/>
        <w:ind w:left="567"/>
        <w:jc w:val="both"/>
        <w:rPr>
          <w:rFonts w:ascii="Arial" w:hAnsi="Arial" w:cs="Arial"/>
        </w:rPr>
      </w:pPr>
    </w:p>
    <w:p w:rsidR="00FD14B5" w:rsidRPr="00FD14B5" w:rsidRDefault="00FD14B5" w:rsidP="00D0183B">
      <w:pPr>
        <w:pStyle w:val="Prrafodelista"/>
        <w:numPr>
          <w:ilvl w:val="0"/>
          <w:numId w:val="37"/>
        </w:numPr>
        <w:autoSpaceDE w:val="0"/>
        <w:autoSpaceDN w:val="0"/>
        <w:adjustRightInd w:val="0"/>
        <w:spacing w:after="0" w:line="240" w:lineRule="auto"/>
        <w:ind w:left="567"/>
        <w:jc w:val="both"/>
        <w:rPr>
          <w:rFonts w:ascii="Arial" w:hAnsi="Arial" w:cs="Arial"/>
        </w:rPr>
      </w:pPr>
      <w:r w:rsidRPr="00FD14B5">
        <w:rPr>
          <w:rFonts w:ascii="Arial" w:hAnsi="Arial" w:cs="Arial"/>
        </w:rPr>
        <w:t>El predio identificado como la Casita, ubicado en la esquina de la carrera 7ª con calle 22, está destinado al manejo de archivos de gestión, con una capacidad para 17 puestos de trabajo. Además, es una sede en la cual se adelanta la creación de puesto de mando unificado para atención de desastres, de acuerdo con lo establecido en Ley 46 de 1988 relacionada con la creación del Sistema Nacional de Prevención y Atención de Desastres – SNPAD.</w:t>
      </w:r>
    </w:p>
    <w:p w:rsidR="00FD14B5" w:rsidRPr="00FD14B5" w:rsidRDefault="00FD14B5" w:rsidP="00A73E59">
      <w:pPr>
        <w:pStyle w:val="Prrafodelista"/>
        <w:tabs>
          <w:tab w:val="left" w:pos="284"/>
        </w:tabs>
        <w:spacing w:line="276" w:lineRule="auto"/>
        <w:ind w:left="567"/>
        <w:jc w:val="both"/>
        <w:rPr>
          <w:rFonts w:ascii="Arial" w:hAnsi="Arial" w:cs="Arial"/>
        </w:rPr>
      </w:pPr>
    </w:p>
    <w:p w:rsidR="00FD14B5" w:rsidRPr="00FD14B5" w:rsidRDefault="00FD14B5" w:rsidP="00D0183B">
      <w:pPr>
        <w:pStyle w:val="Prrafodelista"/>
        <w:numPr>
          <w:ilvl w:val="0"/>
          <w:numId w:val="37"/>
        </w:numPr>
        <w:autoSpaceDE w:val="0"/>
        <w:autoSpaceDN w:val="0"/>
        <w:adjustRightInd w:val="0"/>
        <w:spacing w:after="0" w:line="276" w:lineRule="auto"/>
        <w:ind w:left="567"/>
        <w:jc w:val="both"/>
        <w:rPr>
          <w:rFonts w:ascii="Arial" w:hAnsi="Arial" w:cs="Arial"/>
        </w:rPr>
      </w:pPr>
      <w:r w:rsidRPr="00FD14B5">
        <w:rPr>
          <w:rFonts w:ascii="Arial" w:hAnsi="Arial" w:cs="Arial"/>
        </w:rPr>
        <w:t xml:space="preserve">Predio identificado como Bodega Panalpina, está ubicado en la carrera 96 No. 25G - 27, en el cual se almacenan algunos elementos sobrantes de obra y otros para proceso de remate y elementos de construcción de las obras que adelanta el IDU. Vale mencionar que este predio está ubicado sobre terreno en el cual se tiene proyectado construir la Avenida Longitudinal de Occidente – ALO, por tanto, la estructura es de material de fácil remoción.  </w:t>
      </w:r>
    </w:p>
    <w:p w:rsidR="00FD14B5" w:rsidRPr="00FD14B5" w:rsidRDefault="00FD14B5" w:rsidP="00A73E59">
      <w:pPr>
        <w:pStyle w:val="Prrafodelista"/>
        <w:tabs>
          <w:tab w:val="left" w:pos="284"/>
        </w:tabs>
        <w:spacing w:line="276" w:lineRule="auto"/>
        <w:ind w:left="567"/>
        <w:jc w:val="both"/>
        <w:rPr>
          <w:rFonts w:ascii="Arial" w:hAnsi="Arial" w:cs="Arial"/>
        </w:rPr>
      </w:pPr>
    </w:p>
    <w:p w:rsidR="00FD14B5" w:rsidRPr="00FD14B5" w:rsidRDefault="00FD14B5" w:rsidP="00D0183B">
      <w:pPr>
        <w:pStyle w:val="Prrafodelista"/>
        <w:numPr>
          <w:ilvl w:val="0"/>
          <w:numId w:val="37"/>
        </w:numPr>
        <w:autoSpaceDE w:val="0"/>
        <w:autoSpaceDN w:val="0"/>
        <w:adjustRightInd w:val="0"/>
        <w:spacing w:after="0" w:line="276" w:lineRule="auto"/>
        <w:ind w:left="567"/>
        <w:jc w:val="both"/>
        <w:rPr>
          <w:rFonts w:ascii="Arial" w:hAnsi="Arial" w:cs="Arial"/>
        </w:rPr>
      </w:pPr>
      <w:r w:rsidRPr="00FD14B5">
        <w:rPr>
          <w:rFonts w:ascii="Arial" w:hAnsi="Arial" w:cs="Arial"/>
        </w:rPr>
        <w:t xml:space="preserve">El predio identificado como Tibirita, se encuentra en la carrera 30 No. 69-25, el cual es empleado como patio taller automotor del Instituto, para realizar el diagnóstico inicial a la flota de vehículos.  </w:t>
      </w:r>
    </w:p>
    <w:p w:rsidR="00FD14B5" w:rsidRPr="00FD14B5" w:rsidRDefault="00FD14B5" w:rsidP="00A73E59">
      <w:pPr>
        <w:pStyle w:val="Prrafodelista"/>
        <w:tabs>
          <w:tab w:val="left" w:pos="284"/>
        </w:tabs>
        <w:autoSpaceDE w:val="0"/>
        <w:autoSpaceDN w:val="0"/>
        <w:adjustRightInd w:val="0"/>
        <w:spacing w:line="276" w:lineRule="auto"/>
        <w:ind w:left="567"/>
        <w:jc w:val="both"/>
        <w:rPr>
          <w:rFonts w:ascii="Arial" w:hAnsi="Arial" w:cs="Arial"/>
        </w:rPr>
      </w:pPr>
    </w:p>
    <w:p w:rsidR="00FD14B5" w:rsidRPr="00FD14B5" w:rsidRDefault="00FD14B5" w:rsidP="00D0183B">
      <w:pPr>
        <w:pStyle w:val="Prrafodelista"/>
        <w:numPr>
          <w:ilvl w:val="0"/>
          <w:numId w:val="37"/>
        </w:numPr>
        <w:autoSpaceDE w:val="0"/>
        <w:autoSpaceDN w:val="0"/>
        <w:adjustRightInd w:val="0"/>
        <w:spacing w:after="0" w:line="276" w:lineRule="auto"/>
        <w:ind w:left="567"/>
        <w:jc w:val="both"/>
        <w:rPr>
          <w:rFonts w:ascii="Arial" w:hAnsi="Arial" w:cs="Arial"/>
        </w:rPr>
      </w:pPr>
      <w:r w:rsidRPr="00FD14B5">
        <w:rPr>
          <w:rFonts w:ascii="Arial" w:hAnsi="Arial" w:cs="Arial"/>
        </w:rPr>
        <w:t>Por su parte, el lote denominado como patio fresado, ubicado en la carrera 96 con calle 77 esquina, se utiliza para el almacenamiento de material fresado residuo de las obras viales.</w:t>
      </w:r>
    </w:p>
    <w:p w:rsidR="00FD14B5" w:rsidRPr="00FD14B5" w:rsidRDefault="00FD14B5" w:rsidP="00A73E59">
      <w:pPr>
        <w:pStyle w:val="Prrafodelista"/>
        <w:spacing w:line="240" w:lineRule="auto"/>
        <w:jc w:val="both"/>
        <w:rPr>
          <w:rFonts w:ascii="Arial" w:hAnsi="Arial" w:cs="Arial"/>
        </w:rPr>
      </w:pPr>
    </w:p>
    <w:p w:rsidR="00FD14B5" w:rsidRPr="00FD14B5" w:rsidRDefault="00FD14B5" w:rsidP="00D0183B">
      <w:pPr>
        <w:pStyle w:val="Ttulo4"/>
        <w:keepNext w:val="0"/>
        <w:keepLines w:val="0"/>
        <w:numPr>
          <w:ilvl w:val="3"/>
          <w:numId w:val="56"/>
        </w:numPr>
        <w:spacing w:before="0" w:line="276" w:lineRule="auto"/>
        <w:jc w:val="both"/>
        <w:rPr>
          <w:rFonts w:ascii="Arial" w:hAnsi="Arial" w:cs="Arial"/>
          <w:b/>
          <w:color w:val="auto"/>
        </w:rPr>
      </w:pPr>
      <w:bookmarkStart w:id="195" w:name="_Toc440528668"/>
      <w:r w:rsidRPr="00FD14B5">
        <w:rPr>
          <w:rFonts w:ascii="Arial" w:hAnsi="Arial" w:cs="Arial"/>
          <w:b/>
          <w:color w:val="auto"/>
        </w:rPr>
        <w:t>Predios en calidad de arrendamiento</w:t>
      </w:r>
      <w:bookmarkEnd w:id="195"/>
    </w:p>
    <w:p w:rsidR="00FD14B5" w:rsidRPr="00FD14B5" w:rsidRDefault="00FD14B5" w:rsidP="00A73E59">
      <w:pPr>
        <w:autoSpaceDE w:val="0"/>
        <w:autoSpaceDN w:val="0"/>
        <w:adjustRightInd w:val="0"/>
        <w:spacing w:line="276" w:lineRule="auto"/>
        <w:jc w:val="both"/>
        <w:rPr>
          <w:rFonts w:ascii="Arial" w:eastAsia="Calibri" w:hAnsi="Arial" w:cs="Arial"/>
        </w:rPr>
      </w:pPr>
    </w:p>
    <w:p w:rsidR="00FD14B5" w:rsidRPr="00FD14B5" w:rsidRDefault="00FD14B5" w:rsidP="00A73E59">
      <w:pPr>
        <w:autoSpaceDE w:val="0"/>
        <w:autoSpaceDN w:val="0"/>
        <w:adjustRightInd w:val="0"/>
        <w:spacing w:line="276" w:lineRule="auto"/>
        <w:jc w:val="both"/>
        <w:rPr>
          <w:rFonts w:ascii="Arial" w:eastAsia="Calibri" w:hAnsi="Arial" w:cs="Arial"/>
        </w:rPr>
      </w:pPr>
      <w:r w:rsidRPr="00FD14B5">
        <w:rPr>
          <w:rFonts w:ascii="Arial" w:eastAsia="Calibri" w:hAnsi="Arial" w:cs="Arial"/>
        </w:rPr>
        <w:t>En la actualidad, se cuenta con tres (3) sedes administrativas, en calidad de arrendamiento, a saber:</w:t>
      </w:r>
    </w:p>
    <w:p w:rsidR="00FD14B5" w:rsidRPr="00FD14B5" w:rsidRDefault="00FD14B5" w:rsidP="00A73E59">
      <w:pPr>
        <w:autoSpaceDE w:val="0"/>
        <w:autoSpaceDN w:val="0"/>
        <w:adjustRightInd w:val="0"/>
        <w:spacing w:line="240" w:lineRule="auto"/>
        <w:jc w:val="both"/>
        <w:rPr>
          <w:rFonts w:ascii="Arial" w:eastAsia="Calibri" w:hAnsi="Arial" w:cs="Arial"/>
        </w:rPr>
      </w:pPr>
    </w:p>
    <w:p w:rsidR="00FD14B5" w:rsidRPr="00FD14B5" w:rsidRDefault="00FD14B5" w:rsidP="00D0183B">
      <w:pPr>
        <w:pStyle w:val="Prrafodelista"/>
        <w:numPr>
          <w:ilvl w:val="0"/>
          <w:numId w:val="38"/>
        </w:numPr>
        <w:autoSpaceDE w:val="0"/>
        <w:autoSpaceDN w:val="0"/>
        <w:adjustRightInd w:val="0"/>
        <w:spacing w:after="0" w:line="276" w:lineRule="auto"/>
        <w:ind w:left="567" w:hanging="283"/>
        <w:jc w:val="both"/>
        <w:rPr>
          <w:rFonts w:ascii="Arial" w:hAnsi="Arial" w:cs="Arial"/>
        </w:rPr>
      </w:pPr>
      <w:r w:rsidRPr="00FD14B5">
        <w:rPr>
          <w:rFonts w:ascii="Arial" w:hAnsi="Arial" w:cs="Arial"/>
        </w:rPr>
        <w:t>Sede denominada calle 20, ubicada en la calle 20 No. 9-20, Edificio Alfonso Hurtado, con capacidad de 625 puestos de trabajo. Espacio para atención de usuarios, zonas de atención del centro de documentación y archivo de la Entidad, áreas misionales y de procesos de seguimiento y control y algunas áreas de apoyo a la gestión. En este inmueble se realiza atención a un promedio mensual de 2800 visitantes, entre ciudadanos que acuden a consultas asociadas al proceso de valorización, notificaciones y otros temas. Este edificio tomado en calidad de arrendamiento por seis (6) meses, es decir hasta el 15 de enero de 2020, tal como lo señala el contrato 1455 de 2019.</w:t>
      </w:r>
    </w:p>
    <w:p w:rsidR="00FD14B5" w:rsidRPr="00FD14B5" w:rsidRDefault="00FD14B5" w:rsidP="00A73E59">
      <w:pPr>
        <w:pStyle w:val="Prrafodelista"/>
        <w:tabs>
          <w:tab w:val="left" w:pos="284"/>
        </w:tabs>
        <w:autoSpaceDE w:val="0"/>
        <w:autoSpaceDN w:val="0"/>
        <w:adjustRightInd w:val="0"/>
        <w:spacing w:line="276" w:lineRule="auto"/>
        <w:ind w:left="567" w:hanging="283"/>
        <w:jc w:val="both"/>
        <w:rPr>
          <w:rFonts w:ascii="Arial" w:hAnsi="Arial" w:cs="Arial"/>
        </w:rPr>
      </w:pPr>
    </w:p>
    <w:p w:rsidR="00FD14B5" w:rsidRPr="00FD14B5" w:rsidRDefault="00FD14B5" w:rsidP="00D0183B">
      <w:pPr>
        <w:pStyle w:val="Prrafodelista"/>
        <w:numPr>
          <w:ilvl w:val="0"/>
          <w:numId w:val="38"/>
        </w:numPr>
        <w:autoSpaceDE w:val="0"/>
        <w:autoSpaceDN w:val="0"/>
        <w:adjustRightInd w:val="0"/>
        <w:spacing w:after="0" w:line="276" w:lineRule="auto"/>
        <w:ind w:left="567" w:hanging="283"/>
        <w:jc w:val="both"/>
        <w:rPr>
          <w:rFonts w:ascii="Arial" w:hAnsi="Arial" w:cs="Arial"/>
        </w:rPr>
      </w:pPr>
      <w:r w:rsidRPr="00FD14B5">
        <w:rPr>
          <w:rFonts w:ascii="Arial" w:hAnsi="Arial" w:cs="Arial"/>
        </w:rPr>
        <w:t xml:space="preserve">Sede denominada “Predios”, ubicada en la Cra. 7° # 17 – 01, piso 3, cuenta con áreas de trabajo para la Dirección Técnica de Predios, quienes en ejercicio de sus labores tiene como principal función: Dirigir, realizar y controlar los procesos de enajenación voluntaria, expropiación administrativa y judicial, requeridos para la adquisición de </w:t>
      </w:r>
      <w:r w:rsidRPr="00FD14B5">
        <w:rPr>
          <w:rFonts w:ascii="Arial" w:hAnsi="Arial" w:cs="Arial"/>
        </w:rPr>
        <w:lastRenderedPageBreak/>
        <w:t>predios necesarios para la ejecución de los proyectos de infraestructura de los sistemas de movilidad y de espacio público construido, así como garantizar su disponibilidad para la correcta ejecución del programa de inversión a cargo de la Entidad. Cuenta con espacio para 280 puestos de trabajo, una (1) sala de juntas, zonas para atención a ciudadanos. Contrato suscrito por 5 meses, tal como se menciona en el contrato 1559 de 2019, es decir hasta el 14 de febrero de 2020.</w:t>
      </w:r>
    </w:p>
    <w:p w:rsidR="00FD14B5" w:rsidRPr="00FD14B5" w:rsidRDefault="00FD14B5" w:rsidP="00D0183B">
      <w:pPr>
        <w:pStyle w:val="Prrafodelista"/>
        <w:numPr>
          <w:ilvl w:val="0"/>
          <w:numId w:val="38"/>
        </w:numPr>
        <w:autoSpaceDE w:val="0"/>
        <w:autoSpaceDN w:val="0"/>
        <w:adjustRightInd w:val="0"/>
        <w:spacing w:after="0" w:line="276" w:lineRule="auto"/>
        <w:ind w:left="567" w:hanging="283"/>
        <w:jc w:val="both"/>
        <w:rPr>
          <w:rFonts w:ascii="Arial" w:hAnsi="Arial" w:cs="Arial"/>
        </w:rPr>
      </w:pPr>
      <w:r w:rsidRPr="00FD14B5">
        <w:rPr>
          <w:rFonts w:ascii="Arial" w:hAnsi="Arial" w:cs="Arial"/>
        </w:rPr>
        <w:t>Sede denominada “Valorización”, ubicada en la Cra. 7° No. 17 – 64, en el cual funcionan los procesos de: Apoyo al operativo de cobro del acuerdo de valorización 724 de 2018, gestión predial asociado al componente de las obras de infraestructura del Sistema Transmilenio y atención a todos los actores sociales que se benefician con los proyectos del IDU (ciudadanos, organizaciones sociales, gremios, comerciantes y academia, entre otros), por parte de la Oficina de Atención al Ciudadano, este arrendamiento fenece el 31 de diciembre de 2019.</w:t>
      </w:r>
    </w:p>
    <w:p w:rsidR="00FD14B5" w:rsidRPr="00FD14B5" w:rsidRDefault="00FD14B5" w:rsidP="00A73E59">
      <w:pPr>
        <w:tabs>
          <w:tab w:val="left" w:pos="284"/>
        </w:tabs>
        <w:autoSpaceDE w:val="0"/>
        <w:autoSpaceDN w:val="0"/>
        <w:adjustRightInd w:val="0"/>
        <w:spacing w:line="276" w:lineRule="auto"/>
        <w:ind w:left="142"/>
        <w:jc w:val="both"/>
        <w:rPr>
          <w:rFonts w:ascii="Arial" w:hAnsi="Arial" w:cs="Arial"/>
        </w:rPr>
      </w:pPr>
    </w:p>
    <w:p w:rsidR="00FD14B5" w:rsidRPr="00FD14B5" w:rsidRDefault="00FD14B5" w:rsidP="00D0183B">
      <w:pPr>
        <w:pStyle w:val="Ttulo4"/>
        <w:keepNext w:val="0"/>
        <w:keepLines w:val="0"/>
        <w:numPr>
          <w:ilvl w:val="3"/>
          <w:numId w:val="56"/>
        </w:numPr>
        <w:spacing w:before="0" w:line="276" w:lineRule="auto"/>
        <w:jc w:val="both"/>
        <w:rPr>
          <w:rFonts w:ascii="Arial" w:hAnsi="Arial" w:cs="Arial"/>
          <w:b/>
          <w:color w:val="auto"/>
        </w:rPr>
      </w:pPr>
      <w:bookmarkStart w:id="196" w:name="_Toc440528669"/>
      <w:r w:rsidRPr="00FD14B5">
        <w:rPr>
          <w:rFonts w:ascii="Arial" w:hAnsi="Arial" w:cs="Arial"/>
          <w:b/>
          <w:color w:val="auto"/>
        </w:rPr>
        <w:t>Ocupación de las sedes</w:t>
      </w:r>
      <w:bookmarkEnd w:id="196"/>
    </w:p>
    <w:p w:rsidR="00FD14B5" w:rsidRPr="00FD14B5" w:rsidRDefault="00FD14B5" w:rsidP="00A73E59">
      <w:pPr>
        <w:autoSpaceDE w:val="0"/>
        <w:autoSpaceDN w:val="0"/>
        <w:adjustRightInd w:val="0"/>
        <w:spacing w:line="276" w:lineRule="auto"/>
        <w:contextualSpacing/>
        <w:jc w:val="both"/>
        <w:rPr>
          <w:rFonts w:ascii="Arial" w:eastAsia="Calibri" w:hAnsi="Arial" w:cs="Arial"/>
        </w:rPr>
      </w:pPr>
    </w:p>
    <w:p w:rsidR="00FD14B5" w:rsidRPr="00FD14B5" w:rsidRDefault="00FD14B5" w:rsidP="00A73E59">
      <w:pPr>
        <w:autoSpaceDE w:val="0"/>
        <w:autoSpaceDN w:val="0"/>
        <w:adjustRightInd w:val="0"/>
        <w:spacing w:line="276" w:lineRule="auto"/>
        <w:contextualSpacing/>
        <w:jc w:val="both"/>
        <w:rPr>
          <w:rFonts w:ascii="Arial" w:eastAsia="Calibri" w:hAnsi="Arial" w:cs="Arial"/>
        </w:rPr>
      </w:pPr>
      <w:r w:rsidRPr="00FD14B5">
        <w:rPr>
          <w:rFonts w:ascii="Arial" w:eastAsia="Calibri" w:hAnsi="Arial" w:cs="Arial"/>
        </w:rPr>
        <w:t>Conforme los registros en las distintas sedes a corte del 10 de octubre de 2019, el siguiente es el cuadro resumen de ocupación:</w:t>
      </w:r>
    </w:p>
    <w:p w:rsidR="00FD14B5" w:rsidRPr="00FD14B5" w:rsidRDefault="00FD14B5" w:rsidP="00A73E59">
      <w:pPr>
        <w:autoSpaceDE w:val="0"/>
        <w:autoSpaceDN w:val="0"/>
        <w:adjustRightInd w:val="0"/>
        <w:spacing w:line="276" w:lineRule="auto"/>
        <w:contextualSpacing/>
        <w:jc w:val="both"/>
        <w:rPr>
          <w:rFonts w:ascii="Arial" w:eastAsia="Calibri" w:hAnsi="Arial" w:cs="Arial"/>
        </w:rPr>
      </w:pPr>
    </w:p>
    <w:tbl>
      <w:tblPr>
        <w:tblW w:w="10251" w:type="dxa"/>
        <w:tblInd w:w="-567" w:type="dxa"/>
        <w:tblCellMar>
          <w:left w:w="70" w:type="dxa"/>
          <w:right w:w="70" w:type="dxa"/>
        </w:tblCellMar>
        <w:tblLook w:val="04A0" w:firstRow="1" w:lastRow="0" w:firstColumn="1" w:lastColumn="0" w:noHBand="0" w:noVBand="1"/>
      </w:tblPr>
      <w:tblGrid>
        <w:gridCol w:w="1134"/>
        <w:gridCol w:w="1271"/>
        <w:gridCol w:w="1191"/>
        <w:gridCol w:w="1210"/>
        <w:gridCol w:w="1462"/>
        <w:gridCol w:w="1166"/>
        <w:gridCol w:w="993"/>
        <w:gridCol w:w="991"/>
        <w:gridCol w:w="1034"/>
      </w:tblGrid>
      <w:tr w:rsidR="00FD14B5" w:rsidRPr="00FD14B5" w:rsidTr="00B85448">
        <w:trPr>
          <w:trHeight w:val="300"/>
        </w:trPr>
        <w:tc>
          <w:tcPr>
            <w:tcW w:w="10251" w:type="dxa"/>
            <w:gridSpan w:val="9"/>
            <w:tcBorders>
              <w:top w:val="nil"/>
              <w:left w:val="nil"/>
              <w:bottom w:val="single" w:sz="4" w:space="0" w:color="auto"/>
              <w:right w:val="nil"/>
            </w:tcBorders>
            <w:shd w:val="clear" w:color="auto" w:fill="auto"/>
            <w:noWrap/>
            <w:vAlign w:val="bottom"/>
            <w:hideMark/>
          </w:tcPr>
          <w:p w:rsidR="00FD14B5" w:rsidRPr="00FD14B5" w:rsidRDefault="00FD14B5" w:rsidP="00BD0E63">
            <w:pPr>
              <w:spacing w:line="240" w:lineRule="auto"/>
              <w:jc w:val="both"/>
              <w:rPr>
                <w:rFonts w:ascii="Arial" w:eastAsia="Times New Roman" w:hAnsi="Arial" w:cs="Arial"/>
                <w:b/>
                <w:bCs/>
                <w:sz w:val="18"/>
                <w:szCs w:val="18"/>
                <w:lang w:eastAsia="es-CO"/>
              </w:rPr>
            </w:pPr>
            <w:bookmarkStart w:id="197" w:name="_Toc27665412"/>
            <w:r w:rsidRPr="00FD14B5">
              <w:rPr>
                <w:rFonts w:ascii="Arial" w:eastAsia="Times New Roman" w:hAnsi="Arial" w:cs="Arial"/>
                <w:bCs/>
                <w:sz w:val="18"/>
                <w:szCs w:val="18"/>
                <w:lang w:eastAsia="es-CO"/>
              </w:rPr>
              <w:t>Carga ocupacional por sedes 2019</w:t>
            </w:r>
            <w:r w:rsidRPr="00FD14B5">
              <w:rPr>
                <w:rFonts w:ascii="Arial" w:eastAsia="Times New Roman" w:hAnsi="Arial" w:cs="Arial"/>
                <w:b/>
                <w:bCs/>
                <w:sz w:val="18"/>
                <w:szCs w:val="18"/>
                <w:lang w:eastAsia="es-CO"/>
              </w:rPr>
              <w:t xml:space="preserve"> *</w:t>
            </w:r>
            <w:bookmarkEnd w:id="197"/>
          </w:p>
        </w:tc>
      </w:tr>
      <w:tr w:rsidR="00FD14B5" w:rsidRPr="00FD14B5" w:rsidTr="00B85448">
        <w:trPr>
          <w:trHeight w:val="380"/>
        </w:trPr>
        <w:tc>
          <w:tcPr>
            <w:tcW w:w="1134"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FD14B5" w:rsidRPr="00FD14B5" w:rsidRDefault="00FD14B5" w:rsidP="00A73E59">
            <w:pPr>
              <w:spacing w:line="240" w:lineRule="auto"/>
              <w:jc w:val="both"/>
              <w:rPr>
                <w:rFonts w:ascii="Arial" w:eastAsia="Times New Roman" w:hAnsi="Arial" w:cs="Arial"/>
                <w:b/>
                <w:bCs/>
                <w:sz w:val="18"/>
                <w:szCs w:val="18"/>
                <w:lang w:eastAsia="es-CO"/>
              </w:rPr>
            </w:pPr>
            <w:r w:rsidRPr="00FD14B5">
              <w:rPr>
                <w:rFonts w:ascii="Arial" w:eastAsia="Times New Roman" w:hAnsi="Arial" w:cs="Arial"/>
                <w:b/>
                <w:bCs/>
                <w:sz w:val="18"/>
                <w:szCs w:val="18"/>
                <w:lang w:eastAsia="es-CO"/>
              </w:rPr>
              <w:t xml:space="preserve">Sede </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A73E59">
            <w:pPr>
              <w:spacing w:line="240" w:lineRule="auto"/>
              <w:jc w:val="both"/>
              <w:rPr>
                <w:rFonts w:ascii="Arial" w:eastAsia="Times New Roman" w:hAnsi="Arial" w:cs="Arial"/>
                <w:b/>
                <w:bCs/>
                <w:sz w:val="18"/>
                <w:szCs w:val="18"/>
                <w:lang w:eastAsia="es-CO"/>
              </w:rPr>
            </w:pPr>
            <w:r w:rsidRPr="00FD14B5">
              <w:rPr>
                <w:rFonts w:ascii="Arial" w:eastAsia="Times New Roman" w:hAnsi="Arial" w:cs="Arial"/>
                <w:b/>
                <w:bCs/>
                <w:sz w:val="18"/>
                <w:szCs w:val="18"/>
                <w:lang w:eastAsia="es-CO"/>
              </w:rPr>
              <w:t>Funcionarios Planta</w:t>
            </w:r>
          </w:p>
        </w:tc>
        <w:tc>
          <w:tcPr>
            <w:tcW w:w="1146"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FD14B5" w:rsidRPr="00FD14B5" w:rsidRDefault="00FD14B5" w:rsidP="00A73E59">
            <w:pPr>
              <w:spacing w:line="240" w:lineRule="auto"/>
              <w:jc w:val="both"/>
              <w:rPr>
                <w:rFonts w:ascii="Arial" w:eastAsia="Times New Roman" w:hAnsi="Arial" w:cs="Arial"/>
                <w:b/>
                <w:bCs/>
                <w:sz w:val="18"/>
                <w:szCs w:val="18"/>
                <w:lang w:eastAsia="es-CO"/>
              </w:rPr>
            </w:pPr>
            <w:r w:rsidRPr="00FD14B5">
              <w:rPr>
                <w:rFonts w:ascii="Arial" w:eastAsia="Times New Roman" w:hAnsi="Arial" w:cs="Arial"/>
                <w:b/>
                <w:bCs/>
                <w:sz w:val="18"/>
                <w:szCs w:val="18"/>
                <w:lang w:eastAsia="es-CO"/>
              </w:rPr>
              <w:t>Contratistas</w:t>
            </w:r>
          </w:p>
        </w:tc>
        <w:tc>
          <w:tcPr>
            <w:tcW w:w="1153"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A73E59">
            <w:pPr>
              <w:spacing w:line="240" w:lineRule="auto"/>
              <w:jc w:val="both"/>
              <w:rPr>
                <w:rFonts w:ascii="Arial" w:eastAsia="Times New Roman" w:hAnsi="Arial" w:cs="Arial"/>
                <w:b/>
                <w:bCs/>
                <w:sz w:val="18"/>
                <w:szCs w:val="18"/>
                <w:lang w:eastAsia="es-CO"/>
              </w:rPr>
            </w:pPr>
            <w:r w:rsidRPr="00FD14B5">
              <w:rPr>
                <w:rFonts w:ascii="Arial" w:eastAsia="Times New Roman" w:hAnsi="Arial" w:cs="Arial"/>
                <w:b/>
                <w:bCs/>
                <w:sz w:val="18"/>
                <w:szCs w:val="18"/>
                <w:lang w:eastAsia="es-CO"/>
              </w:rPr>
              <w:t>Personal Outsourcing</w:t>
            </w:r>
          </w:p>
        </w:tc>
        <w:tc>
          <w:tcPr>
            <w:tcW w:w="1462"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A73E59">
            <w:pPr>
              <w:spacing w:line="240" w:lineRule="auto"/>
              <w:jc w:val="both"/>
              <w:rPr>
                <w:rFonts w:ascii="Arial" w:eastAsia="Times New Roman" w:hAnsi="Arial" w:cs="Arial"/>
                <w:b/>
                <w:bCs/>
                <w:sz w:val="18"/>
                <w:szCs w:val="18"/>
                <w:lang w:eastAsia="es-CO"/>
              </w:rPr>
            </w:pPr>
            <w:r w:rsidRPr="00FD14B5">
              <w:rPr>
                <w:rFonts w:ascii="Arial" w:eastAsia="Times New Roman" w:hAnsi="Arial" w:cs="Arial"/>
                <w:b/>
                <w:bCs/>
                <w:sz w:val="18"/>
                <w:szCs w:val="18"/>
                <w:lang w:eastAsia="es-CO"/>
              </w:rPr>
              <w:t>Entes de control, fondos y convenios</w:t>
            </w:r>
          </w:p>
        </w:tc>
        <w:tc>
          <w:tcPr>
            <w:tcW w:w="1166"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A73E59">
            <w:pPr>
              <w:spacing w:line="240" w:lineRule="auto"/>
              <w:jc w:val="both"/>
              <w:rPr>
                <w:rFonts w:ascii="Arial" w:eastAsia="Times New Roman" w:hAnsi="Arial" w:cs="Arial"/>
                <w:b/>
                <w:bCs/>
                <w:sz w:val="18"/>
                <w:szCs w:val="18"/>
                <w:lang w:eastAsia="es-CO"/>
              </w:rPr>
            </w:pPr>
            <w:r w:rsidRPr="00FD14B5">
              <w:rPr>
                <w:rFonts w:ascii="Arial" w:eastAsia="Times New Roman" w:hAnsi="Arial" w:cs="Arial"/>
                <w:b/>
                <w:bCs/>
                <w:sz w:val="18"/>
                <w:szCs w:val="18"/>
                <w:lang w:eastAsia="es-CO"/>
              </w:rPr>
              <w:t>Total personal permanente</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A73E59">
            <w:pPr>
              <w:spacing w:line="240" w:lineRule="auto"/>
              <w:jc w:val="both"/>
              <w:rPr>
                <w:rFonts w:ascii="Arial" w:eastAsia="Times New Roman" w:hAnsi="Arial" w:cs="Arial"/>
                <w:b/>
                <w:bCs/>
                <w:sz w:val="18"/>
                <w:szCs w:val="18"/>
                <w:lang w:eastAsia="es-CO"/>
              </w:rPr>
            </w:pPr>
            <w:r w:rsidRPr="00FD14B5">
              <w:rPr>
                <w:rFonts w:ascii="Arial" w:eastAsia="Times New Roman" w:hAnsi="Arial" w:cs="Arial"/>
                <w:b/>
                <w:bCs/>
                <w:sz w:val="18"/>
                <w:szCs w:val="18"/>
                <w:lang w:eastAsia="es-CO"/>
              </w:rPr>
              <w:t>Visitantes edificio</w:t>
            </w:r>
          </w:p>
        </w:tc>
        <w:tc>
          <w:tcPr>
            <w:tcW w:w="962"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A73E59">
            <w:pPr>
              <w:spacing w:line="240" w:lineRule="auto"/>
              <w:jc w:val="both"/>
              <w:rPr>
                <w:rFonts w:ascii="Arial" w:eastAsia="Times New Roman" w:hAnsi="Arial" w:cs="Arial"/>
                <w:b/>
                <w:bCs/>
                <w:sz w:val="18"/>
                <w:szCs w:val="18"/>
                <w:lang w:eastAsia="es-CO"/>
              </w:rPr>
            </w:pPr>
            <w:r w:rsidRPr="00FD14B5">
              <w:rPr>
                <w:rFonts w:ascii="Arial" w:eastAsia="Times New Roman" w:hAnsi="Arial" w:cs="Arial"/>
                <w:b/>
                <w:bCs/>
                <w:sz w:val="18"/>
                <w:szCs w:val="18"/>
                <w:lang w:eastAsia="es-CO"/>
              </w:rPr>
              <w:t>Visitantes digiturno</w:t>
            </w:r>
          </w:p>
        </w:tc>
        <w:tc>
          <w:tcPr>
            <w:tcW w:w="1034"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A73E59">
            <w:pPr>
              <w:spacing w:line="240" w:lineRule="auto"/>
              <w:jc w:val="both"/>
              <w:rPr>
                <w:rFonts w:ascii="Arial" w:eastAsia="Times New Roman" w:hAnsi="Arial" w:cs="Arial"/>
                <w:b/>
                <w:bCs/>
                <w:sz w:val="18"/>
                <w:szCs w:val="18"/>
                <w:lang w:eastAsia="es-CO"/>
              </w:rPr>
            </w:pPr>
            <w:r w:rsidRPr="00FD14B5">
              <w:rPr>
                <w:rFonts w:ascii="Arial" w:eastAsia="Times New Roman" w:hAnsi="Arial" w:cs="Arial"/>
                <w:b/>
                <w:bCs/>
                <w:sz w:val="18"/>
                <w:szCs w:val="18"/>
                <w:lang w:eastAsia="es-CO"/>
              </w:rPr>
              <w:t>Total Usuarios</w:t>
            </w:r>
          </w:p>
        </w:tc>
      </w:tr>
      <w:tr w:rsidR="00FD14B5" w:rsidRPr="00FD14B5" w:rsidTr="00B85448">
        <w:trPr>
          <w:trHeight w:val="517"/>
        </w:trPr>
        <w:tc>
          <w:tcPr>
            <w:tcW w:w="1134"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A73E59">
            <w:pPr>
              <w:spacing w:line="240" w:lineRule="auto"/>
              <w:jc w:val="both"/>
              <w:rPr>
                <w:rFonts w:ascii="Arial" w:eastAsia="Times New Roman" w:hAnsi="Arial" w:cs="Arial"/>
                <w:b/>
                <w:bCs/>
                <w:sz w:val="18"/>
                <w:szCs w:val="18"/>
                <w:lang w:eastAsia="es-CO"/>
              </w:rPr>
            </w:pPr>
          </w:p>
        </w:tc>
        <w:tc>
          <w:tcPr>
            <w:tcW w:w="1201"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A73E59">
            <w:pPr>
              <w:spacing w:line="240" w:lineRule="auto"/>
              <w:jc w:val="both"/>
              <w:rPr>
                <w:rFonts w:ascii="Arial" w:eastAsia="Times New Roman" w:hAnsi="Arial" w:cs="Arial"/>
                <w:b/>
                <w:bCs/>
                <w:sz w:val="18"/>
                <w:szCs w:val="18"/>
                <w:lang w:eastAsia="es-CO"/>
              </w:rPr>
            </w:pPr>
          </w:p>
        </w:tc>
        <w:tc>
          <w:tcPr>
            <w:tcW w:w="1146"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A73E59">
            <w:pPr>
              <w:spacing w:line="240" w:lineRule="auto"/>
              <w:jc w:val="both"/>
              <w:rPr>
                <w:rFonts w:ascii="Arial" w:eastAsia="Times New Roman" w:hAnsi="Arial" w:cs="Arial"/>
                <w:b/>
                <w:bCs/>
                <w:sz w:val="18"/>
                <w:szCs w:val="18"/>
                <w:lang w:eastAsia="es-CO"/>
              </w:rPr>
            </w:pPr>
          </w:p>
        </w:tc>
        <w:tc>
          <w:tcPr>
            <w:tcW w:w="1153"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A73E59">
            <w:pPr>
              <w:spacing w:line="240" w:lineRule="auto"/>
              <w:jc w:val="both"/>
              <w:rPr>
                <w:rFonts w:ascii="Arial" w:eastAsia="Times New Roman" w:hAnsi="Arial" w:cs="Arial"/>
                <w:b/>
                <w:bCs/>
                <w:sz w:val="18"/>
                <w:szCs w:val="18"/>
                <w:lang w:eastAsia="es-CO"/>
              </w:rPr>
            </w:pPr>
          </w:p>
        </w:tc>
        <w:tc>
          <w:tcPr>
            <w:tcW w:w="1462"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A73E59">
            <w:pPr>
              <w:spacing w:line="240" w:lineRule="auto"/>
              <w:jc w:val="both"/>
              <w:rPr>
                <w:rFonts w:ascii="Arial" w:eastAsia="Times New Roman" w:hAnsi="Arial" w:cs="Arial"/>
                <w:b/>
                <w:bCs/>
                <w:sz w:val="18"/>
                <w:szCs w:val="18"/>
                <w:lang w:eastAsia="es-CO"/>
              </w:rPr>
            </w:pPr>
          </w:p>
        </w:tc>
        <w:tc>
          <w:tcPr>
            <w:tcW w:w="1166"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A73E59">
            <w:pPr>
              <w:spacing w:line="240" w:lineRule="auto"/>
              <w:jc w:val="both"/>
              <w:rPr>
                <w:rFonts w:ascii="Arial" w:eastAsia="Times New Roman" w:hAnsi="Arial" w:cs="Arial"/>
                <w:b/>
                <w:bCs/>
                <w:sz w:val="18"/>
                <w:szCs w:val="18"/>
                <w:lang w:eastAsia="es-CO"/>
              </w:rPr>
            </w:pPr>
          </w:p>
        </w:tc>
        <w:tc>
          <w:tcPr>
            <w:tcW w:w="993"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A73E59">
            <w:pPr>
              <w:spacing w:line="240" w:lineRule="auto"/>
              <w:jc w:val="both"/>
              <w:rPr>
                <w:rFonts w:ascii="Arial" w:eastAsia="Times New Roman" w:hAnsi="Arial" w:cs="Arial"/>
                <w:b/>
                <w:bCs/>
                <w:sz w:val="18"/>
                <w:szCs w:val="18"/>
                <w:lang w:eastAsia="es-CO"/>
              </w:rPr>
            </w:pPr>
          </w:p>
        </w:tc>
        <w:tc>
          <w:tcPr>
            <w:tcW w:w="962"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A73E59">
            <w:pPr>
              <w:spacing w:line="240" w:lineRule="auto"/>
              <w:jc w:val="both"/>
              <w:rPr>
                <w:rFonts w:ascii="Arial" w:eastAsia="Times New Roman" w:hAnsi="Arial" w:cs="Arial"/>
                <w:b/>
                <w:bCs/>
                <w:sz w:val="18"/>
                <w:szCs w:val="18"/>
                <w:lang w:eastAsia="es-CO"/>
              </w:rPr>
            </w:pPr>
          </w:p>
        </w:tc>
        <w:tc>
          <w:tcPr>
            <w:tcW w:w="1034"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A73E59">
            <w:pPr>
              <w:spacing w:line="240" w:lineRule="auto"/>
              <w:jc w:val="both"/>
              <w:rPr>
                <w:rFonts w:ascii="Arial" w:eastAsia="Times New Roman" w:hAnsi="Arial" w:cs="Arial"/>
                <w:b/>
                <w:bCs/>
                <w:sz w:val="18"/>
                <w:szCs w:val="18"/>
                <w:lang w:eastAsia="es-CO"/>
              </w:rPr>
            </w:pPr>
          </w:p>
        </w:tc>
      </w:tr>
      <w:tr w:rsidR="00FD14B5" w:rsidRPr="00FD14B5" w:rsidTr="00B85448">
        <w:trPr>
          <w:trHeight w:val="300"/>
        </w:trPr>
        <w:tc>
          <w:tcPr>
            <w:tcW w:w="113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Calle 22</w:t>
            </w:r>
          </w:p>
        </w:tc>
        <w:tc>
          <w:tcPr>
            <w:tcW w:w="1201"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195</w:t>
            </w:r>
          </w:p>
        </w:tc>
        <w:tc>
          <w:tcPr>
            <w:tcW w:w="1146"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543</w:t>
            </w:r>
          </w:p>
        </w:tc>
        <w:tc>
          <w:tcPr>
            <w:tcW w:w="1153"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25</w:t>
            </w:r>
          </w:p>
        </w:tc>
        <w:tc>
          <w:tcPr>
            <w:tcW w:w="1462"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22</w:t>
            </w:r>
          </w:p>
        </w:tc>
        <w:tc>
          <w:tcPr>
            <w:tcW w:w="1166"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785</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6.549</w:t>
            </w:r>
          </w:p>
        </w:tc>
        <w:tc>
          <w:tcPr>
            <w:tcW w:w="962" w:type="dxa"/>
            <w:tcBorders>
              <w:top w:val="single" w:sz="4" w:space="0" w:color="auto"/>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16.746</w:t>
            </w:r>
          </w:p>
        </w:tc>
        <w:tc>
          <w:tcPr>
            <w:tcW w:w="1034" w:type="dxa"/>
            <w:tcBorders>
              <w:top w:val="single" w:sz="4" w:space="0" w:color="auto"/>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24.080</w:t>
            </w:r>
          </w:p>
        </w:tc>
      </w:tr>
      <w:tr w:rsidR="00FD14B5" w:rsidRPr="00FD14B5" w:rsidTr="00B85448">
        <w:trPr>
          <w:trHeight w:val="300"/>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Calle 20</w:t>
            </w:r>
          </w:p>
        </w:tc>
        <w:tc>
          <w:tcPr>
            <w:tcW w:w="1201"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192</w:t>
            </w:r>
          </w:p>
        </w:tc>
        <w:tc>
          <w:tcPr>
            <w:tcW w:w="1146"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279</w:t>
            </w:r>
          </w:p>
        </w:tc>
        <w:tc>
          <w:tcPr>
            <w:tcW w:w="1153"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29</w:t>
            </w:r>
          </w:p>
        </w:tc>
        <w:tc>
          <w:tcPr>
            <w:tcW w:w="1462"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5</w:t>
            </w:r>
          </w:p>
        </w:tc>
        <w:tc>
          <w:tcPr>
            <w:tcW w:w="1166"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505</w:t>
            </w:r>
          </w:p>
        </w:tc>
        <w:tc>
          <w:tcPr>
            <w:tcW w:w="993"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2.843</w:t>
            </w:r>
          </w:p>
        </w:tc>
        <w:tc>
          <w:tcPr>
            <w:tcW w:w="962"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1034"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3.348</w:t>
            </w:r>
          </w:p>
        </w:tc>
      </w:tr>
      <w:tr w:rsidR="00FD14B5" w:rsidRPr="00FD14B5" w:rsidTr="00B85448">
        <w:trPr>
          <w:trHeight w:val="300"/>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La Casita</w:t>
            </w:r>
          </w:p>
        </w:tc>
        <w:tc>
          <w:tcPr>
            <w:tcW w:w="1201"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1146"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3</w:t>
            </w:r>
          </w:p>
        </w:tc>
        <w:tc>
          <w:tcPr>
            <w:tcW w:w="1153"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26</w:t>
            </w:r>
          </w:p>
        </w:tc>
        <w:tc>
          <w:tcPr>
            <w:tcW w:w="1462"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1166"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29</w:t>
            </w:r>
          </w:p>
        </w:tc>
        <w:tc>
          <w:tcPr>
            <w:tcW w:w="993"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962"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1034"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29</w:t>
            </w:r>
          </w:p>
        </w:tc>
      </w:tr>
      <w:tr w:rsidR="00FD14B5" w:rsidRPr="00FD14B5" w:rsidTr="00B85448">
        <w:trPr>
          <w:trHeight w:val="300"/>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Predios</w:t>
            </w:r>
          </w:p>
        </w:tc>
        <w:tc>
          <w:tcPr>
            <w:tcW w:w="1201"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13</w:t>
            </w:r>
          </w:p>
        </w:tc>
        <w:tc>
          <w:tcPr>
            <w:tcW w:w="1146"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272</w:t>
            </w:r>
          </w:p>
        </w:tc>
        <w:tc>
          <w:tcPr>
            <w:tcW w:w="1153"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1462"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1166"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285</w:t>
            </w:r>
          </w:p>
        </w:tc>
        <w:tc>
          <w:tcPr>
            <w:tcW w:w="993"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550</w:t>
            </w:r>
          </w:p>
        </w:tc>
        <w:tc>
          <w:tcPr>
            <w:tcW w:w="962"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2.485</w:t>
            </w:r>
          </w:p>
        </w:tc>
        <w:tc>
          <w:tcPr>
            <w:tcW w:w="1034"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3.320</w:t>
            </w:r>
          </w:p>
        </w:tc>
      </w:tr>
      <w:tr w:rsidR="00FD14B5" w:rsidRPr="00FD14B5" w:rsidTr="00B85448">
        <w:trPr>
          <w:trHeight w:val="300"/>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Valorización</w:t>
            </w:r>
          </w:p>
        </w:tc>
        <w:tc>
          <w:tcPr>
            <w:tcW w:w="1201"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16</w:t>
            </w:r>
          </w:p>
        </w:tc>
        <w:tc>
          <w:tcPr>
            <w:tcW w:w="1146"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238</w:t>
            </w:r>
          </w:p>
        </w:tc>
        <w:tc>
          <w:tcPr>
            <w:tcW w:w="1153"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16</w:t>
            </w:r>
          </w:p>
        </w:tc>
        <w:tc>
          <w:tcPr>
            <w:tcW w:w="1462"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1166"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270</w:t>
            </w:r>
          </w:p>
        </w:tc>
        <w:tc>
          <w:tcPr>
            <w:tcW w:w="993"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770</w:t>
            </w:r>
          </w:p>
        </w:tc>
        <w:tc>
          <w:tcPr>
            <w:tcW w:w="962"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1034"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1.040</w:t>
            </w:r>
          </w:p>
        </w:tc>
      </w:tr>
      <w:tr w:rsidR="00FD14B5" w:rsidRPr="00FD14B5" w:rsidTr="00B85448">
        <w:trPr>
          <w:trHeight w:val="300"/>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Tibiritá</w:t>
            </w:r>
          </w:p>
        </w:tc>
        <w:tc>
          <w:tcPr>
            <w:tcW w:w="1201"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1</w:t>
            </w:r>
          </w:p>
        </w:tc>
        <w:tc>
          <w:tcPr>
            <w:tcW w:w="1146"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1153"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1</w:t>
            </w:r>
          </w:p>
        </w:tc>
        <w:tc>
          <w:tcPr>
            <w:tcW w:w="1462"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1166" w:type="dxa"/>
            <w:tcBorders>
              <w:top w:val="single" w:sz="4" w:space="0" w:color="auto"/>
              <w:left w:val="nil"/>
              <w:bottom w:val="nil"/>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993"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962"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1034"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2</w:t>
            </w:r>
          </w:p>
        </w:tc>
      </w:tr>
      <w:tr w:rsidR="00FD14B5" w:rsidRPr="00FD14B5" w:rsidTr="00B85448">
        <w:trPr>
          <w:trHeight w:val="300"/>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Panalpina</w:t>
            </w:r>
          </w:p>
        </w:tc>
        <w:tc>
          <w:tcPr>
            <w:tcW w:w="1201" w:type="dxa"/>
            <w:tcBorders>
              <w:top w:val="single" w:sz="4" w:space="0" w:color="auto"/>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1146" w:type="dxa"/>
            <w:tcBorders>
              <w:top w:val="single" w:sz="4" w:space="0" w:color="auto"/>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1153" w:type="dxa"/>
            <w:tcBorders>
              <w:top w:val="single" w:sz="4" w:space="0" w:color="auto"/>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1</w:t>
            </w:r>
          </w:p>
        </w:tc>
        <w:tc>
          <w:tcPr>
            <w:tcW w:w="1462" w:type="dxa"/>
            <w:tcBorders>
              <w:top w:val="single" w:sz="4" w:space="0" w:color="auto"/>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1166" w:type="dxa"/>
            <w:tcBorders>
              <w:top w:val="single" w:sz="4" w:space="0" w:color="auto"/>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993"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962"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1034"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1</w:t>
            </w:r>
          </w:p>
        </w:tc>
      </w:tr>
      <w:tr w:rsidR="00FD14B5" w:rsidRPr="00FD14B5" w:rsidTr="00B85448">
        <w:trPr>
          <w:trHeight w:val="300"/>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Patio de Fresado</w:t>
            </w:r>
          </w:p>
        </w:tc>
        <w:tc>
          <w:tcPr>
            <w:tcW w:w="1201"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1</w:t>
            </w:r>
          </w:p>
        </w:tc>
        <w:tc>
          <w:tcPr>
            <w:tcW w:w="1146"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1</w:t>
            </w:r>
          </w:p>
        </w:tc>
        <w:tc>
          <w:tcPr>
            <w:tcW w:w="1153"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1462"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1166"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2</w:t>
            </w:r>
          </w:p>
        </w:tc>
        <w:tc>
          <w:tcPr>
            <w:tcW w:w="993"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962"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0</w:t>
            </w:r>
          </w:p>
        </w:tc>
        <w:tc>
          <w:tcPr>
            <w:tcW w:w="1034" w:type="dxa"/>
            <w:tcBorders>
              <w:top w:val="nil"/>
              <w:left w:val="nil"/>
              <w:bottom w:val="single" w:sz="4" w:space="0" w:color="auto"/>
              <w:right w:val="single" w:sz="4" w:space="0" w:color="auto"/>
            </w:tcBorders>
            <w:shd w:val="clear" w:color="auto" w:fill="auto"/>
            <w:noWrap/>
            <w:vAlign w:val="bottom"/>
            <w:hideMark/>
          </w:tcPr>
          <w:p w:rsidR="00FD14B5" w:rsidRPr="00FD14B5" w:rsidRDefault="00FD14B5" w:rsidP="00A73E59">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2</w:t>
            </w:r>
          </w:p>
        </w:tc>
      </w:tr>
      <w:tr w:rsidR="00FD14B5" w:rsidRPr="00FD14B5" w:rsidTr="00B85448">
        <w:trPr>
          <w:trHeight w:val="600"/>
        </w:trPr>
        <w:tc>
          <w:tcPr>
            <w:tcW w:w="10251" w:type="dxa"/>
            <w:gridSpan w:val="9"/>
            <w:tcBorders>
              <w:top w:val="single" w:sz="4" w:space="0" w:color="auto"/>
              <w:left w:val="nil"/>
              <w:bottom w:val="nil"/>
              <w:right w:val="nil"/>
            </w:tcBorders>
            <w:shd w:val="clear" w:color="auto" w:fill="auto"/>
            <w:vAlign w:val="center"/>
            <w:hideMark/>
          </w:tcPr>
          <w:p w:rsidR="00FD14B5" w:rsidRPr="00FD14B5" w:rsidRDefault="00FD14B5" w:rsidP="00BD0E63">
            <w:pPr>
              <w:spacing w:line="240" w:lineRule="auto"/>
              <w:jc w:val="both"/>
              <w:rPr>
                <w:rFonts w:ascii="Arial" w:eastAsia="Times New Roman" w:hAnsi="Arial" w:cs="Arial"/>
                <w:sz w:val="18"/>
                <w:szCs w:val="18"/>
                <w:lang w:eastAsia="es-CO"/>
              </w:rPr>
            </w:pPr>
            <w:r w:rsidRPr="00FD14B5">
              <w:rPr>
                <w:rFonts w:ascii="Arial" w:eastAsia="Times New Roman" w:hAnsi="Arial" w:cs="Arial"/>
                <w:sz w:val="18"/>
                <w:szCs w:val="18"/>
                <w:lang w:eastAsia="es-CO"/>
              </w:rPr>
              <w:t>* Corte a 31/1</w:t>
            </w:r>
            <w:r w:rsidR="00BD0E63">
              <w:rPr>
                <w:rFonts w:ascii="Arial" w:eastAsia="Times New Roman" w:hAnsi="Arial" w:cs="Arial"/>
                <w:sz w:val="18"/>
                <w:szCs w:val="18"/>
                <w:lang w:eastAsia="es-CO"/>
              </w:rPr>
              <w:t>2</w:t>
            </w:r>
            <w:r w:rsidRPr="00FD14B5">
              <w:rPr>
                <w:rFonts w:ascii="Arial" w:eastAsia="Times New Roman" w:hAnsi="Arial" w:cs="Arial"/>
                <w:sz w:val="18"/>
                <w:szCs w:val="18"/>
                <w:lang w:eastAsia="es-CO"/>
              </w:rPr>
              <w:t>/2019</w:t>
            </w:r>
          </w:p>
        </w:tc>
      </w:tr>
    </w:tbl>
    <w:p w:rsidR="00FD14B5" w:rsidRPr="00FD14B5" w:rsidRDefault="00FD14B5" w:rsidP="00A73E59">
      <w:pPr>
        <w:pStyle w:val="Descripcin"/>
        <w:spacing w:after="0"/>
        <w:rPr>
          <w:rFonts w:ascii="Arial" w:hAnsi="Arial" w:cs="Arial"/>
          <w:color w:val="auto"/>
        </w:rPr>
      </w:pPr>
      <w:bookmarkStart w:id="198" w:name="_Toc27665791"/>
      <w:r w:rsidRPr="00FD14B5">
        <w:rPr>
          <w:rFonts w:ascii="Arial" w:hAnsi="Arial" w:cs="Arial"/>
          <w:color w:val="auto"/>
        </w:rPr>
        <w:t>Personal permanente por sede</w:t>
      </w:r>
      <w:bookmarkEnd w:id="198"/>
    </w:p>
    <w:p w:rsidR="00FD14B5" w:rsidRPr="00FD14B5" w:rsidRDefault="00FD14B5" w:rsidP="00A73E59">
      <w:pPr>
        <w:autoSpaceDE w:val="0"/>
        <w:autoSpaceDN w:val="0"/>
        <w:adjustRightInd w:val="0"/>
        <w:spacing w:line="240" w:lineRule="auto"/>
        <w:contextualSpacing/>
        <w:jc w:val="both"/>
        <w:rPr>
          <w:rFonts w:ascii="Arial" w:eastAsia="Calibri" w:hAnsi="Arial" w:cs="Arial"/>
        </w:rPr>
      </w:pPr>
      <w:r w:rsidRPr="00FD14B5">
        <w:rPr>
          <w:rFonts w:ascii="Arial" w:eastAsia="Calibri" w:hAnsi="Arial" w:cs="Arial"/>
          <w:noProof/>
          <w:lang w:eastAsia="es-CO"/>
        </w:rPr>
        <w:lastRenderedPageBreak/>
        <w:drawing>
          <wp:inline distT="0" distB="0" distL="0" distR="0" wp14:anchorId="626787C0" wp14:editId="38CFBA8D">
            <wp:extent cx="4061460" cy="2057400"/>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61460" cy="2057400"/>
                    </a:xfrm>
                    <a:prstGeom prst="rect">
                      <a:avLst/>
                    </a:prstGeom>
                    <a:noFill/>
                  </pic:spPr>
                </pic:pic>
              </a:graphicData>
            </a:graphic>
          </wp:inline>
        </w:drawing>
      </w:r>
    </w:p>
    <w:p w:rsidR="00FD14B5" w:rsidRDefault="00FD14B5" w:rsidP="00A73E59">
      <w:pPr>
        <w:autoSpaceDE w:val="0"/>
        <w:autoSpaceDN w:val="0"/>
        <w:adjustRightInd w:val="0"/>
        <w:spacing w:line="240" w:lineRule="auto"/>
        <w:contextualSpacing/>
        <w:jc w:val="both"/>
        <w:rPr>
          <w:rFonts w:ascii="Arial" w:eastAsia="Calibri" w:hAnsi="Arial" w:cs="Arial"/>
          <w:sz w:val="20"/>
        </w:rPr>
      </w:pPr>
      <w:r w:rsidRPr="00FD14B5">
        <w:rPr>
          <w:rFonts w:ascii="Arial" w:eastAsia="Calibri" w:hAnsi="Arial" w:cs="Arial"/>
          <w:sz w:val="20"/>
        </w:rPr>
        <w:t>Fuente: Subdirección Técnica de Recursos Físicos</w:t>
      </w:r>
    </w:p>
    <w:p w:rsidR="00BD0E63" w:rsidRPr="00FD14B5" w:rsidRDefault="00BD0E63" w:rsidP="00A73E59">
      <w:pPr>
        <w:autoSpaceDE w:val="0"/>
        <w:autoSpaceDN w:val="0"/>
        <w:adjustRightInd w:val="0"/>
        <w:spacing w:line="240" w:lineRule="auto"/>
        <w:contextualSpacing/>
        <w:jc w:val="both"/>
        <w:rPr>
          <w:rFonts w:ascii="Arial" w:eastAsia="Calibri" w:hAnsi="Arial" w:cs="Arial"/>
          <w:sz w:val="20"/>
        </w:rPr>
      </w:pPr>
    </w:p>
    <w:p w:rsidR="00FD14B5" w:rsidRPr="00FD14B5" w:rsidRDefault="00FD14B5" w:rsidP="00A73E59">
      <w:pPr>
        <w:spacing w:line="276" w:lineRule="auto"/>
        <w:jc w:val="both"/>
        <w:rPr>
          <w:rFonts w:ascii="Arial" w:eastAsia="Times New Roman" w:hAnsi="Arial" w:cs="Arial"/>
          <w:lang w:val="es-ES" w:eastAsia="es-ES"/>
        </w:rPr>
      </w:pPr>
      <w:r w:rsidRPr="00FD14B5">
        <w:rPr>
          <w:rFonts w:ascii="Arial" w:eastAsia="Times New Roman" w:hAnsi="Arial" w:cs="Arial"/>
          <w:lang w:val="es-ES" w:eastAsia="es-ES"/>
        </w:rPr>
        <w:t xml:space="preserve">Tal como se muestra en el gráfico anterior, se concluye que el 42% del personal, que desarrollas sus actividades para la gestión de los procesos, está ubicado en la sede de la calle 22, el 27% está en la sede calle 20, el 15% en la sede denominada “Predios” y el 14% en la sede denominada “Valorización”. </w:t>
      </w:r>
    </w:p>
    <w:p w:rsidR="00FD14B5" w:rsidRPr="00FD14B5" w:rsidRDefault="00FD14B5" w:rsidP="00A73E59">
      <w:pPr>
        <w:spacing w:line="276" w:lineRule="auto"/>
        <w:jc w:val="both"/>
        <w:rPr>
          <w:rFonts w:ascii="Arial" w:eastAsia="Times New Roman" w:hAnsi="Arial" w:cs="Arial"/>
          <w:lang w:val="es-ES" w:eastAsia="es-ES"/>
        </w:rPr>
      </w:pPr>
    </w:p>
    <w:p w:rsidR="00FD14B5" w:rsidRDefault="00FD14B5" w:rsidP="002B2F2E">
      <w:pPr>
        <w:spacing w:line="276" w:lineRule="auto"/>
        <w:jc w:val="both"/>
        <w:rPr>
          <w:rFonts w:ascii="Arial" w:eastAsia="Times New Roman" w:hAnsi="Arial" w:cs="Arial"/>
          <w:lang w:val="es-ES" w:eastAsia="es-ES"/>
        </w:rPr>
      </w:pPr>
      <w:r w:rsidRPr="00FD14B5">
        <w:rPr>
          <w:rFonts w:ascii="Arial" w:eastAsia="Times New Roman" w:hAnsi="Arial" w:cs="Arial"/>
          <w:lang w:val="es-ES" w:eastAsia="es-ES"/>
        </w:rPr>
        <w:t xml:space="preserve">Además de velar por espacios que permitan que los servidores de la Entidad realicen las labores y las acciones inherentes a sus contratos, el Instituto ha realizado actividades de mejora de los espacios actuales. Estas actividades se han diseñado con base en el diagnóstico elaborado por la ARL del IDU, en el cual se exploraron no solo las necesidades de los servidores, </w:t>
      </w:r>
      <w:r w:rsidR="002B2F2E">
        <w:rPr>
          <w:rFonts w:ascii="Arial" w:eastAsia="Times New Roman" w:hAnsi="Arial" w:cs="Arial"/>
          <w:lang w:val="es-ES" w:eastAsia="es-ES"/>
        </w:rPr>
        <w:t xml:space="preserve">sino también sus expectativas. </w:t>
      </w:r>
    </w:p>
    <w:p w:rsidR="002B2F2E" w:rsidRPr="002B2F2E" w:rsidRDefault="002B2F2E" w:rsidP="002B2F2E">
      <w:pPr>
        <w:spacing w:line="276" w:lineRule="auto"/>
        <w:jc w:val="both"/>
        <w:rPr>
          <w:rFonts w:ascii="Arial" w:eastAsia="Times New Roman" w:hAnsi="Arial" w:cs="Arial"/>
          <w:lang w:val="es-ES" w:eastAsia="es-ES"/>
        </w:rPr>
      </w:pPr>
    </w:p>
    <w:p w:rsidR="00FD14B5" w:rsidRPr="002B2F2E" w:rsidRDefault="00FD14B5" w:rsidP="00D0183B">
      <w:pPr>
        <w:pStyle w:val="Ttulo3"/>
        <w:keepNext w:val="0"/>
        <w:keepLines w:val="0"/>
        <w:numPr>
          <w:ilvl w:val="1"/>
          <w:numId w:val="56"/>
        </w:numPr>
        <w:spacing w:before="0" w:line="276" w:lineRule="auto"/>
        <w:ind w:left="567" w:hanging="283"/>
        <w:jc w:val="both"/>
        <w:rPr>
          <w:rFonts w:ascii="Arial" w:hAnsi="Arial" w:cs="Arial"/>
          <w:b/>
          <w:color w:val="auto"/>
          <w:sz w:val="22"/>
          <w:szCs w:val="22"/>
          <w:lang w:val="es-ES"/>
        </w:rPr>
      </w:pPr>
      <w:r w:rsidRPr="002B2F2E">
        <w:rPr>
          <w:rFonts w:ascii="Arial" w:hAnsi="Arial" w:cs="Arial"/>
          <w:b/>
          <w:color w:val="auto"/>
          <w:sz w:val="22"/>
          <w:szCs w:val="22"/>
          <w:lang w:val="es-ES"/>
        </w:rPr>
        <w:t xml:space="preserve"> </w:t>
      </w:r>
      <w:bookmarkStart w:id="199" w:name="_Toc27665283"/>
      <w:bookmarkStart w:id="200" w:name="_Toc30774649"/>
      <w:r w:rsidRPr="002B2F2E">
        <w:rPr>
          <w:rFonts w:ascii="Arial" w:hAnsi="Arial" w:cs="Arial"/>
          <w:b/>
          <w:color w:val="auto"/>
          <w:sz w:val="22"/>
          <w:szCs w:val="22"/>
          <w:lang w:val="es-ES"/>
        </w:rPr>
        <w:t>ALMACÉN E INVENTARIOS</w:t>
      </w:r>
      <w:bookmarkEnd w:id="199"/>
      <w:bookmarkEnd w:id="200"/>
      <w:r w:rsidRPr="002B2F2E">
        <w:rPr>
          <w:rFonts w:ascii="Arial" w:hAnsi="Arial" w:cs="Arial"/>
          <w:b/>
          <w:color w:val="auto"/>
          <w:sz w:val="22"/>
          <w:szCs w:val="22"/>
          <w:lang w:val="es-ES"/>
        </w:rPr>
        <w:t xml:space="preserve"> </w:t>
      </w:r>
    </w:p>
    <w:p w:rsidR="00FD14B5" w:rsidRPr="00FD14B5" w:rsidRDefault="00FD14B5" w:rsidP="00A73E59">
      <w:pPr>
        <w:pStyle w:val="Prrafodelista"/>
        <w:spacing w:line="276" w:lineRule="auto"/>
        <w:jc w:val="both"/>
        <w:rPr>
          <w:rFonts w:ascii="Arial" w:hAnsi="Arial" w:cs="Arial"/>
        </w:rPr>
      </w:pPr>
    </w:p>
    <w:p w:rsidR="00FD14B5" w:rsidRPr="00FD14B5" w:rsidRDefault="00FD14B5" w:rsidP="00A73E59">
      <w:pPr>
        <w:pStyle w:val="Prrafodelista"/>
        <w:spacing w:line="276" w:lineRule="auto"/>
        <w:ind w:left="0"/>
        <w:jc w:val="both"/>
        <w:rPr>
          <w:rFonts w:ascii="Arial" w:hAnsi="Arial" w:cs="Arial"/>
        </w:rPr>
      </w:pPr>
      <w:r w:rsidRPr="00FD14B5">
        <w:rPr>
          <w:rFonts w:ascii="Arial" w:hAnsi="Arial" w:cs="Arial"/>
        </w:rPr>
        <w:t xml:space="preserve">En cuanto al almacén, el IDU posee un inventario cuyo costo histórico ajustado es de $60.637.993.226, el cual es desagregado de la siguiente manera </w:t>
      </w:r>
    </w:p>
    <w:p w:rsidR="00FD14B5" w:rsidRPr="00FD14B5" w:rsidRDefault="00FD14B5" w:rsidP="00A73E59">
      <w:pPr>
        <w:pStyle w:val="Prrafodelista"/>
        <w:spacing w:line="276" w:lineRule="auto"/>
        <w:jc w:val="both"/>
        <w:rPr>
          <w:rFonts w:ascii="Arial" w:hAnsi="Arial" w:cs="Arial"/>
        </w:rPr>
      </w:pPr>
    </w:p>
    <w:p w:rsidR="00FD14B5" w:rsidRPr="00FD14B5" w:rsidRDefault="00FD14B5" w:rsidP="00D0183B">
      <w:pPr>
        <w:pStyle w:val="Prrafodelista"/>
        <w:numPr>
          <w:ilvl w:val="0"/>
          <w:numId w:val="36"/>
        </w:numPr>
        <w:spacing w:after="0" w:line="276" w:lineRule="auto"/>
        <w:jc w:val="both"/>
        <w:rPr>
          <w:rFonts w:ascii="Arial" w:hAnsi="Arial" w:cs="Arial"/>
        </w:rPr>
      </w:pPr>
      <w:r w:rsidRPr="00FD14B5">
        <w:rPr>
          <w:rFonts w:ascii="Arial" w:hAnsi="Arial" w:cs="Arial"/>
        </w:rPr>
        <w:t>Bienes muebles devolutivos en depósito:  $ 1.052.159.618</w:t>
      </w:r>
    </w:p>
    <w:p w:rsidR="00FD14B5" w:rsidRPr="00FD14B5" w:rsidRDefault="00FD14B5" w:rsidP="00D0183B">
      <w:pPr>
        <w:pStyle w:val="Prrafodelista"/>
        <w:numPr>
          <w:ilvl w:val="0"/>
          <w:numId w:val="36"/>
        </w:numPr>
        <w:spacing w:after="0" w:line="276" w:lineRule="auto"/>
        <w:jc w:val="both"/>
        <w:rPr>
          <w:rFonts w:ascii="Arial" w:hAnsi="Arial" w:cs="Arial"/>
        </w:rPr>
      </w:pPr>
      <w:r w:rsidRPr="00FD14B5">
        <w:rPr>
          <w:rFonts w:ascii="Arial" w:hAnsi="Arial" w:cs="Arial"/>
        </w:rPr>
        <w:t>Bienes muebles devolutivos en servicio: $ 59.585.833.608</w:t>
      </w:r>
    </w:p>
    <w:p w:rsidR="00FD14B5" w:rsidRPr="00FD14B5" w:rsidRDefault="00FD14B5" w:rsidP="00A73E59">
      <w:pPr>
        <w:pStyle w:val="Prrafodelista"/>
        <w:tabs>
          <w:tab w:val="left" w:pos="7908"/>
        </w:tabs>
        <w:spacing w:line="240" w:lineRule="auto"/>
        <w:ind w:left="0"/>
        <w:jc w:val="both"/>
        <w:rPr>
          <w:rFonts w:ascii="Arial" w:hAnsi="Arial" w:cs="Arial"/>
        </w:rPr>
      </w:pPr>
      <w:r w:rsidRPr="00FD14B5">
        <w:rPr>
          <w:rFonts w:ascii="Arial" w:hAnsi="Arial" w:cs="Arial"/>
        </w:rPr>
        <w:tab/>
      </w:r>
    </w:p>
    <w:p w:rsidR="00FD14B5" w:rsidRPr="00FD14B5" w:rsidRDefault="00FD14B5" w:rsidP="002B2F2E">
      <w:pPr>
        <w:pStyle w:val="Descripcin"/>
        <w:spacing w:after="0" w:line="276" w:lineRule="auto"/>
        <w:ind w:left="708" w:firstLine="708"/>
        <w:rPr>
          <w:rFonts w:ascii="Arial" w:hAnsi="Arial" w:cs="Arial"/>
          <w:color w:val="auto"/>
        </w:rPr>
      </w:pPr>
      <w:bookmarkStart w:id="201" w:name="_Toc27665413"/>
      <w:r w:rsidRPr="00FD14B5">
        <w:rPr>
          <w:rFonts w:ascii="Arial" w:hAnsi="Arial" w:cs="Arial"/>
          <w:color w:val="auto"/>
        </w:rPr>
        <w:t xml:space="preserve"> Valor del inventario de bienes muebles</w:t>
      </w:r>
      <w:bookmarkEnd w:id="201"/>
    </w:p>
    <w:tbl>
      <w:tblPr>
        <w:tblW w:w="68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64"/>
        <w:gridCol w:w="2427"/>
      </w:tblGrid>
      <w:tr w:rsidR="00FD14B5" w:rsidRPr="00FD14B5" w:rsidTr="00B85448">
        <w:trPr>
          <w:trHeight w:val="295"/>
          <w:jc w:val="center"/>
        </w:trPr>
        <w:tc>
          <w:tcPr>
            <w:tcW w:w="4464" w:type="dxa"/>
            <w:shd w:val="clear" w:color="auto" w:fill="BDD6EE" w:themeFill="accent1" w:themeFillTint="66"/>
            <w:vAlign w:val="center"/>
            <w:hideMark/>
          </w:tcPr>
          <w:p w:rsidR="00FD14B5" w:rsidRPr="00FD14B5" w:rsidRDefault="00FD14B5" w:rsidP="00A73E59">
            <w:pPr>
              <w:spacing w:line="276" w:lineRule="auto"/>
              <w:jc w:val="both"/>
              <w:rPr>
                <w:rFonts w:ascii="Arial" w:eastAsia="Times New Roman" w:hAnsi="Arial" w:cs="Arial"/>
                <w:b/>
                <w:bCs/>
                <w:sz w:val="18"/>
                <w:szCs w:val="16"/>
                <w:lang w:eastAsia="es-CO"/>
              </w:rPr>
            </w:pPr>
            <w:r w:rsidRPr="00FD14B5">
              <w:rPr>
                <w:rFonts w:ascii="Arial" w:eastAsia="Times New Roman" w:hAnsi="Arial" w:cs="Arial"/>
                <w:b/>
                <w:bCs/>
                <w:sz w:val="18"/>
                <w:szCs w:val="16"/>
                <w:lang w:eastAsia="es-CO"/>
              </w:rPr>
              <w:t>CONCEPTO</w:t>
            </w:r>
          </w:p>
        </w:tc>
        <w:tc>
          <w:tcPr>
            <w:tcW w:w="2427" w:type="dxa"/>
            <w:shd w:val="clear" w:color="auto" w:fill="BDD6EE" w:themeFill="accent1" w:themeFillTint="66"/>
            <w:vAlign w:val="center"/>
            <w:hideMark/>
          </w:tcPr>
          <w:p w:rsidR="00FD14B5" w:rsidRPr="00FD14B5" w:rsidRDefault="00FD14B5" w:rsidP="00A73E59">
            <w:pPr>
              <w:spacing w:line="276" w:lineRule="auto"/>
              <w:jc w:val="both"/>
              <w:rPr>
                <w:rFonts w:ascii="Arial" w:eastAsia="Times New Roman" w:hAnsi="Arial" w:cs="Arial"/>
                <w:b/>
                <w:bCs/>
                <w:sz w:val="18"/>
                <w:szCs w:val="16"/>
                <w:lang w:eastAsia="es-CO"/>
              </w:rPr>
            </w:pPr>
            <w:r w:rsidRPr="00FD14B5">
              <w:rPr>
                <w:rFonts w:ascii="Arial" w:eastAsia="Times New Roman" w:hAnsi="Arial" w:cs="Arial"/>
                <w:b/>
                <w:bCs/>
                <w:sz w:val="18"/>
                <w:szCs w:val="16"/>
                <w:lang w:eastAsia="es-CO"/>
              </w:rPr>
              <w:t>TOTAL</w:t>
            </w:r>
          </w:p>
        </w:tc>
      </w:tr>
      <w:tr w:rsidR="00FD14B5" w:rsidRPr="00FD14B5" w:rsidTr="00B85448">
        <w:trPr>
          <w:trHeight w:val="295"/>
          <w:jc w:val="center"/>
        </w:trPr>
        <w:tc>
          <w:tcPr>
            <w:tcW w:w="4464" w:type="dxa"/>
            <w:shd w:val="clear" w:color="auto" w:fill="auto"/>
            <w:vAlign w:val="center"/>
            <w:hideMark/>
          </w:tcPr>
          <w:p w:rsidR="00FD14B5" w:rsidRPr="00FD14B5" w:rsidRDefault="00FD14B5" w:rsidP="00A73E59">
            <w:pPr>
              <w:spacing w:line="240" w:lineRule="auto"/>
              <w:jc w:val="both"/>
              <w:rPr>
                <w:rFonts w:ascii="Arial" w:eastAsia="Times New Roman" w:hAnsi="Arial" w:cs="Arial"/>
                <w:sz w:val="18"/>
                <w:lang w:eastAsia="es-CO"/>
              </w:rPr>
            </w:pPr>
            <w:r w:rsidRPr="00FD14B5">
              <w:rPr>
                <w:rFonts w:ascii="Arial" w:eastAsia="Times New Roman" w:hAnsi="Arial" w:cs="Arial"/>
                <w:sz w:val="18"/>
                <w:lang w:eastAsia="es-CO"/>
              </w:rPr>
              <w:t>Edificaciones</w:t>
            </w:r>
          </w:p>
        </w:tc>
        <w:tc>
          <w:tcPr>
            <w:tcW w:w="2427" w:type="dxa"/>
            <w:shd w:val="clear" w:color="auto" w:fill="auto"/>
            <w:vAlign w:val="center"/>
            <w:hideMark/>
          </w:tcPr>
          <w:p w:rsidR="00FD14B5" w:rsidRPr="00FD14B5" w:rsidRDefault="00FD14B5" w:rsidP="00A73E59">
            <w:pPr>
              <w:spacing w:line="240" w:lineRule="auto"/>
              <w:jc w:val="both"/>
              <w:rPr>
                <w:rFonts w:ascii="Arial" w:eastAsia="Times New Roman" w:hAnsi="Arial" w:cs="Arial"/>
                <w:sz w:val="18"/>
                <w:lang w:eastAsia="es-CO"/>
              </w:rPr>
            </w:pPr>
            <w:r w:rsidRPr="00FD14B5">
              <w:rPr>
                <w:rFonts w:ascii="Arial" w:eastAsia="Times New Roman" w:hAnsi="Arial" w:cs="Arial"/>
                <w:sz w:val="18"/>
                <w:lang w:eastAsia="es-CO"/>
              </w:rPr>
              <w:t xml:space="preserve">$30.561.948.052 </w:t>
            </w:r>
          </w:p>
        </w:tc>
      </w:tr>
      <w:tr w:rsidR="00FD14B5" w:rsidRPr="00FD14B5" w:rsidTr="00B85448">
        <w:trPr>
          <w:trHeight w:val="295"/>
          <w:jc w:val="center"/>
        </w:trPr>
        <w:tc>
          <w:tcPr>
            <w:tcW w:w="4464" w:type="dxa"/>
            <w:shd w:val="clear" w:color="auto" w:fill="auto"/>
            <w:vAlign w:val="center"/>
            <w:hideMark/>
          </w:tcPr>
          <w:p w:rsidR="00FD14B5" w:rsidRPr="00FD14B5" w:rsidRDefault="00FD14B5" w:rsidP="00A73E59">
            <w:pPr>
              <w:spacing w:line="240" w:lineRule="auto"/>
              <w:jc w:val="both"/>
              <w:rPr>
                <w:rFonts w:ascii="Arial" w:eastAsia="Times New Roman" w:hAnsi="Arial" w:cs="Arial"/>
                <w:sz w:val="18"/>
                <w:lang w:eastAsia="es-CO"/>
              </w:rPr>
            </w:pPr>
            <w:r w:rsidRPr="00FD14B5">
              <w:rPr>
                <w:rFonts w:ascii="Arial" w:eastAsia="Times New Roman" w:hAnsi="Arial" w:cs="Arial"/>
                <w:sz w:val="18"/>
                <w:lang w:eastAsia="es-CO"/>
              </w:rPr>
              <w:t>Maquinaria y Equipo</w:t>
            </w:r>
          </w:p>
        </w:tc>
        <w:tc>
          <w:tcPr>
            <w:tcW w:w="2427" w:type="dxa"/>
            <w:shd w:val="clear" w:color="auto" w:fill="auto"/>
            <w:vAlign w:val="center"/>
            <w:hideMark/>
          </w:tcPr>
          <w:p w:rsidR="00FD14B5" w:rsidRPr="00FD14B5" w:rsidRDefault="00FD14B5" w:rsidP="00A73E59">
            <w:pPr>
              <w:spacing w:line="240" w:lineRule="auto"/>
              <w:jc w:val="both"/>
              <w:rPr>
                <w:rFonts w:ascii="Arial" w:eastAsia="Times New Roman" w:hAnsi="Arial" w:cs="Arial"/>
                <w:sz w:val="18"/>
                <w:lang w:eastAsia="es-CO"/>
              </w:rPr>
            </w:pPr>
            <w:r w:rsidRPr="00FD14B5">
              <w:rPr>
                <w:rFonts w:ascii="Arial" w:eastAsia="Times New Roman" w:hAnsi="Arial" w:cs="Arial"/>
                <w:sz w:val="18"/>
                <w:lang w:eastAsia="es-CO"/>
              </w:rPr>
              <w:t xml:space="preserve">$2.030.516.666 </w:t>
            </w:r>
          </w:p>
        </w:tc>
      </w:tr>
      <w:tr w:rsidR="00FD14B5" w:rsidRPr="00FD14B5" w:rsidTr="00B85448">
        <w:trPr>
          <w:trHeight w:val="295"/>
          <w:jc w:val="center"/>
        </w:trPr>
        <w:tc>
          <w:tcPr>
            <w:tcW w:w="4464" w:type="dxa"/>
            <w:shd w:val="clear" w:color="auto" w:fill="auto"/>
            <w:vAlign w:val="center"/>
            <w:hideMark/>
          </w:tcPr>
          <w:p w:rsidR="00FD14B5" w:rsidRPr="00FD14B5" w:rsidRDefault="00FD14B5" w:rsidP="00A73E59">
            <w:pPr>
              <w:spacing w:line="240" w:lineRule="auto"/>
              <w:jc w:val="both"/>
              <w:rPr>
                <w:rFonts w:ascii="Arial" w:eastAsia="Times New Roman" w:hAnsi="Arial" w:cs="Arial"/>
                <w:sz w:val="18"/>
                <w:lang w:eastAsia="es-CO"/>
              </w:rPr>
            </w:pPr>
            <w:r w:rsidRPr="00FD14B5">
              <w:rPr>
                <w:rFonts w:ascii="Arial" w:eastAsia="Times New Roman" w:hAnsi="Arial" w:cs="Arial"/>
                <w:sz w:val="18"/>
                <w:lang w:eastAsia="es-CO"/>
              </w:rPr>
              <w:t>Equipo de Transporte, Tracción y Elevación</w:t>
            </w:r>
          </w:p>
        </w:tc>
        <w:tc>
          <w:tcPr>
            <w:tcW w:w="2427" w:type="dxa"/>
            <w:shd w:val="clear" w:color="auto" w:fill="auto"/>
            <w:vAlign w:val="center"/>
            <w:hideMark/>
          </w:tcPr>
          <w:p w:rsidR="00FD14B5" w:rsidRPr="00FD14B5" w:rsidRDefault="00FD14B5" w:rsidP="00A73E59">
            <w:pPr>
              <w:spacing w:line="240" w:lineRule="auto"/>
              <w:jc w:val="both"/>
              <w:rPr>
                <w:rFonts w:ascii="Arial" w:eastAsia="Times New Roman" w:hAnsi="Arial" w:cs="Arial"/>
                <w:sz w:val="18"/>
                <w:lang w:eastAsia="es-CO"/>
              </w:rPr>
            </w:pPr>
            <w:r w:rsidRPr="00FD14B5">
              <w:rPr>
                <w:rFonts w:ascii="Arial" w:eastAsia="Times New Roman" w:hAnsi="Arial" w:cs="Arial"/>
                <w:sz w:val="18"/>
                <w:lang w:eastAsia="es-CO"/>
              </w:rPr>
              <w:t xml:space="preserve">$2.792.224.169 </w:t>
            </w:r>
          </w:p>
        </w:tc>
      </w:tr>
      <w:tr w:rsidR="00FD14B5" w:rsidRPr="00FD14B5" w:rsidTr="00B85448">
        <w:trPr>
          <w:trHeight w:val="295"/>
          <w:jc w:val="center"/>
        </w:trPr>
        <w:tc>
          <w:tcPr>
            <w:tcW w:w="4464" w:type="dxa"/>
            <w:shd w:val="clear" w:color="auto" w:fill="auto"/>
            <w:vAlign w:val="center"/>
            <w:hideMark/>
          </w:tcPr>
          <w:p w:rsidR="00FD14B5" w:rsidRPr="00FD14B5" w:rsidRDefault="00FD14B5" w:rsidP="00A73E59">
            <w:pPr>
              <w:spacing w:line="240" w:lineRule="auto"/>
              <w:jc w:val="both"/>
              <w:rPr>
                <w:rFonts w:ascii="Arial" w:eastAsia="Times New Roman" w:hAnsi="Arial" w:cs="Arial"/>
                <w:sz w:val="18"/>
                <w:lang w:eastAsia="es-CO"/>
              </w:rPr>
            </w:pPr>
            <w:r w:rsidRPr="00FD14B5">
              <w:rPr>
                <w:rFonts w:ascii="Arial" w:eastAsia="Times New Roman" w:hAnsi="Arial" w:cs="Arial"/>
                <w:sz w:val="18"/>
                <w:lang w:eastAsia="es-CO"/>
              </w:rPr>
              <w:t>Equipos de Comunicación y Computación</w:t>
            </w:r>
          </w:p>
        </w:tc>
        <w:tc>
          <w:tcPr>
            <w:tcW w:w="2427" w:type="dxa"/>
            <w:shd w:val="clear" w:color="auto" w:fill="auto"/>
            <w:vAlign w:val="center"/>
            <w:hideMark/>
          </w:tcPr>
          <w:p w:rsidR="00FD14B5" w:rsidRPr="00FD14B5" w:rsidRDefault="00FD14B5" w:rsidP="00A73E59">
            <w:pPr>
              <w:spacing w:line="240" w:lineRule="auto"/>
              <w:jc w:val="both"/>
              <w:rPr>
                <w:rFonts w:ascii="Arial" w:eastAsia="Times New Roman" w:hAnsi="Arial" w:cs="Arial"/>
                <w:sz w:val="18"/>
                <w:lang w:eastAsia="es-CO"/>
              </w:rPr>
            </w:pPr>
            <w:r w:rsidRPr="00FD14B5">
              <w:rPr>
                <w:rFonts w:ascii="Arial" w:eastAsia="Times New Roman" w:hAnsi="Arial" w:cs="Arial"/>
                <w:sz w:val="18"/>
                <w:lang w:eastAsia="es-CO"/>
              </w:rPr>
              <w:t xml:space="preserve">$18.022.012.507 </w:t>
            </w:r>
          </w:p>
        </w:tc>
      </w:tr>
      <w:tr w:rsidR="00FD14B5" w:rsidRPr="00FD14B5" w:rsidTr="00B85448">
        <w:trPr>
          <w:trHeight w:val="295"/>
          <w:jc w:val="center"/>
        </w:trPr>
        <w:tc>
          <w:tcPr>
            <w:tcW w:w="4464" w:type="dxa"/>
            <w:shd w:val="clear" w:color="auto" w:fill="auto"/>
            <w:vAlign w:val="center"/>
            <w:hideMark/>
          </w:tcPr>
          <w:p w:rsidR="00FD14B5" w:rsidRPr="00FD14B5" w:rsidRDefault="00FD14B5" w:rsidP="00A73E59">
            <w:pPr>
              <w:spacing w:line="240" w:lineRule="auto"/>
              <w:jc w:val="both"/>
              <w:rPr>
                <w:rFonts w:ascii="Arial" w:eastAsia="Times New Roman" w:hAnsi="Arial" w:cs="Arial"/>
                <w:sz w:val="18"/>
                <w:lang w:eastAsia="es-CO"/>
              </w:rPr>
            </w:pPr>
            <w:r w:rsidRPr="00FD14B5">
              <w:rPr>
                <w:rFonts w:ascii="Arial" w:eastAsia="Times New Roman" w:hAnsi="Arial" w:cs="Arial"/>
                <w:sz w:val="18"/>
                <w:lang w:eastAsia="es-CO"/>
              </w:rPr>
              <w:t>Muebles, Enseres y Equipos de Oficina</w:t>
            </w:r>
          </w:p>
        </w:tc>
        <w:tc>
          <w:tcPr>
            <w:tcW w:w="2427" w:type="dxa"/>
            <w:shd w:val="clear" w:color="auto" w:fill="auto"/>
            <w:vAlign w:val="center"/>
            <w:hideMark/>
          </w:tcPr>
          <w:p w:rsidR="00FD14B5" w:rsidRPr="00FD14B5" w:rsidRDefault="00FD14B5" w:rsidP="00A73E59">
            <w:pPr>
              <w:spacing w:line="240" w:lineRule="auto"/>
              <w:jc w:val="both"/>
              <w:rPr>
                <w:rFonts w:ascii="Arial" w:eastAsia="Times New Roman" w:hAnsi="Arial" w:cs="Arial"/>
                <w:sz w:val="18"/>
                <w:lang w:eastAsia="es-CO"/>
              </w:rPr>
            </w:pPr>
            <w:r w:rsidRPr="00FD14B5">
              <w:rPr>
                <w:rFonts w:ascii="Arial" w:eastAsia="Times New Roman" w:hAnsi="Arial" w:cs="Arial"/>
                <w:sz w:val="18"/>
                <w:lang w:eastAsia="es-CO"/>
              </w:rPr>
              <w:t xml:space="preserve">$5.284.164.450 </w:t>
            </w:r>
          </w:p>
        </w:tc>
      </w:tr>
      <w:tr w:rsidR="00FD14B5" w:rsidRPr="00FD14B5" w:rsidTr="00B85448">
        <w:trPr>
          <w:trHeight w:val="295"/>
          <w:jc w:val="center"/>
        </w:trPr>
        <w:tc>
          <w:tcPr>
            <w:tcW w:w="4464" w:type="dxa"/>
            <w:shd w:val="clear" w:color="auto" w:fill="auto"/>
            <w:vAlign w:val="center"/>
            <w:hideMark/>
          </w:tcPr>
          <w:p w:rsidR="00FD14B5" w:rsidRPr="00FD14B5" w:rsidRDefault="00FD14B5" w:rsidP="00A73E59">
            <w:pPr>
              <w:spacing w:line="240" w:lineRule="auto"/>
              <w:jc w:val="both"/>
              <w:rPr>
                <w:rFonts w:ascii="Arial" w:eastAsia="Times New Roman" w:hAnsi="Arial" w:cs="Arial"/>
                <w:sz w:val="18"/>
                <w:lang w:eastAsia="es-CO"/>
              </w:rPr>
            </w:pPr>
            <w:r w:rsidRPr="00FD14B5">
              <w:rPr>
                <w:rFonts w:ascii="Arial" w:eastAsia="Times New Roman" w:hAnsi="Arial" w:cs="Arial"/>
                <w:sz w:val="18"/>
                <w:lang w:eastAsia="es-CO"/>
              </w:rPr>
              <w:lastRenderedPageBreak/>
              <w:t>Bienes Muebles en Bodega</w:t>
            </w:r>
          </w:p>
        </w:tc>
        <w:tc>
          <w:tcPr>
            <w:tcW w:w="2427" w:type="dxa"/>
            <w:shd w:val="clear" w:color="auto" w:fill="auto"/>
            <w:vAlign w:val="center"/>
            <w:hideMark/>
          </w:tcPr>
          <w:p w:rsidR="00FD14B5" w:rsidRPr="00FD14B5" w:rsidRDefault="00FD14B5" w:rsidP="00A73E59">
            <w:pPr>
              <w:spacing w:line="240" w:lineRule="auto"/>
              <w:jc w:val="both"/>
              <w:rPr>
                <w:rFonts w:ascii="Arial" w:eastAsia="Times New Roman" w:hAnsi="Arial" w:cs="Arial"/>
                <w:sz w:val="18"/>
                <w:lang w:eastAsia="es-CO"/>
              </w:rPr>
            </w:pPr>
            <w:r w:rsidRPr="00FD14B5">
              <w:rPr>
                <w:rFonts w:ascii="Arial" w:eastAsia="Times New Roman" w:hAnsi="Arial" w:cs="Arial"/>
                <w:sz w:val="18"/>
                <w:lang w:eastAsia="es-CO"/>
              </w:rPr>
              <w:t xml:space="preserve">$1.052.159.618 </w:t>
            </w:r>
          </w:p>
        </w:tc>
      </w:tr>
      <w:tr w:rsidR="00FD14B5" w:rsidRPr="00FD14B5" w:rsidTr="00B85448">
        <w:trPr>
          <w:trHeight w:val="295"/>
          <w:jc w:val="center"/>
        </w:trPr>
        <w:tc>
          <w:tcPr>
            <w:tcW w:w="4464" w:type="dxa"/>
            <w:shd w:val="clear" w:color="auto" w:fill="auto"/>
            <w:vAlign w:val="center"/>
            <w:hideMark/>
          </w:tcPr>
          <w:p w:rsidR="00FD14B5" w:rsidRPr="00FD14B5" w:rsidRDefault="00FD14B5" w:rsidP="00A73E59">
            <w:pPr>
              <w:spacing w:line="240" w:lineRule="auto"/>
              <w:jc w:val="both"/>
              <w:rPr>
                <w:rFonts w:ascii="Arial" w:eastAsia="Times New Roman" w:hAnsi="Arial" w:cs="Arial"/>
                <w:sz w:val="18"/>
                <w:lang w:eastAsia="es-CO"/>
              </w:rPr>
            </w:pPr>
            <w:r w:rsidRPr="00FD14B5">
              <w:rPr>
                <w:rFonts w:ascii="Arial" w:eastAsia="Times New Roman" w:hAnsi="Arial" w:cs="Arial"/>
                <w:sz w:val="18"/>
                <w:lang w:eastAsia="es-CO"/>
              </w:rPr>
              <w:t>Redes, Líneas y Cables</w:t>
            </w:r>
          </w:p>
        </w:tc>
        <w:tc>
          <w:tcPr>
            <w:tcW w:w="2427" w:type="dxa"/>
            <w:shd w:val="clear" w:color="auto" w:fill="auto"/>
            <w:vAlign w:val="center"/>
            <w:hideMark/>
          </w:tcPr>
          <w:p w:rsidR="00FD14B5" w:rsidRPr="00FD14B5" w:rsidRDefault="00FD14B5" w:rsidP="00A73E59">
            <w:pPr>
              <w:spacing w:line="240" w:lineRule="auto"/>
              <w:jc w:val="both"/>
              <w:rPr>
                <w:rFonts w:ascii="Arial" w:eastAsia="Times New Roman" w:hAnsi="Arial" w:cs="Arial"/>
                <w:sz w:val="18"/>
                <w:lang w:eastAsia="es-CO"/>
              </w:rPr>
            </w:pPr>
            <w:r w:rsidRPr="00FD14B5">
              <w:rPr>
                <w:rFonts w:ascii="Arial" w:eastAsia="Times New Roman" w:hAnsi="Arial" w:cs="Arial"/>
                <w:sz w:val="18"/>
                <w:lang w:eastAsia="es-CO"/>
              </w:rPr>
              <w:t xml:space="preserve">$878.641.278 </w:t>
            </w:r>
          </w:p>
        </w:tc>
      </w:tr>
      <w:tr w:rsidR="00FD14B5" w:rsidRPr="00FD14B5" w:rsidTr="00B85448">
        <w:trPr>
          <w:trHeight w:val="295"/>
          <w:jc w:val="center"/>
        </w:trPr>
        <w:tc>
          <w:tcPr>
            <w:tcW w:w="4464" w:type="dxa"/>
            <w:shd w:val="clear" w:color="auto" w:fill="auto"/>
            <w:vAlign w:val="center"/>
            <w:hideMark/>
          </w:tcPr>
          <w:p w:rsidR="00FD14B5" w:rsidRPr="00FD14B5" w:rsidRDefault="00FD14B5" w:rsidP="00A73E59">
            <w:pPr>
              <w:spacing w:line="240" w:lineRule="auto"/>
              <w:jc w:val="both"/>
              <w:rPr>
                <w:rFonts w:ascii="Arial" w:eastAsia="Times New Roman" w:hAnsi="Arial" w:cs="Arial"/>
                <w:sz w:val="18"/>
                <w:lang w:eastAsia="es-CO"/>
              </w:rPr>
            </w:pPr>
            <w:r w:rsidRPr="00FD14B5">
              <w:rPr>
                <w:rFonts w:ascii="Arial" w:eastAsia="Times New Roman" w:hAnsi="Arial" w:cs="Arial"/>
                <w:sz w:val="18"/>
                <w:lang w:eastAsia="es-CO"/>
              </w:rPr>
              <w:t>Otros Conceptos</w:t>
            </w:r>
          </w:p>
        </w:tc>
        <w:tc>
          <w:tcPr>
            <w:tcW w:w="2427" w:type="dxa"/>
            <w:shd w:val="clear" w:color="auto" w:fill="auto"/>
            <w:vAlign w:val="center"/>
            <w:hideMark/>
          </w:tcPr>
          <w:p w:rsidR="00FD14B5" w:rsidRPr="00FD14B5" w:rsidRDefault="00FD14B5" w:rsidP="00A73E59">
            <w:pPr>
              <w:spacing w:line="240" w:lineRule="auto"/>
              <w:jc w:val="both"/>
              <w:rPr>
                <w:rFonts w:ascii="Arial" w:eastAsia="Times New Roman" w:hAnsi="Arial" w:cs="Arial"/>
                <w:sz w:val="18"/>
                <w:lang w:eastAsia="es-CO"/>
              </w:rPr>
            </w:pPr>
            <w:r w:rsidRPr="00FD14B5">
              <w:rPr>
                <w:rFonts w:ascii="Arial" w:eastAsia="Times New Roman" w:hAnsi="Arial" w:cs="Arial"/>
                <w:sz w:val="18"/>
                <w:lang w:eastAsia="es-CO"/>
              </w:rPr>
              <w:t xml:space="preserve">$16.326.486 </w:t>
            </w:r>
          </w:p>
        </w:tc>
      </w:tr>
      <w:tr w:rsidR="00FD14B5" w:rsidRPr="00FD14B5" w:rsidTr="00B85448">
        <w:trPr>
          <w:trHeight w:val="295"/>
          <w:jc w:val="center"/>
        </w:trPr>
        <w:tc>
          <w:tcPr>
            <w:tcW w:w="4464" w:type="dxa"/>
            <w:shd w:val="clear" w:color="auto" w:fill="BDD6EE" w:themeFill="accent1" w:themeFillTint="66"/>
            <w:vAlign w:val="center"/>
          </w:tcPr>
          <w:p w:rsidR="00FD14B5" w:rsidRPr="00FD14B5" w:rsidRDefault="00FD14B5" w:rsidP="00A73E59">
            <w:pPr>
              <w:spacing w:line="240" w:lineRule="auto"/>
              <w:jc w:val="both"/>
              <w:rPr>
                <w:rFonts w:ascii="Arial" w:eastAsia="Times New Roman" w:hAnsi="Arial" w:cs="Arial"/>
                <w:b/>
                <w:sz w:val="18"/>
                <w:lang w:eastAsia="es-CO"/>
              </w:rPr>
            </w:pPr>
            <w:r w:rsidRPr="00FD14B5">
              <w:rPr>
                <w:rFonts w:ascii="Arial" w:eastAsia="Times New Roman" w:hAnsi="Arial" w:cs="Arial"/>
                <w:b/>
                <w:sz w:val="18"/>
                <w:lang w:eastAsia="es-CO"/>
              </w:rPr>
              <w:t>TOTAL</w:t>
            </w:r>
          </w:p>
        </w:tc>
        <w:tc>
          <w:tcPr>
            <w:tcW w:w="2427" w:type="dxa"/>
            <w:shd w:val="clear" w:color="auto" w:fill="BDD6EE" w:themeFill="accent1" w:themeFillTint="66"/>
            <w:vAlign w:val="center"/>
          </w:tcPr>
          <w:p w:rsidR="00FD14B5" w:rsidRPr="00FD14B5" w:rsidRDefault="00FD14B5" w:rsidP="00A73E59">
            <w:pPr>
              <w:spacing w:line="240" w:lineRule="auto"/>
              <w:jc w:val="both"/>
              <w:rPr>
                <w:rFonts w:ascii="Arial" w:eastAsia="Times New Roman" w:hAnsi="Arial" w:cs="Arial"/>
                <w:b/>
                <w:sz w:val="18"/>
                <w:lang w:eastAsia="es-CO"/>
              </w:rPr>
            </w:pPr>
            <w:r w:rsidRPr="00FD14B5">
              <w:rPr>
                <w:rFonts w:ascii="Arial" w:eastAsia="Times New Roman" w:hAnsi="Arial" w:cs="Arial"/>
                <w:b/>
                <w:sz w:val="18"/>
                <w:lang w:eastAsia="es-CO"/>
              </w:rPr>
              <w:t>$60.637.993.226</w:t>
            </w:r>
          </w:p>
        </w:tc>
      </w:tr>
    </w:tbl>
    <w:p w:rsidR="00FD14B5" w:rsidRPr="00FD14B5" w:rsidRDefault="00FD14B5" w:rsidP="00A73E59">
      <w:pPr>
        <w:pStyle w:val="Prrafodelista"/>
        <w:spacing w:line="240" w:lineRule="auto"/>
        <w:ind w:left="0"/>
        <w:jc w:val="both"/>
        <w:rPr>
          <w:rFonts w:ascii="Arial" w:hAnsi="Arial" w:cs="Arial"/>
        </w:rPr>
      </w:pPr>
    </w:p>
    <w:p w:rsidR="00FD14B5" w:rsidRPr="00FD14B5" w:rsidRDefault="00FD14B5" w:rsidP="00A73E59">
      <w:pPr>
        <w:pStyle w:val="Prrafodelista"/>
        <w:spacing w:line="240" w:lineRule="auto"/>
        <w:ind w:left="0"/>
        <w:jc w:val="both"/>
        <w:rPr>
          <w:rFonts w:ascii="Arial" w:hAnsi="Arial" w:cs="Arial"/>
        </w:rPr>
      </w:pPr>
      <w:r w:rsidRPr="00FD14B5">
        <w:rPr>
          <w:rFonts w:ascii="Arial" w:hAnsi="Arial" w:cs="Arial"/>
        </w:rPr>
        <w:t>De otra parte, la Entidad cuenta con los siguientes bienes inmuebles no fiscales que se encuentran en uso por el IDU:</w:t>
      </w:r>
    </w:p>
    <w:p w:rsidR="00FD14B5" w:rsidRPr="00FD14B5" w:rsidRDefault="00FD14B5" w:rsidP="00A73E59">
      <w:pPr>
        <w:pStyle w:val="Prrafodelista"/>
        <w:spacing w:line="240" w:lineRule="auto"/>
        <w:ind w:left="0"/>
        <w:jc w:val="both"/>
        <w:rPr>
          <w:rFonts w:ascii="Arial" w:hAnsi="Arial" w:cs="Arial"/>
        </w:rPr>
      </w:pPr>
    </w:p>
    <w:p w:rsidR="00FD14B5" w:rsidRPr="00FD14B5" w:rsidRDefault="00FD14B5" w:rsidP="002B2F2E">
      <w:pPr>
        <w:pStyle w:val="Descripcin"/>
        <w:spacing w:after="0" w:line="276" w:lineRule="auto"/>
        <w:ind w:firstLine="708"/>
        <w:rPr>
          <w:rFonts w:ascii="Arial" w:hAnsi="Arial" w:cs="Arial"/>
          <w:color w:val="auto"/>
        </w:rPr>
      </w:pPr>
      <w:bookmarkStart w:id="202" w:name="_Toc27665414"/>
      <w:r w:rsidRPr="00FD14B5">
        <w:rPr>
          <w:rFonts w:ascii="Arial" w:hAnsi="Arial" w:cs="Arial"/>
          <w:color w:val="auto"/>
        </w:rPr>
        <w:t>Valor del inventario de bienes inmuebles no fiscales</w:t>
      </w:r>
      <w:bookmarkEnd w:id="202"/>
    </w:p>
    <w:tbl>
      <w:tblPr>
        <w:tblStyle w:val="Tablaconcuadrcula"/>
        <w:tblW w:w="0" w:type="auto"/>
        <w:tblInd w:w="534" w:type="dxa"/>
        <w:tblLook w:val="04A0" w:firstRow="1" w:lastRow="0" w:firstColumn="1" w:lastColumn="0" w:noHBand="0" w:noVBand="1"/>
      </w:tblPr>
      <w:tblGrid>
        <w:gridCol w:w="6265"/>
        <w:gridCol w:w="2029"/>
      </w:tblGrid>
      <w:tr w:rsidR="00FD14B5" w:rsidRPr="00FD14B5" w:rsidTr="00B85448">
        <w:trPr>
          <w:tblHeader/>
        </w:trPr>
        <w:tc>
          <w:tcPr>
            <w:tcW w:w="6265" w:type="dxa"/>
            <w:shd w:val="clear" w:color="auto" w:fill="BDD6EE" w:themeFill="accent1" w:themeFillTint="66"/>
            <w:vAlign w:val="center"/>
          </w:tcPr>
          <w:p w:rsidR="00FD14B5" w:rsidRPr="00FD14B5" w:rsidRDefault="00FD14B5" w:rsidP="00A73E59">
            <w:pPr>
              <w:autoSpaceDE w:val="0"/>
              <w:autoSpaceDN w:val="0"/>
              <w:adjustRightInd w:val="0"/>
              <w:jc w:val="both"/>
              <w:rPr>
                <w:rFonts w:ascii="Arial" w:hAnsi="Arial" w:cs="Arial"/>
                <w:b/>
                <w:sz w:val="18"/>
              </w:rPr>
            </w:pPr>
            <w:r w:rsidRPr="00FD14B5">
              <w:rPr>
                <w:rFonts w:ascii="Arial" w:hAnsi="Arial" w:cs="Arial"/>
                <w:b/>
                <w:sz w:val="18"/>
              </w:rPr>
              <w:t>Ubicación</w:t>
            </w:r>
          </w:p>
        </w:tc>
        <w:tc>
          <w:tcPr>
            <w:tcW w:w="2029" w:type="dxa"/>
            <w:shd w:val="clear" w:color="auto" w:fill="BDD6EE" w:themeFill="accent1" w:themeFillTint="66"/>
            <w:vAlign w:val="center"/>
          </w:tcPr>
          <w:p w:rsidR="00FD14B5" w:rsidRPr="00FD14B5" w:rsidRDefault="00FD14B5" w:rsidP="00A73E59">
            <w:pPr>
              <w:autoSpaceDE w:val="0"/>
              <w:autoSpaceDN w:val="0"/>
              <w:adjustRightInd w:val="0"/>
              <w:jc w:val="both"/>
              <w:rPr>
                <w:rFonts w:ascii="Arial" w:hAnsi="Arial" w:cs="Arial"/>
                <w:b/>
                <w:sz w:val="18"/>
              </w:rPr>
            </w:pPr>
            <w:r w:rsidRPr="00FD14B5">
              <w:rPr>
                <w:rFonts w:ascii="Arial" w:hAnsi="Arial" w:cs="Arial"/>
                <w:b/>
                <w:sz w:val="18"/>
              </w:rPr>
              <w:t>Valor</w:t>
            </w:r>
          </w:p>
        </w:tc>
      </w:tr>
      <w:tr w:rsidR="00FD14B5" w:rsidRPr="00FD14B5" w:rsidTr="00B85448">
        <w:trPr>
          <w:trHeight w:val="457"/>
          <w:tblHeader/>
        </w:trPr>
        <w:tc>
          <w:tcPr>
            <w:tcW w:w="6265" w:type="dxa"/>
          </w:tcPr>
          <w:p w:rsidR="00FD14B5" w:rsidRPr="00FD14B5" w:rsidRDefault="00FD14B5" w:rsidP="00A73E59">
            <w:pPr>
              <w:autoSpaceDE w:val="0"/>
              <w:autoSpaceDN w:val="0"/>
              <w:adjustRightInd w:val="0"/>
              <w:jc w:val="both"/>
              <w:rPr>
                <w:rFonts w:ascii="Arial" w:hAnsi="Arial" w:cs="Arial"/>
                <w:sz w:val="18"/>
              </w:rPr>
            </w:pPr>
            <w:r w:rsidRPr="00FD14B5">
              <w:rPr>
                <w:rFonts w:ascii="Arial" w:hAnsi="Arial" w:cs="Arial"/>
                <w:sz w:val="18"/>
              </w:rPr>
              <w:t>Av. carrera 30 No.69-25 (predio utilizado para parquear vehículos de propiedad del IDU)</w:t>
            </w:r>
          </w:p>
        </w:tc>
        <w:tc>
          <w:tcPr>
            <w:tcW w:w="2029" w:type="dxa"/>
          </w:tcPr>
          <w:p w:rsidR="00FD14B5" w:rsidRPr="00FD14B5" w:rsidRDefault="00FD14B5" w:rsidP="00A73E59">
            <w:pPr>
              <w:autoSpaceDE w:val="0"/>
              <w:autoSpaceDN w:val="0"/>
              <w:adjustRightInd w:val="0"/>
              <w:jc w:val="both"/>
              <w:rPr>
                <w:rFonts w:ascii="Arial" w:hAnsi="Arial" w:cs="Arial"/>
                <w:sz w:val="18"/>
              </w:rPr>
            </w:pPr>
            <w:r w:rsidRPr="00FD14B5">
              <w:rPr>
                <w:rFonts w:ascii="Arial" w:hAnsi="Arial" w:cs="Arial"/>
                <w:sz w:val="18"/>
              </w:rPr>
              <w:t>$2.032.492.146</w:t>
            </w:r>
          </w:p>
        </w:tc>
      </w:tr>
      <w:tr w:rsidR="00FD14B5" w:rsidRPr="00FD14B5" w:rsidTr="00B85448">
        <w:trPr>
          <w:tblHeader/>
        </w:trPr>
        <w:tc>
          <w:tcPr>
            <w:tcW w:w="6265" w:type="dxa"/>
          </w:tcPr>
          <w:p w:rsidR="00FD14B5" w:rsidRPr="00FD14B5" w:rsidRDefault="00FD14B5" w:rsidP="00A73E59">
            <w:pPr>
              <w:autoSpaceDE w:val="0"/>
              <w:autoSpaceDN w:val="0"/>
              <w:adjustRightInd w:val="0"/>
              <w:jc w:val="both"/>
              <w:rPr>
                <w:rFonts w:ascii="Arial" w:hAnsi="Arial" w:cs="Arial"/>
                <w:sz w:val="18"/>
              </w:rPr>
            </w:pPr>
            <w:r w:rsidRPr="00FD14B5">
              <w:rPr>
                <w:rFonts w:ascii="Arial" w:hAnsi="Arial" w:cs="Arial"/>
                <w:sz w:val="18"/>
              </w:rPr>
              <w:t>Carrera 96 No.25G-27 (predio utilizado como bodega de almacén)</w:t>
            </w:r>
          </w:p>
        </w:tc>
        <w:tc>
          <w:tcPr>
            <w:tcW w:w="2029" w:type="dxa"/>
          </w:tcPr>
          <w:p w:rsidR="00FD14B5" w:rsidRPr="00FD14B5" w:rsidRDefault="00FD14B5" w:rsidP="00A73E59">
            <w:pPr>
              <w:autoSpaceDE w:val="0"/>
              <w:autoSpaceDN w:val="0"/>
              <w:adjustRightInd w:val="0"/>
              <w:jc w:val="both"/>
              <w:rPr>
                <w:rFonts w:ascii="Arial" w:hAnsi="Arial" w:cs="Arial"/>
                <w:sz w:val="18"/>
              </w:rPr>
            </w:pPr>
            <w:r w:rsidRPr="00FD14B5">
              <w:rPr>
                <w:rFonts w:ascii="Arial" w:hAnsi="Arial" w:cs="Arial"/>
                <w:sz w:val="18"/>
              </w:rPr>
              <w:t>$848.668.100</w:t>
            </w:r>
          </w:p>
        </w:tc>
      </w:tr>
      <w:tr w:rsidR="00FD14B5" w:rsidRPr="00FD14B5" w:rsidTr="00B85448">
        <w:trPr>
          <w:tblHeader/>
        </w:trPr>
        <w:tc>
          <w:tcPr>
            <w:tcW w:w="6265" w:type="dxa"/>
          </w:tcPr>
          <w:p w:rsidR="00FD14B5" w:rsidRPr="00FD14B5" w:rsidRDefault="00FD14B5" w:rsidP="00A73E59">
            <w:pPr>
              <w:autoSpaceDE w:val="0"/>
              <w:autoSpaceDN w:val="0"/>
              <w:adjustRightInd w:val="0"/>
              <w:jc w:val="both"/>
              <w:rPr>
                <w:rFonts w:ascii="Arial" w:hAnsi="Arial" w:cs="Arial"/>
                <w:sz w:val="18"/>
              </w:rPr>
            </w:pPr>
            <w:r w:rsidRPr="00FD14B5">
              <w:rPr>
                <w:rFonts w:ascii="Arial" w:hAnsi="Arial" w:cs="Arial"/>
                <w:sz w:val="18"/>
              </w:rPr>
              <w:t>Carrera 96 Calle 75 (predio utilizado como patio de fresado)</w:t>
            </w:r>
          </w:p>
        </w:tc>
        <w:tc>
          <w:tcPr>
            <w:tcW w:w="2029" w:type="dxa"/>
          </w:tcPr>
          <w:p w:rsidR="00FD14B5" w:rsidRPr="00FD14B5" w:rsidRDefault="00FD14B5" w:rsidP="00A73E59">
            <w:pPr>
              <w:autoSpaceDE w:val="0"/>
              <w:autoSpaceDN w:val="0"/>
              <w:adjustRightInd w:val="0"/>
              <w:jc w:val="both"/>
              <w:rPr>
                <w:rFonts w:ascii="Arial" w:hAnsi="Arial" w:cs="Arial"/>
                <w:sz w:val="18"/>
              </w:rPr>
            </w:pPr>
            <w:r w:rsidRPr="00FD14B5">
              <w:rPr>
                <w:rFonts w:ascii="Arial" w:hAnsi="Arial" w:cs="Arial"/>
                <w:sz w:val="18"/>
              </w:rPr>
              <w:t>$4.307.904.000</w:t>
            </w:r>
          </w:p>
        </w:tc>
      </w:tr>
    </w:tbl>
    <w:p w:rsidR="00FD14B5" w:rsidRPr="00FD14B5" w:rsidRDefault="00FD14B5" w:rsidP="00A73E59">
      <w:pPr>
        <w:pStyle w:val="Prrafodelista"/>
        <w:spacing w:line="240" w:lineRule="auto"/>
        <w:ind w:left="0"/>
        <w:jc w:val="both"/>
        <w:rPr>
          <w:rFonts w:ascii="Arial" w:hAnsi="Arial" w:cs="Arial"/>
        </w:rPr>
      </w:pPr>
    </w:p>
    <w:p w:rsidR="00FD14B5" w:rsidRPr="00FD14B5" w:rsidRDefault="00FD14B5" w:rsidP="00A73E59">
      <w:pPr>
        <w:pStyle w:val="Prrafodelista"/>
        <w:spacing w:line="276" w:lineRule="auto"/>
        <w:ind w:left="0"/>
        <w:jc w:val="both"/>
        <w:rPr>
          <w:rFonts w:ascii="Arial" w:hAnsi="Arial" w:cs="Arial"/>
        </w:rPr>
      </w:pPr>
      <w:r w:rsidRPr="00FD14B5">
        <w:rPr>
          <w:rFonts w:ascii="Arial" w:hAnsi="Arial" w:cs="Arial"/>
        </w:rPr>
        <w:t xml:space="preserve">Ahora bien, el manejo contable y administrativo atiende los lineamientos establecidos por la Contaduría General de la Nación y del Distrito, consignados en el Manual Administración de Bienes Muebles e Inmuebles del IDU, actualizado el pasado 29 de </w:t>
      </w:r>
      <w:r w:rsidR="007C1B71">
        <w:rPr>
          <w:rFonts w:ascii="Arial" w:hAnsi="Arial" w:cs="Arial"/>
        </w:rPr>
        <w:t>DICIEMBRE</w:t>
      </w:r>
      <w:r w:rsidRPr="00FD14B5">
        <w:rPr>
          <w:rFonts w:ascii="Arial" w:hAnsi="Arial" w:cs="Arial"/>
        </w:rPr>
        <w:t xml:space="preserve"> de 2019. </w:t>
      </w:r>
    </w:p>
    <w:p w:rsidR="00FD14B5" w:rsidRPr="00FD14B5" w:rsidRDefault="00FD14B5" w:rsidP="00A73E59">
      <w:pPr>
        <w:pStyle w:val="Prrafodelista"/>
        <w:spacing w:line="276" w:lineRule="auto"/>
        <w:ind w:left="0"/>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Así mismo, a partir de enero de 2018, mediante la Resolución 6418 de 2017 se adoptó el Manual de Políticas Contables del Instituto de Desarrollo Urbano –IDU- implementado las normas de contabilidad, de información financiera y de aseguramiento de la información hacia estándares internacionale</w:t>
      </w:r>
      <w:r w:rsidR="002B2F2E">
        <w:rPr>
          <w:rFonts w:ascii="Arial" w:hAnsi="Arial" w:cs="Arial"/>
        </w:rPr>
        <w:t>s de aceptación mundial (NIIF).</w:t>
      </w:r>
    </w:p>
    <w:p w:rsidR="00FD14B5" w:rsidRPr="00FD14B5" w:rsidRDefault="00FD14B5" w:rsidP="00A73E59">
      <w:pPr>
        <w:pStyle w:val="Prrafodelista"/>
        <w:spacing w:line="276" w:lineRule="auto"/>
        <w:ind w:left="0"/>
        <w:jc w:val="both"/>
        <w:rPr>
          <w:rFonts w:ascii="Arial" w:hAnsi="Arial" w:cs="Arial"/>
        </w:rPr>
      </w:pPr>
      <w:r w:rsidRPr="00FD14B5">
        <w:rPr>
          <w:rFonts w:ascii="Arial" w:hAnsi="Arial" w:cs="Arial"/>
        </w:rPr>
        <w:t xml:space="preserve">De otra parte, en relación con el tema de Inventarios, la Subdirección Técnica de Recursos Físicos, realizó proceso de depuración de bienes en el año 2017, analizando los cerca de 3.574 bienes en depósito, seleccionando aquellos inservibles y en desuso. </w:t>
      </w:r>
    </w:p>
    <w:p w:rsidR="00FD14B5" w:rsidRPr="00FD14B5" w:rsidRDefault="00FD14B5" w:rsidP="00A73E59">
      <w:pPr>
        <w:pStyle w:val="Prrafodelista"/>
        <w:spacing w:line="276" w:lineRule="auto"/>
        <w:ind w:left="0"/>
        <w:jc w:val="both"/>
        <w:rPr>
          <w:rFonts w:ascii="Arial" w:hAnsi="Arial" w:cs="Arial"/>
        </w:rPr>
      </w:pPr>
    </w:p>
    <w:p w:rsidR="00FD14B5" w:rsidRPr="00FD14B5" w:rsidRDefault="00FD14B5" w:rsidP="00A73E59">
      <w:pPr>
        <w:pStyle w:val="Prrafodelista"/>
        <w:spacing w:line="276" w:lineRule="auto"/>
        <w:ind w:left="0"/>
        <w:jc w:val="both"/>
        <w:rPr>
          <w:rFonts w:ascii="Arial" w:hAnsi="Arial" w:cs="Arial"/>
        </w:rPr>
      </w:pPr>
      <w:r w:rsidRPr="00FD14B5">
        <w:rPr>
          <w:rFonts w:ascii="Arial" w:hAnsi="Arial" w:cs="Arial"/>
        </w:rPr>
        <w:t>Para adelantar la depuración, se siguieron los procedimientos señalados en el Manual, se obtuvieron los conceptos técnicos correspondientes y se logró llevar al Comité de Inventarios la consideración de baja para 1.653 bienes, lo que significó la depuración del 46.25 % de bienes en depósito. Una vez estudiado por el Comité de Inventarios, la baja y destino final de los bienes, en mayo y julio del 2017, se expidió la Resolución 4470 de 2017.</w:t>
      </w:r>
    </w:p>
    <w:p w:rsidR="00FD14B5" w:rsidRPr="00FD14B5" w:rsidRDefault="00FD14B5" w:rsidP="00A73E59">
      <w:pPr>
        <w:pStyle w:val="Prrafodelista"/>
        <w:spacing w:line="276" w:lineRule="auto"/>
        <w:ind w:left="0"/>
        <w:jc w:val="both"/>
        <w:rPr>
          <w:rFonts w:ascii="Arial" w:hAnsi="Arial" w:cs="Arial"/>
        </w:rPr>
      </w:pPr>
    </w:p>
    <w:p w:rsidR="00FD14B5" w:rsidRPr="00FD14B5" w:rsidRDefault="00FD14B5" w:rsidP="00A73E59">
      <w:pPr>
        <w:pStyle w:val="Prrafodelista"/>
        <w:spacing w:line="276" w:lineRule="auto"/>
        <w:ind w:left="0"/>
        <w:jc w:val="both"/>
        <w:rPr>
          <w:rFonts w:ascii="Arial" w:hAnsi="Arial" w:cs="Arial"/>
        </w:rPr>
      </w:pPr>
      <w:r w:rsidRPr="00FD14B5">
        <w:rPr>
          <w:rFonts w:ascii="Arial" w:hAnsi="Arial" w:cs="Arial"/>
        </w:rPr>
        <w:t>Comoquiera que el destino final de los bienes en desuso o inservibles, objeto de baja, era la subasta o venta, se celebró un contrato de intermediación con la empresa Comercializadora Nave, a través de un proceso de selección, para efectos de subastar los bienes dados de baja, entre los que se encontraba un lote de 17 vehículos, a raíz de la renovación parcial del parque automotor de la Entidad. Para aquellos bienes en desuso en bodega, producto de renovación tecnológica, pero considerados servibles, se ofrecieron en enajenación a título gratuito a otras entidades del Estado, entre ellos equipos de cómputo, impresoras y periféricos.</w:t>
      </w:r>
    </w:p>
    <w:p w:rsidR="00FD14B5" w:rsidRPr="00FD14B5" w:rsidRDefault="00FD14B5" w:rsidP="00A73E59">
      <w:pPr>
        <w:pStyle w:val="Prrafodelista"/>
        <w:spacing w:line="276" w:lineRule="auto"/>
        <w:jc w:val="both"/>
        <w:rPr>
          <w:rFonts w:ascii="Arial" w:hAnsi="Arial" w:cs="Arial"/>
        </w:rPr>
      </w:pPr>
    </w:p>
    <w:p w:rsidR="00FD14B5" w:rsidRPr="00FD14B5" w:rsidRDefault="00FD14B5" w:rsidP="00A73E59">
      <w:pPr>
        <w:pStyle w:val="Prrafodelista"/>
        <w:spacing w:line="276" w:lineRule="auto"/>
        <w:ind w:left="0"/>
        <w:jc w:val="both"/>
        <w:rPr>
          <w:rFonts w:ascii="Arial" w:hAnsi="Arial" w:cs="Arial"/>
        </w:rPr>
      </w:pPr>
      <w:r w:rsidRPr="00FD14B5">
        <w:rPr>
          <w:rFonts w:ascii="Arial" w:hAnsi="Arial" w:cs="Arial"/>
        </w:rPr>
        <w:lastRenderedPageBreak/>
        <w:t xml:space="preserve">Ahora bien, en el primer semestre de 2018, se adelantó, igualmente, un proceso de depuración de otros 2.028 activos fijos que se encontraban en depósito, se expidieron los conceptos técnicos correspondientes y se citó a Comité de Control Financiero, Contable y de Inventarios para exponer la recomendación de baja, en sesión del 28 de septiembre de 2018. </w:t>
      </w:r>
    </w:p>
    <w:p w:rsidR="00FD14B5" w:rsidRPr="00FD14B5" w:rsidRDefault="00FD14B5" w:rsidP="00A73E59">
      <w:pPr>
        <w:pStyle w:val="Prrafodelista"/>
        <w:spacing w:line="276" w:lineRule="auto"/>
        <w:ind w:left="0"/>
        <w:jc w:val="both"/>
        <w:rPr>
          <w:rFonts w:ascii="Arial" w:hAnsi="Arial" w:cs="Arial"/>
        </w:rPr>
      </w:pPr>
    </w:p>
    <w:p w:rsidR="00FD14B5" w:rsidRPr="00FD14B5" w:rsidRDefault="00FD14B5" w:rsidP="00A73E59">
      <w:pPr>
        <w:pStyle w:val="Prrafodelista"/>
        <w:spacing w:line="276" w:lineRule="auto"/>
        <w:ind w:left="0"/>
        <w:jc w:val="both"/>
        <w:rPr>
          <w:rFonts w:ascii="Arial" w:hAnsi="Arial" w:cs="Arial"/>
        </w:rPr>
      </w:pPr>
      <w:r w:rsidRPr="00FD14B5">
        <w:rPr>
          <w:rFonts w:ascii="Arial" w:hAnsi="Arial" w:cs="Arial"/>
        </w:rPr>
        <w:t xml:space="preserve">Surtido el debido trámite y ante la autorización de baja y destino final, a corte del presente informe se encuentra pendiente la expedición del acto administrativo correspondiente para firma de la Dirección General. No obstante, se puede hablar ya de una depuración de más del 80% de los bienes que se encontraban en depósito sin uso, por haber sido reemplazados, por estar dañados o deteriorados por el uso normal, o por no ser necesarios para el funcionamiento de la Entidad. </w:t>
      </w:r>
    </w:p>
    <w:p w:rsidR="00FD14B5" w:rsidRPr="00FD14B5" w:rsidRDefault="00FD14B5" w:rsidP="00A73E59">
      <w:pPr>
        <w:pStyle w:val="Prrafodelista"/>
        <w:spacing w:line="276" w:lineRule="auto"/>
        <w:ind w:left="0"/>
        <w:jc w:val="both"/>
        <w:rPr>
          <w:rFonts w:ascii="Arial" w:hAnsi="Arial" w:cs="Arial"/>
        </w:rPr>
      </w:pPr>
    </w:p>
    <w:p w:rsidR="00FD14B5" w:rsidRPr="00FD14B5" w:rsidRDefault="00FD14B5" w:rsidP="00A73E59">
      <w:pPr>
        <w:pStyle w:val="Prrafodelista"/>
        <w:spacing w:line="276" w:lineRule="auto"/>
        <w:ind w:left="0"/>
        <w:jc w:val="both"/>
        <w:rPr>
          <w:rFonts w:ascii="Arial" w:hAnsi="Arial" w:cs="Arial"/>
          <w:szCs w:val="24"/>
        </w:rPr>
      </w:pPr>
      <w:r w:rsidRPr="00FD14B5">
        <w:rPr>
          <w:rFonts w:ascii="Arial" w:hAnsi="Arial" w:cs="Arial"/>
        </w:rPr>
        <w:t>Otro aspecto importante de resaltar es que, por primera vez en el IDU, se realizó el proceso contractual necesario para contar con un intermediario que pudiera dar el destino final a los bienes innecesarios para el funcionamiento del IDU, permitiendo la depuración y cumplimiento de las normas vigentes en la materia. Así las cosas, en relación con el tema de Inventarios, la Subdirección Técnica de Recursos Físicos, ha venido realizando proceso de depuración de bienes anualmente, analizando los bienes en depósito, seleccionando aquellos inservibles y en desuso con el objeto de darlos de baja.</w:t>
      </w:r>
    </w:p>
    <w:p w:rsidR="00FD14B5" w:rsidRPr="00FD14B5" w:rsidRDefault="00FD14B5" w:rsidP="00A73E59">
      <w:pPr>
        <w:spacing w:line="240" w:lineRule="auto"/>
        <w:jc w:val="both"/>
        <w:rPr>
          <w:rFonts w:ascii="Arial" w:eastAsiaTheme="minorEastAsia" w:hAnsi="Arial" w:cs="Arial"/>
          <w:lang w:val="es-ES_tradnl" w:eastAsia="es-CO"/>
        </w:rPr>
      </w:pPr>
    </w:p>
    <w:p w:rsidR="00FD14B5" w:rsidRPr="00FD14B5" w:rsidRDefault="00FD14B5" w:rsidP="00A73E59">
      <w:pPr>
        <w:spacing w:line="240" w:lineRule="auto"/>
        <w:jc w:val="both"/>
        <w:rPr>
          <w:rFonts w:ascii="Arial" w:eastAsiaTheme="minorEastAsia" w:hAnsi="Arial" w:cs="Arial"/>
          <w:lang w:val="es-ES_tradnl" w:eastAsia="es-CO"/>
        </w:rPr>
      </w:pPr>
    </w:p>
    <w:p w:rsidR="00FD14B5" w:rsidRPr="002B2F2E" w:rsidRDefault="00FD14B5" w:rsidP="00D0183B">
      <w:pPr>
        <w:pStyle w:val="Ttulo3"/>
        <w:keepNext w:val="0"/>
        <w:keepLines w:val="0"/>
        <w:numPr>
          <w:ilvl w:val="1"/>
          <w:numId w:val="56"/>
        </w:numPr>
        <w:spacing w:before="0" w:line="276" w:lineRule="auto"/>
        <w:ind w:left="567" w:hanging="283"/>
        <w:jc w:val="both"/>
        <w:rPr>
          <w:rFonts w:ascii="Arial" w:hAnsi="Arial" w:cs="Arial"/>
          <w:b/>
          <w:color w:val="auto"/>
          <w:sz w:val="22"/>
          <w:szCs w:val="22"/>
          <w:lang w:val="es-ES"/>
        </w:rPr>
      </w:pPr>
      <w:r w:rsidRPr="002B2F2E">
        <w:rPr>
          <w:rFonts w:ascii="Arial" w:hAnsi="Arial" w:cs="Arial"/>
          <w:b/>
          <w:color w:val="auto"/>
          <w:sz w:val="22"/>
          <w:szCs w:val="22"/>
          <w:lang w:val="es-ES"/>
        </w:rPr>
        <w:t xml:space="preserve"> </w:t>
      </w:r>
      <w:bookmarkStart w:id="203" w:name="_Toc27665284"/>
      <w:bookmarkStart w:id="204" w:name="_Toc30774650"/>
      <w:r w:rsidRPr="002B2F2E">
        <w:rPr>
          <w:rFonts w:ascii="Arial" w:hAnsi="Arial" w:cs="Arial"/>
          <w:b/>
          <w:color w:val="auto"/>
          <w:sz w:val="22"/>
          <w:szCs w:val="22"/>
          <w:lang w:val="es-ES"/>
        </w:rPr>
        <w:t>MANTENIMIENTO DE INFRAESTRUCTURA FÍSICA</w:t>
      </w:r>
      <w:bookmarkEnd w:id="203"/>
      <w:bookmarkEnd w:id="204"/>
    </w:p>
    <w:p w:rsidR="00FD14B5" w:rsidRPr="00FD14B5" w:rsidRDefault="00FD14B5" w:rsidP="00A73E59">
      <w:pPr>
        <w:pStyle w:val="Prrafodelista"/>
        <w:spacing w:line="276" w:lineRule="auto"/>
        <w:jc w:val="both"/>
        <w:rPr>
          <w:rFonts w:ascii="Arial" w:hAnsi="Arial" w:cs="Arial"/>
        </w:rPr>
      </w:pPr>
    </w:p>
    <w:p w:rsidR="00FD14B5" w:rsidRPr="00FD14B5" w:rsidRDefault="00FD14B5" w:rsidP="00D0183B">
      <w:pPr>
        <w:pStyle w:val="Ttulo4"/>
        <w:keepNext w:val="0"/>
        <w:keepLines w:val="0"/>
        <w:numPr>
          <w:ilvl w:val="2"/>
          <w:numId w:val="56"/>
        </w:numPr>
        <w:spacing w:before="0" w:line="276" w:lineRule="auto"/>
        <w:jc w:val="both"/>
        <w:rPr>
          <w:rFonts w:ascii="Arial" w:hAnsi="Arial" w:cs="Arial"/>
          <w:b/>
          <w:color w:val="auto"/>
        </w:rPr>
      </w:pPr>
      <w:r w:rsidRPr="00FD14B5">
        <w:rPr>
          <w:rFonts w:ascii="Arial" w:hAnsi="Arial" w:cs="Arial"/>
          <w:b/>
          <w:color w:val="auto"/>
        </w:rPr>
        <w:t>Ascensores</w:t>
      </w:r>
    </w:p>
    <w:p w:rsidR="00FD14B5" w:rsidRPr="00FD14B5" w:rsidRDefault="00FD14B5" w:rsidP="00A73E59">
      <w:pPr>
        <w:spacing w:line="276" w:lineRule="auto"/>
        <w:jc w:val="both"/>
        <w:rPr>
          <w:rFonts w:ascii="Arial" w:hAnsi="Arial" w:cs="Arial"/>
          <w:b/>
        </w:rPr>
      </w:pPr>
    </w:p>
    <w:p w:rsidR="00FD14B5" w:rsidRPr="00FD14B5" w:rsidRDefault="00FD14B5" w:rsidP="00A73E59">
      <w:pPr>
        <w:spacing w:line="276" w:lineRule="auto"/>
        <w:jc w:val="both"/>
        <w:rPr>
          <w:rFonts w:ascii="Arial" w:hAnsi="Arial" w:cs="Arial"/>
        </w:rPr>
      </w:pPr>
      <w:r w:rsidRPr="00FD14B5">
        <w:rPr>
          <w:rFonts w:ascii="Arial" w:hAnsi="Arial" w:cs="Arial"/>
        </w:rPr>
        <w:t xml:space="preserve">Uno de los aspectos más complejos, en materia de infraestructura física, que se debió enfrentar durante la gestión fue el de los ascensores de la sede principal, como consecuencia de las continuas fallas técnicas, producto del grave incumplimiento, en la ejecución del contrato IDU-1333-2015, las cuales ocasionaron la salida de operación del único ascensor, en septiembre de 2016. </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Ante este hecho, se contemplaron varias alternativas para suplir la necesidad de transporte vertical de la Entidad, mientras se surtía el proceso de estructuración, selección y contratación para la adquisición de dos nuevos ascensores para la sede principal, hasta llegar a la alternativa de tomar en alquiler un ascensor con capacidad para 10 personas, contratando además su instalación y las obras civiles y eléctricas necesarias para su puesta en funcionamiento.</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lastRenderedPageBreak/>
        <w:t>El 13 de septiembre de 2017, se suscribió con el contratista MPL SAS, el acta de inicio del contrato IDU-1290-2017, cuyo objeto es el “</w:t>
      </w:r>
      <w:r w:rsidRPr="00FD14B5">
        <w:rPr>
          <w:rFonts w:ascii="Arial" w:hAnsi="Arial" w:cs="Arial"/>
          <w:i/>
        </w:rPr>
        <w:t>suministro e instalación de dos (2) ascensores eléctricos nuevos</w:t>
      </w:r>
      <w:r w:rsidRPr="00FD14B5">
        <w:rPr>
          <w:rFonts w:ascii="Arial" w:hAnsi="Arial" w:cs="Arial"/>
        </w:rPr>
        <w:t xml:space="preserve">”. Posteriormente, el 26 de febrero de 2018 y dando cumplimiento al cronograma de ejecución aprobado, se realizó la entrega del primer ascensor (occidental), junto con la respectiva certificación en la Norma NTC 5926-1, previa inspección técnica efectuada por el organismo avalado por la ONAC, OITEC SAS. </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La celebración y ejecución de este contrato, da cuenta de un avance importante en materia de infraestructura física del edificio, toda vez que los ascensores instalados cumplen con los estándares más recientes de seguridad en movilidad vertical y tienen dispositivos de última tecnología, que facilitan el acceso a personas con movilidad reducida o con algún tipo de discapacidad.</w:t>
      </w:r>
    </w:p>
    <w:p w:rsidR="00FD14B5" w:rsidRPr="00FD14B5" w:rsidRDefault="00FD14B5" w:rsidP="00A73E59">
      <w:pPr>
        <w:spacing w:line="276" w:lineRule="auto"/>
        <w:jc w:val="both"/>
        <w:rPr>
          <w:rFonts w:ascii="Arial" w:hAnsi="Arial" w:cs="Arial"/>
        </w:rPr>
      </w:pPr>
    </w:p>
    <w:p w:rsidR="00FD14B5" w:rsidRPr="0047565B" w:rsidRDefault="00FD14B5" w:rsidP="00D0183B">
      <w:pPr>
        <w:pStyle w:val="Ttulo4"/>
        <w:keepNext w:val="0"/>
        <w:keepLines w:val="0"/>
        <w:numPr>
          <w:ilvl w:val="2"/>
          <w:numId w:val="56"/>
        </w:numPr>
        <w:spacing w:before="0" w:line="276" w:lineRule="auto"/>
        <w:ind w:left="709"/>
        <w:jc w:val="both"/>
        <w:rPr>
          <w:rFonts w:ascii="Arial" w:hAnsi="Arial" w:cs="Arial"/>
          <w:b/>
          <w:i w:val="0"/>
          <w:color w:val="auto"/>
        </w:rPr>
      </w:pPr>
      <w:r w:rsidRPr="0047565B">
        <w:rPr>
          <w:rFonts w:ascii="Arial" w:hAnsi="Arial" w:cs="Arial"/>
          <w:b/>
          <w:i w:val="0"/>
          <w:color w:val="auto"/>
        </w:rPr>
        <w:t>Instalaciones eléctricas</w:t>
      </w:r>
    </w:p>
    <w:p w:rsidR="00FD14B5" w:rsidRPr="00FD14B5" w:rsidRDefault="00FD14B5" w:rsidP="00A73E59">
      <w:pPr>
        <w:spacing w:line="276" w:lineRule="auto"/>
        <w:ind w:left="567" w:hanging="567"/>
        <w:jc w:val="both"/>
        <w:rPr>
          <w:rFonts w:ascii="Arial" w:hAnsi="Arial" w:cs="Arial"/>
          <w:b/>
        </w:rPr>
      </w:pPr>
    </w:p>
    <w:p w:rsidR="00FD14B5" w:rsidRPr="00FD14B5" w:rsidRDefault="00FD14B5" w:rsidP="00A73E59">
      <w:pPr>
        <w:spacing w:line="276" w:lineRule="auto"/>
        <w:jc w:val="both"/>
        <w:rPr>
          <w:rFonts w:ascii="Arial" w:hAnsi="Arial" w:cs="Arial"/>
        </w:rPr>
      </w:pPr>
      <w:r w:rsidRPr="00FD14B5">
        <w:rPr>
          <w:rFonts w:ascii="Arial" w:hAnsi="Arial" w:cs="Arial"/>
        </w:rPr>
        <w:t xml:space="preserve">Otro aspecto importante a resaltar en materia de infraestructura física, es la mejora adelantada en las condiciones del sistema eléctrico de baja tensión en la sede IDU,  acciones adelantadas desde el 2016, cuando se contrató con CODENSA S.A. el levantamiento de información de la condición e instalación existente, la elaboración del diagrama unifilar con información técnica de los equipos, materiales, topologías, protecciones eléctricas, acometidas y parciales eléctricas y ductería necesaria para la modernización y actualización del sistema de baja tensión. </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 xml:space="preserve">Con la información obtenida, se estructuró el proceso de contratación N° IDU-LP-SGGC-015-2017, cuyo resultado fue la suscripción del contrato IDU-1549-2017, suscrito con el  Consorcio AG3-IDU-15 y cuyo objeto consistió en el suministro e instalación de los elementos necesarios para la actualización y normalización del sistema de distribución primario, incluyendo la redistribución de alimentadores eléctricos en baja tensión y la reubicación de los equipos correspondientes para la sede IDU ubicada en la calle 22 N° 6-27, con un plazo de ejecución de 4 meses y un valor de $ 740.089.422 pesos. </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 xml:space="preserve">Las actividades contratadas terminaron exitosamente el 21 de junio de 2018 y se consiguió un mejoramiento apreciable en la calidad de energía que abastece el edificio sede calle 22, pues al contar con un sistema de baja tensión nuevo, seguro y acorde al RETIE, RETILAP, NTC 2050, IEEE 241, se logró entre otros: </w:t>
      </w:r>
    </w:p>
    <w:p w:rsidR="00FD14B5" w:rsidRPr="00FD14B5" w:rsidRDefault="00FD14B5" w:rsidP="00A73E59">
      <w:pPr>
        <w:spacing w:line="276" w:lineRule="auto"/>
        <w:jc w:val="both"/>
        <w:rPr>
          <w:rFonts w:ascii="Arial" w:hAnsi="Arial" w:cs="Arial"/>
        </w:rPr>
      </w:pPr>
    </w:p>
    <w:p w:rsidR="00FD14B5" w:rsidRPr="00FD14B5" w:rsidRDefault="00FD14B5" w:rsidP="00D0183B">
      <w:pPr>
        <w:pStyle w:val="Prrafodelista"/>
        <w:numPr>
          <w:ilvl w:val="0"/>
          <w:numId w:val="39"/>
        </w:numPr>
        <w:spacing w:after="0" w:line="276" w:lineRule="auto"/>
        <w:ind w:left="567" w:hanging="283"/>
        <w:jc w:val="both"/>
        <w:rPr>
          <w:rFonts w:ascii="Arial" w:hAnsi="Arial" w:cs="Arial"/>
        </w:rPr>
      </w:pPr>
      <w:r w:rsidRPr="00FD14B5">
        <w:rPr>
          <w:rFonts w:ascii="Arial" w:hAnsi="Arial" w:cs="Arial"/>
        </w:rPr>
        <w:lastRenderedPageBreak/>
        <w:t xml:space="preserve">La unificación de todo el sistema eléctrico en un sitio acorde desde lo técnico y lo normativo. </w:t>
      </w:r>
    </w:p>
    <w:p w:rsidR="00FD14B5" w:rsidRPr="00FD14B5" w:rsidRDefault="00FD14B5" w:rsidP="00D0183B">
      <w:pPr>
        <w:pStyle w:val="Prrafodelista"/>
        <w:numPr>
          <w:ilvl w:val="0"/>
          <w:numId w:val="39"/>
        </w:numPr>
        <w:spacing w:after="0" w:line="276" w:lineRule="auto"/>
        <w:ind w:left="567" w:hanging="283"/>
        <w:jc w:val="both"/>
        <w:rPr>
          <w:rFonts w:ascii="Arial" w:hAnsi="Arial" w:cs="Arial"/>
        </w:rPr>
      </w:pPr>
      <w:r w:rsidRPr="00FD14B5">
        <w:rPr>
          <w:rFonts w:ascii="Arial" w:hAnsi="Arial" w:cs="Arial"/>
        </w:rPr>
        <w:t xml:space="preserve">Tableros de distribución nuevos de conformidad con los requerimientos técnicos y de seguridad establecidos en el RETIE y la NTC 2050 para: el centro de cómputo, UPS, red regulada, red normal, equipos (bombas, ascensores) y transferencia.  </w:t>
      </w:r>
    </w:p>
    <w:p w:rsidR="00FD14B5" w:rsidRPr="00FD14B5" w:rsidRDefault="00FD14B5" w:rsidP="00A73E59">
      <w:pPr>
        <w:pStyle w:val="Prrafodelista"/>
        <w:spacing w:line="276" w:lineRule="auto"/>
        <w:ind w:left="567" w:hanging="283"/>
        <w:jc w:val="both"/>
        <w:rPr>
          <w:rFonts w:ascii="Arial" w:hAnsi="Arial" w:cs="Arial"/>
        </w:rPr>
      </w:pPr>
    </w:p>
    <w:p w:rsidR="00FD14B5" w:rsidRPr="00FD14B5" w:rsidRDefault="00FD14B5" w:rsidP="00D0183B">
      <w:pPr>
        <w:pStyle w:val="Prrafodelista"/>
        <w:numPr>
          <w:ilvl w:val="0"/>
          <w:numId w:val="39"/>
        </w:numPr>
        <w:spacing w:after="0" w:line="276" w:lineRule="auto"/>
        <w:ind w:left="567" w:hanging="283"/>
        <w:jc w:val="both"/>
        <w:rPr>
          <w:rFonts w:ascii="Arial" w:hAnsi="Arial" w:cs="Arial"/>
        </w:rPr>
      </w:pPr>
      <w:r w:rsidRPr="00FD14B5">
        <w:rPr>
          <w:rFonts w:ascii="Arial" w:hAnsi="Arial" w:cs="Arial"/>
        </w:rPr>
        <w:t xml:space="preserve">La reducción del consumo de energía, toda vez que se consiguió eliminar la acometida de 260V y su respectivo transformador. </w:t>
      </w:r>
    </w:p>
    <w:p w:rsidR="00FD14B5" w:rsidRPr="00FD14B5" w:rsidRDefault="00FD14B5" w:rsidP="00A73E59">
      <w:pPr>
        <w:pStyle w:val="Prrafodelista"/>
        <w:spacing w:line="276" w:lineRule="auto"/>
        <w:ind w:left="567" w:hanging="283"/>
        <w:jc w:val="both"/>
        <w:rPr>
          <w:rFonts w:ascii="Arial" w:hAnsi="Arial" w:cs="Arial"/>
        </w:rPr>
      </w:pPr>
    </w:p>
    <w:p w:rsidR="00FD14B5" w:rsidRPr="00FD14B5" w:rsidRDefault="00FD14B5" w:rsidP="00D0183B">
      <w:pPr>
        <w:pStyle w:val="Prrafodelista"/>
        <w:numPr>
          <w:ilvl w:val="0"/>
          <w:numId w:val="39"/>
        </w:numPr>
        <w:spacing w:after="0" w:line="276" w:lineRule="auto"/>
        <w:ind w:left="567" w:hanging="283"/>
        <w:jc w:val="both"/>
        <w:rPr>
          <w:rFonts w:ascii="Arial" w:hAnsi="Arial" w:cs="Arial"/>
        </w:rPr>
      </w:pPr>
      <w:r w:rsidRPr="00FD14B5">
        <w:rPr>
          <w:rFonts w:ascii="Arial" w:hAnsi="Arial" w:cs="Arial"/>
        </w:rPr>
        <w:t>El cambio de cableados y acometidas totalmente obsoletas y con alto riesgo de incendio</w:t>
      </w:r>
    </w:p>
    <w:p w:rsidR="00FD14B5" w:rsidRPr="00FD14B5" w:rsidRDefault="00FD14B5" w:rsidP="00A73E59">
      <w:pPr>
        <w:pStyle w:val="Prrafodelista"/>
        <w:spacing w:line="276" w:lineRule="auto"/>
        <w:ind w:left="567" w:hanging="283"/>
        <w:jc w:val="both"/>
        <w:rPr>
          <w:rFonts w:ascii="Arial" w:hAnsi="Arial" w:cs="Arial"/>
        </w:rPr>
      </w:pPr>
    </w:p>
    <w:p w:rsidR="00FD14B5" w:rsidRPr="00FD14B5" w:rsidRDefault="00FD14B5" w:rsidP="00D0183B">
      <w:pPr>
        <w:pStyle w:val="Prrafodelista"/>
        <w:numPr>
          <w:ilvl w:val="0"/>
          <w:numId w:val="39"/>
        </w:numPr>
        <w:spacing w:after="0" w:line="276" w:lineRule="auto"/>
        <w:ind w:left="567" w:hanging="283"/>
        <w:jc w:val="both"/>
        <w:rPr>
          <w:rFonts w:ascii="Arial" w:hAnsi="Arial" w:cs="Arial"/>
        </w:rPr>
      </w:pPr>
      <w:r w:rsidRPr="00FD14B5">
        <w:rPr>
          <w:rFonts w:ascii="Arial" w:hAnsi="Arial" w:cs="Arial"/>
        </w:rPr>
        <w:t xml:space="preserve">Un sistema de monitoreo continuo en los tableros de distribución, que permite controlar y obtener información relacionada con la electricidad de la sede, monitoreo de gran utilidad para la STRF y la STRT. </w:t>
      </w:r>
    </w:p>
    <w:p w:rsidR="00FD14B5" w:rsidRPr="00FD14B5" w:rsidRDefault="00FD14B5" w:rsidP="00A73E59">
      <w:pPr>
        <w:pStyle w:val="Prrafodelista"/>
        <w:spacing w:line="276" w:lineRule="auto"/>
        <w:ind w:left="567" w:hanging="283"/>
        <w:jc w:val="both"/>
        <w:rPr>
          <w:rFonts w:ascii="Arial" w:hAnsi="Arial" w:cs="Arial"/>
        </w:rPr>
      </w:pPr>
    </w:p>
    <w:p w:rsidR="00FD14B5" w:rsidRPr="00FD14B5" w:rsidRDefault="00FD14B5" w:rsidP="00D0183B">
      <w:pPr>
        <w:pStyle w:val="Prrafodelista"/>
        <w:numPr>
          <w:ilvl w:val="0"/>
          <w:numId w:val="39"/>
        </w:numPr>
        <w:spacing w:after="0" w:line="276" w:lineRule="auto"/>
        <w:ind w:left="567" w:hanging="283"/>
        <w:jc w:val="both"/>
        <w:rPr>
          <w:rFonts w:ascii="Arial" w:hAnsi="Arial" w:cs="Arial"/>
        </w:rPr>
      </w:pPr>
      <w:r w:rsidRPr="00FD14B5">
        <w:rPr>
          <w:rFonts w:ascii="Arial" w:hAnsi="Arial" w:cs="Arial"/>
        </w:rPr>
        <w:t>La adaptación de un sistema de alimentación alterno (transferencia) para el centro de cómputo, lo cual facilita maniobras de mantenimiento en los servidores, lo que beneficia en gran medida las labores propias de la STRT.</w:t>
      </w:r>
    </w:p>
    <w:p w:rsidR="00FD14B5" w:rsidRPr="00FD14B5" w:rsidRDefault="00FD14B5" w:rsidP="00A73E59">
      <w:pPr>
        <w:pStyle w:val="Prrafodelista"/>
        <w:spacing w:line="276" w:lineRule="auto"/>
        <w:ind w:left="567" w:hanging="283"/>
        <w:jc w:val="both"/>
        <w:rPr>
          <w:rFonts w:ascii="Arial" w:hAnsi="Arial" w:cs="Arial"/>
        </w:rPr>
      </w:pPr>
    </w:p>
    <w:p w:rsidR="00FD14B5" w:rsidRPr="00FD14B5" w:rsidRDefault="00FD14B5" w:rsidP="00D0183B">
      <w:pPr>
        <w:pStyle w:val="Prrafodelista"/>
        <w:numPr>
          <w:ilvl w:val="0"/>
          <w:numId w:val="39"/>
        </w:numPr>
        <w:spacing w:after="0" w:line="276" w:lineRule="auto"/>
        <w:ind w:left="567" w:hanging="283"/>
        <w:jc w:val="both"/>
        <w:rPr>
          <w:rFonts w:ascii="Arial" w:hAnsi="Arial" w:cs="Arial"/>
        </w:rPr>
      </w:pPr>
      <w:r w:rsidRPr="00FD14B5">
        <w:rPr>
          <w:rFonts w:ascii="Arial" w:hAnsi="Arial" w:cs="Arial"/>
        </w:rPr>
        <w:t>Acometidas totalmente nuevas para las UPS; desde el tablero de distribución hasta el cuarto de UPS.</w:t>
      </w:r>
    </w:p>
    <w:p w:rsidR="00FD14B5" w:rsidRPr="00FD14B5" w:rsidRDefault="00FD14B5" w:rsidP="00A73E59">
      <w:pPr>
        <w:pStyle w:val="Prrafodelista"/>
        <w:spacing w:line="276" w:lineRule="auto"/>
        <w:ind w:left="567" w:hanging="283"/>
        <w:jc w:val="both"/>
        <w:rPr>
          <w:rFonts w:ascii="Arial" w:hAnsi="Arial" w:cs="Arial"/>
        </w:rPr>
      </w:pPr>
    </w:p>
    <w:p w:rsidR="00FD14B5" w:rsidRPr="00FD14B5" w:rsidRDefault="00FD14B5" w:rsidP="00D0183B">
      <w:pPr>
        <w:pStyle w:val="Prrafodelista"/>
        <w:numPr>
          <w:ilvl w:val="0"/>
          <w:numId w:val="39"/>
        </w:numPr>
        <w:spacing w:after="0" w:line="276" w:lineRule="auto"/>
        <w:ind w:left="567" w:hanging="283"/>
        <w:jc w:val="both"/>
        <w:rPr>
          <w:rFonts w:ascii="Arial" w:hAnsi="Arial" w:cs="Arial"/>
        </w:rPr>
      </w:pPr>
      <w:r w:rsidRPr="00FD14B5">
        <w:rPr>
          <w:rFonts w:ascii="Arial" w:hAnsi="Arial" w:cs="Arial"/>
        </w:rPr>
        <w:t xml:space="preserve">Capacitación para STRF y STRT en el manejo y mantenimiento del sistema instalado. </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 xml:space="preserve">Finalmente, se verificaron que las instalaciones cumplen con todos y cada uno de los requisitos establecidos en el Reglamento Técnico de Instalaciones Eléctricas RETIE, incluyendo los de producto, que se confirmaron a través de los certificados de conformidad requeridos. </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 xml:space="preserve">Este contrato, IDU-1549-2017, es el primer paso para la optimización general del sistema eléctrico del edificio sede calle 22, y comoquiera que una actualización y normalización para esta edificación es un proyecto integral, que abarca varios aspectos, se recomienda en vigencias siguientes continuar estructurando procesos de contratación con el fin de alcanzar: a) la modernización y normativización  de las acometidas o parciales verticales para todos los pisos tanto en red regulada como red normal, b) el sistema de apantallamiento y protección contra descargas atmosféricas, c) la instalación del sistema de puesta a tierra, d) la automatización de transferencias manuales, e) el acondicionamiento de cableados y tuberías en el cuarto de UPS y f) la instalación de equipos de ventilación para el cuarto de la planta eléctrica. </w:t>
      </w:r>
    </w:p>
    <w:p w:rsidR="00FD14B5" w:rsidRPr="00FD14B5" w:rsidRDefault="00FD14B5" w:rsidP="00A73E59">
      <w:pPr>
        <w:spacing w:line="276" w:lineRule="auto"/>
        <w:jc w:val="both"/>
        <w:rPr>
          <w:rFonts w:ascii="Arial" w:hAnsi="Arial" w:cs="Arial"/>
        </w:rPr>
      </w:pPr>
    </w:p>
    <w:p w:rsidR="00FD14B5" w:rsidRPr="0047565B" w:rsidRDefault="00FD14B5" w:rsidP="00D0183B">
      <w:pPr>
        <w:pStyle w:val="Ttulo4"/>
        <w:keepNext w:val="0"/>
        <w:keepLines w:val="0"/>
        <w:numPr>
          <w:ilvl w:val="2"/>
          <w:numId w:val="56"/>
        </w:numPr>
        <w:spacing w:before="0" w:line="276" w:lineRule="auto"/>
        <w:ind w:left="709"/>
        <w:jc w:val="both"/>
        <w:rPr>
          <w:rFonts w:ascii="Arial" w:hAnsi="Arial" w:cs="Arial"/>
          <w:b/>
          <w:i w:val="0"/>
          <w:color w:val="auto"/>
        </w:rPr>
      </w:pPr>
      <w:r w:rsidRPr="0047565B">
        <w:rPr>
          <w:rFonts w:ascii="Arial" w:hAnsi="Arial" w:cs="Arial"/>
          <w:b/>
          <w:i w:val="0"/>
          <w:color w:val="auto"/>
        </w:rPr>
        <w:t>Estudio de vulnerabilidad sísmica</w:t>
      </w:r>
    </w:p>
    <w:p w:rsidR="00FD14B5" w:rsidRPr="00FD14B5" w:rsidRDefault="00FD14B5" w:rsidP="00A73E59">
      <w:pPr>
        <w:spacing w:line="276" w:lineRule="auto"/>
        <w:jc w:val="both"/>
        <w:rPr>
          <w:rFonts w:ascii="Arial" w:hAnsi="Arial" w:cs="Arial"/>
          <w:b/>
        </w:rPr>
      </w:pPr>
    </w:p>
    <w:p w:rsidR="00FD14B5" w:rsidRPr="00FD14B5" w:rsidRDefault="00FD14B5" w:rsidP="00A73E59">
      <w:pPr>
        <w:spacing w:line="276" w:lineRule="auto"/>
        <w:jc w:val="both"/>
        <w:rPr>
          <w:rFonts w:ascii="Arial" w:hAnsi="Arial" w:cs="Arial"/>
        </w:rPr>
      </w:pPr>
      <w:r w:rsidRPr="00FD14B5">
        <w:rPr>
          <w:rFonts w:ascii="Arial" w:hAnsi="Arial" w:cs="Arial"/>
        </w:rPr>
        <w:t>El 9 de febrero de 2017, se inició el contrato IDU-1133-2016, cuyo objeto fue</w:t>
      </w:r>
      <w:r w:rsidRPr="00FD14B5">
        <w:rPr>
          <w:rFonts w:ascii="Arial" w:hAnsi="Arial" w:cs="Arial"/>
          <w:i/>
        </w:rPr>
        <w:t xml:space="preserve"> “realizar los estudios de patología, vulnerabilidad sísmica y reforzamiento estructural en el edificio sede principal del Idu, ubicado en la calle 22n° 6-27, según se describe en el pliego de condiciones, anexos y capítulos técnicos, en especial el anexo técnico separable y de acuerdo con las etapas previstas en el mismo”</w:t>
      </w:r>
      <w:r w:rsidRPr="00FD14B5">
        <w:rPr>
          <w:rFonts w:ascii="Arial" w:hAnsi="Arial" w:cs="Arial"/>
        </w:rPr>
        <w:t>, que dentro del plazo de ejecución previsto llegó a las siguientes conclusiones, de acuerdo con lo estipulado en la NSR-10:</w:t>
      </w:r>
    </w:p>
    <w:p w:rsidR="00FD14B5" w:rsidRPr="00FD14B5" w:rsidRDefault="00FD14B5" w:rsidP="00A73E59">
      <w:pPr>
        <w:spacing w:line="276" w:lineRule="auto"/>
        <w:jc w:val="both"/>
        <w:rPr>
          <w:rFonts w:ascii="Arial" w:hAnsi="Arial" w:cs="Arial"/>
        </w:rPr>
      </w:pPr>
    </w:p>
    <w:p w:rsidR="00FD14B5" w:rsidRPr="00FD14B5" w:rsidRDefault="00FD14B5" w:rsidP="00D0183B">
      <w:pPr>
        <w:pStyle w:val="Prrafodelista"/>
        <w:numPr>
          <w:ilvl w:val="0"/>
          <w:numId w:val="40"/>
        </w:numPr>
        <w:spacing w:after="0" w:line="276" w:lineRule="auto"/>
        <w:ind w:left="567" w:hanging="283"/>
        <w:jc w:val="both"/>
        <w:rPr>
          <w:rFonts w:ascii="Arial" w:hAnsi="Arial" w:cs="Arial"/>
        </w:rPr>
      </w:pPr>
      <w:r w:rsidRPr="00FD14B5">
        <w:rPr>
          <w:rFonts w:ascii="Arial" w:hAnsi="Arial" w:cs="Arial"/>
        </w:rPr>
        <w:t>En el estudio de núcleos y patología del concreto, se encontraron mayores resistencias que las especificadas (buen estado del concreto), no obstante, carece de un módulo de elasticidad apropiado.</w:t>
      </w:r>
    </w:p>
    <w:p w:rsidR="00FD14B5" w:rsidRPr="00FD14B5" w:rsidRDefault="00FD14B5" w:rsidP="00A73E59">
      <w:pPr>
        <w:pStyle w:val="Prrafodelista"/>
        <w:spacing w:line="276" w:lineRule="auto"/>
        <w:ind w:left="567" w:hanging="283"/>
        <w:jc w:val="both"/>
        <w:rPr>
          <w:rFonts w:ascii="Arial" w:hAnsi="Arial" w:cs="Arial"/>
        </w:rPr>
      </w:pPr>
    </w:p>
    <w:p w:rsidR="00FD14B5" w:rsidRPr="00FD14B5" w:rsidRDefault="00FD14B5" w:rsidP="00D0183B">
      <w:pPr>
        <w:pStyle w:val="Prrafodelista"/>
        <w:numPr>
          <w:ilvl w:val="0"/>
          <w:numId w:val="40"/>
        </w:numPr>
        <w:spacing w:after="0" w:line="276" w:lineRule="auto"/>
        <w:ind w:left="567" w:hanging="283"/>
        <w:jc w:val="both"/>
        <w:rPr>
          <w:rFonts w:ascii="Arial" w:hAnsi="Arial" w:cs="Arial"/>
        </w:rPr>
      </w:pPr>
      <w:r w:rsidRPr="00FD14B5">
        <w:rPr>
          <w:rFonts w:ascii="Arial" w:hAnsi="Arial" w:cs="Arial"/>
        </w:rPr>
        <w:t xml:space="preserve">En el tipo sistema de resistencia sísmica no existen elementos que ayuden a la estructura a disipar energía efectivamente. </w:t>
      </w:r>
    </w:p>
    <w:p w:rsidR="00FD14B5" w:rsidRPr="00FD14B5" w:rsidRDefault="00FD14B5" w:rsidP="00A73E59">
      <w:pPr>
        <w:pStyle w:val="Prrafodelista"/>
        <w:spacing w:line="276" w:lineRule="auto"/>
        <w:ind w:left="567" w:hanging="283"/>
        <w:jc w:val="both"/>
        <w:rPr>
          <w:rFonts w:ascii="Arial" w:hAnsi="Arial" w:cs="Arial"/>
        </w:rPr>
      </w:pPr>
    </w:p>
    <w:p w:rsidR="00FD14B5" w:rsidRPr="00FD14B5" w:rsidRDefault="00FD14B5" w:rsidP="00D0183B">
      <w:pPr>
        <w:pStyle w:val="Prrafodelista"/>
        <w:numPr>
          <w:ilvl w:val="0"/>
          <w:numId w:val="40"/>
        </w:numPr>
        <w:spacing w:after="0" w:line="276" w:lineRule="auto"/>
        <w:ind w:left="567" w:hanging="283"/>
        <w:jc w:val="both"/>
        <w:rPr>
          <w:rFonts w:ascii="Arial" w:hAnsi="Arial" w:cs="Arial"/>
        </w:rPr>
      </w:pPr>
      <w:r w:rsidRPr="00FD14B5">
        <w:rPr>
          <w:rFonts w:ascii="Arial" w:hAnsi="Arial" w:cs="Arial"/>
        </w:rPr>
        <w:t>Las normas vigentes que rigen el diseño de edificaciones prohíben el uso del reticular celulado para edificios de más de 15 m, por lo que el edificio debe cambiar dicho sistema.</w:t>
      </w:r>
    </w:p>
    <w:p w:rsidR="00FD14B5" w:rsidRPr="00FD14B5" w:rsidRDefault="00FD14B5" w:rsidP="00A73E59">
      <w:pPr>
        <w:pStyle w:val="Prrafodelista"/>
        <w:spacing w:line="276" w:lineRule="auto"/>
        <w:ind w:left="567" w:hanging="283"/>
        <w:jc w:val="both"/>
        <w:rPr>
          <w:rFonts w:ascii="Arial" w:hAnsi="Arial" w:cs="Arial"/>
        </w:rPr>
      </w:pPr>
    </w:p>
    <w:p w:rsidR="00FD14B5" w:rsidRPr="00FD14B5" w:rsidRDefault="00FD14B5" w:rsidP="00D0183B">
      <w:pPr>
        <w:pStyle w:val="Prrafodelista"/>
        <w:numPr>
          <w:ilvl w:val="0"/>
          <w:numId w:val="40"/>
        </w:numPr>
        <w:spacing w:after="0" w:line="276" w:lineRule="auto"/>
        <w:ind w:left="567" w:hanging="283"/>
        <w:jc w:val="both"/>
        <w:rPr>
          <w:rFonts w:ascii="Arial" w:hAnsi="Arial" w:cs="Arial"/>
        </w:rPr>
      </w:pPr>
      <w:r w:rsidRPr="00FD14B5">
        <w:rPr>
          <w:rFonts w:ascii="Arial" w:hAnsi="Arial" w:cs="Arial"/>
        </w:rPr>
        <w:t xml:space="preserve">La configuración del refuerzo heliacerado para las viguetas, no cumple con lo estipulado para elementos que hacen parte del sistema de resistencia sísmica. </w:t>
      </w:r>
    </w:p>
    <w:p w:rsidR="00FD14B5" w:rsidRPr="00FD14B5" w:rsidRDefault="00FD14B5" w:rsidP="00A73E59">
      <w:pPr>
        <w:pStyle w:val="Prrafodelista"/>
        <w:spacing w:line="276" w:lineRule="auto"/>
        <w:ind w:left="567" w:hanging="283"/>
        <w:jc w:val="both"/>
        <w:rPr>
          <w:rFonts w:ascii="Arial" w:hAnsi="Arial" w:cs="Arial"/>
        </w:rPr>
      </w:pPr>
    </w:p>
    <w:p w:rsidR="00FD14B5" w:rsidRPr="00FD14B5" w:rsidRDefault="00FD14B5" w:rsidP="00D0183B">
      <w:pPr>
        <w:pStyle w:val="Prrafodelista"/>
        <w:numPr>
          <w:ilvl w:val="0"/>
          <w:numId w:val="40"/>
        </w:numPr>
        <w:spacing w:after="0" w:line="276" w:lineRule="auto"/>
        <w:ind w:left="567" w:hanging="283"/>
        <w:jc w:val="both"/>
        <w:rPr>
          <w:rFonts w:ascii="Arial" w:hAnsi="Arial" w:cs="Arial"/>
        </w:rPr>
      </w:pPr>
      <w:r w:rsidRPr="00FD14B5">
        <w:rPr>
          <w:rFonts w:ascii="Arial" w:hAnsi="Arial" w:cs="Arial"/>
        </w:rPr>
        <w:t>Al evaluar la cimentación, con base en la disposición de elementos (pilotes y zapatas), el factor de seguridad mínimo de 3.0, no se cumple; según lo anterior, deberá ser intervenida para que las cargas provenientes de la estructura sean efectivamente transmitidas al estrato portante.</w:t>
      </w:r>
    </w:p>
    <w:p w:rsidR="00FD14B5" w:rsidRPr="00FD14B5" w:rsidRDefault="00FD14B5" w:rsidP="00A73E59">
      <w:pPr>
        <w:pStyle w:val="Prrafodelista"/>
        <w:spacing w:line="276" w:lineRule="auto"/>
        <w:ind w:left="567" w:hanging="283"/>
        <w:jc w:val="both"/>
        <w:rPr>
          <w:rFonts w:ascii="Arial" w:hAnsi="Arial" w:cs="Arial"/>
        </w:rPr>
      </w:pPr>
    </w:p>
    <w:p w:rsidR="00FD14B5" w:rsidRPr="00FD14B5" w:rsidRDefault="00FD14B5" w:rsidP="00D0183B">
      <w:pPr>
        <w:pStyle w:val="Prrafodelista"/>
        <w:numPr>
          <w:ilvl w:val="0"/>
          <w:numId w:val="40"/>
        </w:numPr>
        <w:spacing w:after="0" w:line="276" w:lineRule="auto"/>
        <w:ind w:left="567" w:hanging="283"/>
        <w:jc w:val="both"/>
        <w:rPr>
          <w:rFonts w:ascii="Arial" w:hAnsi="Arial" w:cs="Arial"/>
        </w:rPr>
      </w:pPr>
      <w:r w:rsidRPr="00FD14B5">
        <w:rPr>
          <w:rFonts w:ascii="Arial" w:hAnsi="Arial" w:cs="Arial"/>
        </w:rPr>
        <w:t>El índice de flexibilidad de la estructura resulta mayor a la unidad (3.0); por ende la edificación no cumple con el factor de rigidez.</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Por lo descrito anteriormente, es recomendable que la estructura sea intervenida, para que se le retiren todos los rellenos, placas inferiores y cielos rasos pesados, debido al gran peso que hace que los índices de sobresfuerzo superen la unidad en las columnas que conforman el edificio. Para tal efecto, fueron presentadas tres alternativas de reforzamiento para la edificación teniendo en cuenta: a) La factibilidad técnica, b) Procesos constructivos y c) Costos de cada alternativa, incluyendo costos de escalera de emergencia, red contra incendios, rediseños arquitectónicos, hidrosanitarios que sean necesarios para cumplir con los títulos J y K de la NSR-10.</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En atención a las recomendaciones que se dieron en el informe de vulnerabilidad, (carga muerta, carga viva, carga sísmica, entre otras), la modelación matemática de los índices de flexibilidad de la estructura, el diseño de la red contra incendio y las rutas de evacuación, en la etapa de Etapa de estudios y diseños y aprobaciones, la Entidad optó por la alternativa de sistema combinado (recalce de columnas y conformación de pórticos con muros en concreto reforzado), así las cosas se realizó el diseño en detalle de dicha alternativa con su respectivo presupuesto del reforzamiento, la cual cumple en su totalidad los requerimientos de la NSR-10, el valor de dicha obra se resume en la siguiente tabla:</w:t>
      </w:r>
    </w:p>
    <w:p w:rsidR="00FD14B5" w:rsidRPr="00FD14B5" w:rsidRDefault="00FD14B5" w:rsidP="00A73E59">
      <w:pPr>
        <w:spacing w:line="276" w:lineRule="auto"/>
        <w:jc w:val="both"/>
        <w:rPr>
          <w:rFonts w:ascii="Arial" w:hAnsi="Arial" w:cs="Arial"/>
        </w:rPr>
      </w:pPr>
    </w:p>
    <w:p w:rsidR="00FD14B5" w:rsidRPr="00FD14B5" w:rsidRDefault="00FD14B5" w:rsidP="00A73E59">
      <w:pPr>
        <w:pStyle w:val="Descripcin"/>
        <w:spacing w:after="0" w:line="276" w:lineRule="auto"/>
        <w:rPr>
          <w:rFonts w:ascii="Arial" w:hAnsi="Arial" w:cs="Arial"/>
          <w:color w:val="auto"/>
        </w:rPr>
      </w:pPr>
      <w:bookmarkStart w:id="205" w:name="_Toc27665415"/>
      <w:r w:rsidRPr="00FD14B5">
        <w:rPr>
          <w:rFonts w:ascii="Arial" w:hAnsi="Arial" w:cs="Arial"/>
          <w:color w:val="auto"/>
        </w:rPr>
        <w:t>Presupuesto reforzamiento sede Calle 22</w:t>
      </w:r>
      <w:bookmarkEnd w:id="205"/>
    </w:p>
    <w:tbl>
      <w:tblPr>
        <w:tblW w:w="8775" w:type="dxa"/>
        <w:jc w:val="center"/>
        <w:tblCellMar>
          <w:left w:w="70" w:type="dxa"/>
          <w:right w:w="70" w:type="dxa"/>
        </w:tblCellMar>
        <w:tblLook w:val="04A0" w:firstRow="1" w:lastRow="0" w:firstColumn="1" w:lastColumn="0" w:noHBand="0" w:noVBand="1"/>
      </w:tblPr>
      <w:tblGrid>
        <w:gridCol w:w="6953"/>
        <w:gridCol w:w="1822"/>
      </w:tblGrid>
      <w:tr w:rsidR="00FD14B5" w:rsidRPr="00FD14B5" w:rsidTr="00B85448">
        <w:trPr>
          <w:trHeight w:val="232"/>
          <w:jc w:val="center"/>
        </w:trPr>
        <w:tc>
          <w:tcPr>
            <w:tcW w:w="6953"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bottom"/>
            <w:hideMark/>
          </w:tcPr>
          <w:p w:rsidR="00FD14B5" w:rsidRPr="00FD14B5" w:rsidRDefault="00FD14B5" w:rsidP="00A73E59">
            <w:pPr>
              <w:spacing w:line="276" w:lineRule="auto"/>
              <w:jc w:val="both"/>
              <w:rPr>
                <w:rFonts w:ascii="Arial" w:eastAsia="Times New Roman" w:hAnsi="Arial" w:cs="Arial"/>
                <w:b/>
                <w:bCs/>
                <w:sz w:val="20"/>
                <w:lang w:eastAsia="es-CO"/>
              </w:rPr>
            </w:pPr>
            <w:r w:rsidRPr="00FD14B5">
              <w:rPr>
                <w:rFonts w:ascii="Arial" w:eastAsia="Times New Roman" w:hAnsi="Arial" w:cs="Arial"/>
                <w:b/>
                <w:bCs/>
                <w:sz w:val="20"/>
                <w:lang w:eastAsia="es-CO"/>
              </w:rPr>
              <w:t>ÍTEM</w:t>
            </w:r>
          </w:p>
        </w:tc>
        <w:tc>
          <w:tcPr>
            <w:tcW w:w="1822"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rsidR="00FD14B5" w:rsidRPr="00FD14B5" w:rsidRDefault="00FD14B5" w:rsidP="00A73E59">
            <w:pPr>
              <w:spacing w:line="276" w:lineRule="auto"/>
              <w:jc w:val="both"/>
              <w:rPr>
                <w:rFonts w:ascii="Arial" w:eastAsia="Times New Roman" w:hAnsi="Arial" w:cs="Arial"/>
                <w:b/>
                <w:bCs/>
                <w:sz w:val="20"/>
                <w:lang w:eastAsia="es-CO"/>
              </w:rPr>
            </w:pPr>
            <w:r w:rsidRPr="00FD14B5">
              <w:rPr>
                <w:rFonts w:ascii="Arial" w:eastAsia="Times New Roman" w:hAnsi="Arial" w:cs="Arial"/>
                <w:b/>
                <w:bCs/>
                <w:sz w:val="20"/>
                <w:lang w:eastAsia="es-CO"/>
              </w:rPr>
              <w:t>Valor (Inc. AIU)</w:t>
            </w:r>
          </w:p>
        </w:tc>
      </w:tr>
      <w:tr w:rsidR="00FD14B5" w:rsidRPr="00FD14B5" w:rsidTr="00B85448">
        <w:trPr>
          <w:trHeight w:val="505"/>
          <w:jc w:val="center"/>
        </w:trPr>
        <w:tc>
          <w:tcPr>
            <w:tcW w:w="6953" w:type="dxa"/>
            <w:tcBorders>
              <w:top w:val="nil"/>
              <w:left w:val="single" w:sz="4" w:space="0" w:color="auto"/>
              <w:bottom w:val="single" w:sz="4" w:space="0" w:color="auto"/>
              <w:right w:val="single" w:sz="4" w:space="0" w:color="auto"/>
            </w:tcBorders>
            <w:shd w:val="clear" w:color="auto" w:fill="auto"/>
            <w:vAlign w:val="bottom"/>
            <w:hideMark/>
          </w:tcPr>
          <w:p w:rsidR="00FD14B5" w:rsidRPr="00FD14B5" w:rsidRDefault="00FD14B5" w:rsidP="00A73E59">
            <w:pPr>
              <w:spacing w:line="240" w:lineRule="auto"/>
              <w:jc w:val="both"/>
              <w:rPr>
                <w:rFonts w:ascii="Arial" w:eastAsia="Times New Roman" w:hAnsi="Arial" w:cs="Arial"/>
                <w:sz w:val="20"/>
                <w:lang w:eastAsia="es-CO"/>
              </w:rPr>
            </w:pPr>
            <w:r w:rsidRPr="00FD14B5">
              <w:rPr>
                <w:rFonts w:ascii="Arial" w:eastAsia="Times New Roman" w:hAnsi="Arial" w:cs="Arial"/>
                <w:sz w:val="20"/>
                <w:lang w:eastAsia="es-CO"/>
              </w:rPr>
              <w:t>Reforzamiento estructural (recalce de columnas y conformación de pórticos con muros en concreto reforzado)</w:t>
            </w:r>
          </w:p>
        </w:tc>
        <w:tc>
          <w:tcPr>
            <w:tcW w:w="1822" w:type="dxa"/>
            <w:tcBorders>
              <w:top w:val="nil"/>
              <w:left w:val="nil"/>
              <w:bottom w:val="single" w:sz="4" w:space="0" w:color="auto"/>
              <w:right w:val="single" w:sz="4" w:space="0" w:color="auto"/>
            </w:tcBorders>
            <w:shd w:val="clear" w:color="auto" w:fill="auto"/>
            <w:noWrap/>
            <w:vAlign w:val="center"/>
            <w:hideMark/>
          </w:tcPr>
          <w:p w:rsidR="00FD14B5" w:rsidRPr="00FD14B5" w:rsidRDefault="00FD14B5" w:rsidP="00A73E59">
            <w:pPr>
              <w:spacing w:line="240" w:lineRule="auto"/>
              <w:jc w:val="both"/>
              <w:rPr>
                <w:rFonts w:ascii="Arial" w:eastAsia="Times New Roman" w:hAnsi="Arial" w:cs="Arial"/>
                <w:sz w:val="20"/>
                <w:lang w:eastAsia="es-CO"/>
              </w:rPr>
            </w:pPr>
            <w:r w:rsidRPr="00FD14B5">
              <w:rPr>
                <w:rFonts w:ascii="Arial" w:eastAsia="Times New Roman" w:hAnsi="Arial" w:cs="Arial"/>
                <w:sz w:val="20"/>
                <w:lang w:eastAsia="es-CO"/>
              </w:rPr>
              <w:t xml:space="preserve"> $10.338.225.154 </w:t>
            </w:r>
          </w:p>
        </w:tc>
      </w:tr>
      <w:tr w:rsidR="00FD14B5" w:rsidRPr="00FD14B5" w:rsidTr="00B85448">
        <w:trPr>
          <w:trHeight w:val="331"/>
          <w:jc w:val="center"/>
        </w:trPr>
        <w:tc>
          <w:tcPr>
            <w:tcW w:w="6953" w:type="dxa"/>
            <w:tcBorders>
              <w:top w:val="nil"/>
              <w:left w:val="single" w:sz="4" w:space="0" w:color="auto"/>
              <w:bottom w:val="single" w:sz="4" w:space="0" w:color="auto"/>
              <w:right w:val="single" w:sz="4" w:space="0" w:color="auto"/>
            </w:tcBorders>
            <w:shd w:val="clear" w:color="auto" w:fill="auto"/>
            <w:vAlign w:val="bottom"/>
            <w:hideMark/>
          </w:tcPr>
          <w:p w:rsidR="00FD14B5" w:rsidRPr="00FD14B5" w:rsidRDefault="00FD14B5" w:rsidP="00A73E59">
            <w:pPr>
              <w:spacing w:line="240" w:lineRule="auto"/>
              <w:jc w:val="both"/>
              <w:rPr>
                <w:rFonts w:ascii="Arial" w:eastAsia="Times New Roman" w:hAnsi="Arial" w:cs="Arial"/>
                <w:sz w:val="20"/>
                <w:lang w:eastAsia="es-CO"/>
              </w:rPr>
            </w:pPr>
            <w:r w:rsidRPr="00FD14B5">
              <w:rPr>
                <w:rFonts w:ascii="Arial" w:eastAsia="Times New Roman" w:hAnsi="Arial" w:cs="Arial"/>
                <w:sz w:val="20"/>
                <w:lang w:eastAsia="es-CO"/>
              </w:rPr>
              <w:t>Sistema de red contra incendios (incluyendo instalación eléctrica e hidráulica)</w:t>
            </w:r>
          </w:p>
        </w:tc>
        <w:tc>
          <w:tcPr>
            <w:tcW w:w="1822" w:type="dxa"/>
            <w:tcBorders>
              <w:top w:val="nil"/>
              <w:left w:val="nil"/>
              <w:bottom w:val="single" w:sz="4" w:space="0" w:color="auto"/>
              <w:right w:val="single" w:sz="4" w:space="0" w:color="auto"/>
            </w:tcBorders>
            <w:shd w:val="clear" w:color="auto" w:fill="auto"/>
            <w:noWrap/>
            <w:vAlign w:val="center"/>
            <w:hideMark/>
          </w:tcPr>
          <w:p w:rsidR="00FD14B5" w:rsidRPr="00FD14B5" w:rsidRDefault="00FD14B5" w:rsidP="00A73E59">
            <w:pPr>
              <w:spacing w:line="240" w:lineRule="auto"/>
              <w:jc w:val="both"/>
              <w:rPr>
                <w:rFonts w:ascii="Arial" w:eastAsia="Times New Roman" w:hAnsi="Arial" w:cs="Arial"/>
                <w:sz w:val="20"/>
                <w:lang w:eastAsia="es-CO"/>
              </w:rPr>
            </w:pPr>
            <w:r w:rsidRPr="00FD14B5">
              <w:rPr>
                <w:rFonts w:ascii="Arial" w:eastAsia="Times New Roman" w:hAnsi="Arial" w:cs="Arial"/>
                <w:sz w:val="20"/>
                <w:lang w:eastAsia="es-CO"/>
              </w:rPr>
              <w:t xml:space="preserve"> $1.021.376.189 </w:t>
            </w:r>
          </w:p>
        </w:tc>
      </w:tr>
      <w:tr w:rsidR="00FD14B5" w:rsidRPr="00FD14B5" w:rsidTr="00B85448">
        <w:trPr>
          <w:trHeight w:val="253"/>
          <w:jc w:val="center"/>
        </w:trPr>
        <w:tc>
          <w:tcPr>
            <w:tcW w:w="6953" w:type="dxa"/>
            <w:tcBorders>
              <w:top w:val="nil"/>
              <w:left w:val="single" w:sz="4" w:space="0" w:color="auto"/>
              <w:bottom w:val="single" w:sz="4" w:space="0" w:color="auto"/>
              <w:right w:val="single" w:sz="4" w:space="0" w:color="auto"/>
            </w:tcBorders>
            <w:shd w:val="clear" w:color="auto" w:fill="auto"/>
            <w:vAlign w:val="bottom"/>
            <w:hideMark/>
          </w:tcPr>
          <w:p w:rsidR="00FD14B5" w:rsidRPr="00FD14B5" w:rsidRDefault="00FD14B5" w:rsidP="00A73E59">
            <w:pPr>
              <w:spacing w:line="240" w:lineRule="auto"/>
              <w:jc w:val="both"/>
              <w:rPr>
                <w:rFonts w:ascii="Arial" w:eastAsia="Times New Roman" w:hAnsi="Arial" w:cs="Arial"/>
                <w:sz w:val="20"/>
                <w:lang w:eastAsia="es-CO"/>
              </w:rPr>
            </w:pPr>
            <w:r w:rsidRPr="00FD14B5">
              <w:rPr>
                <w:rFonts w:ascii="Arial" w:eastAsia="Times New Roman" w:hAnsi="Arial" w:cs="Arial"/>
                <w:sz w:val="20"/>
                <w:lang w:eastAsia="es-CO"/>
              </w:rPr>
              <w:t>Escaleras de emergencia</w:t>
            </w:r>
          </w:p>
        </w:tc>
        <w:tc>
          <w:tcPr>
            <w:tcW w:w="1822" w:type="dxa"/>
            <w:tcBorders>
              <w:top w:val="nil"/>
              <w:left w:val="nil"/>
              <w:bottom w:val="single" w:sz="4" w:space="0" w:color="auto"/>
              <w:right w:val="single" w:sz="4" w:space="0" w:color="auto"/>
            </w:tcBorders>
            <w:shd w:val="clear" w:color="auto" w:fill="auto"/>
            <w:noWrap/>
            <w:vAlign w:val="center"/>
            <w:hideMark/>
          </w:tcPr>
          <w:p w:rsidR="00FD14B5" w:rsidRPr="00FD14B5" w:rsidRDefault="00FD14B5" w:rsidP="00A73E59">
            <w:pPr>
              <w:spacing w:line="240" w:lineRule="auto"/>
              <w:jc w:val="both"/>
              <w:rPr>
                <w:rFonts w:ascii="Arial" w:eastAsia="Times New Roman" w:hAnsi="Arial" w:cs="Arial"/>
                <w:sz w:val="20"/>
                <w:lang w:eastAsia="es-CO"/>
              </w:rPr>
            </w:pPr>
            <w:r w:rsidRPr="00FD14B5">
              <w:rPr>
                <w:rFonts w:ascii="Arial" w:eastAsia="Times New Roman" w:hAnsi="Arial" w:cs="Arial"/>
                <w:sz w:val="20"/>
                <w:lang w:eastAsia="es-CO"/>
              </w:rPr>
              <w:t xml:space="preserve"> $999.779.684 </w:t>
            </w:r>
          </w:p>
        </w:tc>
      </w:tr>
      <w:tr w:rsidR="00FD14B5" w:rsidRPr="00FD14B5" w:rsidTr="00B85448">
        <w:trPr>
          <w:trHeight w:val="286"/>
          <w:jc w:val="center"/>
        </w:trPr>
        <w:tc>
          <w:tcPr>
            <w:tcW w:w="6953" w:type="dxa"/>
            <w:tcBorders>
              <w:top w:val="nil"/>
              <w:left w:val="single" w:sz="4" w:space="0" w:color="auto"/>
              <w:bottom w:val="single" w:sz="4" w:space="0" w:color="auto"/>
              <w:right w:val="single" w:sz="4" w:space="0" w:color="auto"/>
            </w:tcBorders>
            <w:shd w:val="clear" w:color="auto" w:fill="BDD6EE" w:themeFill="accent1" w:themeFillTint="66"/>
            <w:vAlign w:val="center"/>
            <w:hideMark/>
          </w:tcPr>
          <w:p w:rsidR="00FD14B5" w:rsidRPr="00FD14B5" w:rsidRDefault="00FD14B5" w:rsidP="00A73E59">
            <w:pPr>
              <w:spacing w:line="240" w:lineRule="auto"/>
              <w:jc w:val="both"/>
              <w:rPr>
                <w:rFonts w:ascii="Arial" w:eastAsia="Times New Roman" w:hAnsi="Arial" w:cs="Arial"/>
                <w:b/>
                <w:bCs/>
                <w:sz w:val="20"/>
                <w:lang w:eastAsia="es-CO"/>
              </w:rPr>
            </w:pPr>
            <w:r w:rsidRPr="00FD14B5">
              <w:rPr>
                <w:rFonts w:ascii="Arial" w:eastAsia="Times New Roman" w:hAnsi="Arial" w:cs="Arial"/>
                <w:b/>
                <w:bCs/>
                <w:sz w:val="20"/>
                <w:lang w:eastAsia="es-CO"/>
              </w:rPr>
              <w:t>Total reforzamiento</w:t>
            </w:r>
          </w:p>
        </w:tc>
        <w:tc>
          <w:tcPr>
            <w:tcW w:w="1822" w:type="dxa"/>
            <w:tcBorders>
              <w:top w:val="nil"/>
              <w:left w:val="nil"/>
              <w:bottom w:val="single" w:sz="4" w:space="0" w:color="auto"/>
              <w:right w:val="single" w:sz="4" w:space="0" w:color="auto"/>
            </w:tcBorders>
            <w:shd w:val="clear" w:color="auto" w:fill="BDD6EE" w:themeFill="accent1" w:themeFillTint="66"/>
            <w:noWrap/>
            <w:vAlign w:val="center"/>
            <w:hideMark/>
          </w:tcPr>
          <w:p w:rsidR="00FD14B5" w:rsidRPr="00FD14B5" w:rsidRDefault="00FD14B5" w:rsidP="00A73E59">
            <w:pPr>
              <w:spacing w:line="240" w:lineRule="auto"/>
              <w:jc w:val="both"/>
              <w:rPr>
                <w:rFonts w:ascii="Arial" w:eastAsia="Times New Roman" w:hAnsi="Arial" w:cs="Arial"/>
                <w:b/>
                <w:bCs/>
                <w:sz w:val="20"/>
                <w:lang w:eastAsia="es-CO"/>
              </w:rPr>
            </w:pPr>
            <w:r w:rsidRPr="00FD14B5">
              <w:rPr>
                <w:rFonts w:ascii="Arial" w:eastAsia="Times New Roman" w:hAnsi="Arial" w:cs="Arial"/>
                <w:b/>
                <w:bCs/>
                <w:sz w:val="20"/>
                <w:lang w:eastAsia="es-CO"/>
              </w:rPr>
              <w:t xml:space="preserve"> $12.359.381.027* </w:t>
            </w:r>
          </w:p>
        </w:tc>
      </w:tr>
    </w:tbl>
    <w:p w:rsidR="00FD14B5" w:rsidRPr="00FD14B5" w:rsidRDefault="00FD14B5" w:rsidP="00A73E59">
      <w:pPr>
        <w:spacing w:line="240" w:lineRule="auto"/>
        <w:jc w:val="both"/>
        <w:rPr>
          <w:rFonts w:ascii="Arial" w:hAnsi="Arial" w:cs="Arial"/>
        </w:rPr>
      </w:pPr>
    </w:p>
    <w:p w:rsidR="00FD14B5" w:rsidRPr="00FD14B5" w:rsidRDefault="00FD14B5" w:rsidP="00A73E59">
      <w:pPr>
        <w:shd w:val="clear" w:color="auto" w:fill="FFFFFF"/>
        <w:spacing w:line="276" w:lineRule="auto"/>
        <w:jc w:val="both"/>
        <w:rPr>
          <w:rFonts w:ascii="Arial" w:hAnsi="Arial" w:cs="Arial"/>
        </w:rPr>
      </w:pPr>
      <w:r w:rsidRPr="00FD14B5">
        <w:rPr>
          <w:rFonts w:ascii="Arial" w:hAnsi="Arial" w:cs="Arial"/>
        </w:rPr>
        <w:t>Dada la importancia de lo expuesto, para la vigencia 2019 se presupuestó lo necesario para realizar el reforzamiento estructural. No obstante, es importante indicar también, que es obligatorio contar con un supervisor técnico independiente, quien a la luz de la Ley 1796 de 2016 y el Decreto 946 de 2017, se encargue de controlar y garantizar la calidad y cumplimiento de la NSR-10 tanto en la construcción del sistema estructural de la edificación, como en la construcción de los elementos no estructurales y cumplir así con los requisitos necesarios para el trámite de licencia de reforzamiento.</w:t>
      </w:r>
    </w:p>
    <w:p w:rsidR="00FD14B5" w:rsidRPr="00FD14B5" w:rsidRDefault="00FD14B5" w:rsidP="00A73E59">
      <w:pPr>
        <w:shd w:val="clear" w:color="auto" w:fill="FFFFFF"/>
        <w:spacing w:line="276" w:lineRule="auto"/>
        <w:jc w:val="both"/>
        <w:rPr>
          <w:rFonts w:ascii="Arial" w:hAnsi="Arial" w:cs="Arial"/>
        </w:rPr>
      </w:pPr>
    </w:p>
    <w:p w:rsidR="00FD14B5" w:rsidRPr="00FD14B5" w:rsidRDefault="00FD14B5" w:rsidP="00A73E59">
      <w:pPr>
        <w:shd w:val="clear" w:color="auto" w:fill="FFFFFF"/>
        <w:spacing w:line="276" w:lineRule="auto"/>
        <w:jc w:val="both"/>
        <w:rPr>
          <w:rFonts w:ascii="Arial" w:eastAsia="Times New Roman" w:hAnsi="Arial" w:cs="Arial"/>
          <w:i/>
          <w:szCs w:val="24"/>
          <w:lang w:eastAsia="es-CO"/>
        </w:rPr>
      </w:pPr>
      <w:r w:rsidRPr="00FD14B5">
        <w:rPr>
          <w:rFonts w:ascii="Arial" w:hAnsi="Arial" w:cs="Arial"/>
        </w:rPr>
        <w:t>Por lo tanto, se adelantó c</w:t>
      </w:r>
      <w:r w:rsidRPr="00FD14B5">
        <w:rPr>
          <w:rFonts w:ascii="Arial" w:eastAsia="Times New Roman" w:hAnsi="Arial" w:cs="Arial"/>
          <w:bCs/>
          <w:shd w:val="clear" w:color="auto" w:fill="FFFFFF"/>
          <w:lang w:eastAsia="es-CO"/>
        </w:rPr>
        <w:t xml:space="preserve">ontrato de consultoría IDU-1539-2019, cuyo objeto consiste en </w:t>
      </w:r>
      <w:r w:rsidRPr="00FD14B5">
        <w:rPr>
          <w:rFonts w:ascii="Arial" w:eastAsia="Times New Roman" w:hAnsi="Arial" w:cs="Arial"/>
          <w:i/>
          <w:shd w:val="clear" w:color="auto" w:fill="FFFFFF"/>
          <w:lang w:val="es-ES_tradnl" w:eastAsia="es-CO"/>
        </w:rPr>
        <w:t>“Realizar la revisión técnica independiente a los diseños estructurales realizados en ejecución del contrato de consultoría IDU-1133-2016, prestar apoyo técnico en el trámite de licencia de construcción y obtención de la misma, así como prestar el apoyo técnico en la estructuración de los documentos precontractuales para los procesos de obra y la correspondiente interventoría, con el fin de contratar el reforzamiento estructural del edificio sede principal del IDU ubicado en la calle 22 N° 6-27 en la ciudad de Bogotá D.C.”</w:t>
      </w:r>
    </w:p>
    <w:p w:rsidR="00FD14B5" w:rsidRPr="00FD14B5" w:rsidRDefault="00FD14B5" w:rsidP="00A73E59">
      <w:pPr>
        <w:shd w:val="clear" w:color="auto" w:fill="FFFFFF"/>
        <w:spacing w:line="276" w:lineRule="auto"/>
        <w:jc w:val="both"/>
        <w:rPr>
          <w:rFonts w:ascii="Arial" w:eastAsia="Times New Roman" w:hAnsi="Arial" w:cs="Arial"/>
          <w:szCs w:val="24"/>
          <w:lang w:eastAsia="es-CO"/>
        </w:rPr>
      </w:pPr>
      <w:r w:rsidRPr="00FD14B5">
        <w:rPr>
          <w:rFonts w:ascii="Arial" w:eastAsia="Times New Roman" w:hAnsi="Arial" w:cs="Arial"/>
          <w:b/>
          <w:bCs/>
          <w:shd w:val="clear" w:color="auto" w:fill="FFFFFF"/>
          <w:lang w:val="es-ES_tradnl" w:eastAsia="es-CO"/>
        </w:rPr>
        <w:t> </w:t>
      </w:r>
    </w:p>
    <w:p w:rsidR="00FD14B5" w:rsidRPr="00FD14B5" w:rsidRDefault="00FD14B5" w:rsidP="00A73E59">
      <w:pPr>
        <w:shd w:val="clear" w:color="auto" w:fill="FFFFFF"/>
        <w:spacing w:line="276" w:lineRule="auto"/>
        <w:jc w:val="both"/>
        <w:rPr>
          <w:rFonts w:ascii="Arial" w:eastAsia="Times New Roman" w:hAnsi="Arial" w:cs="Arial"/>
          <w:szCs w:val="24"/>
          <w:lang w:eastAsia="es-CO"/>
        </w:rPr>
      </w:pPr>
      <w:r w:rsidRPr="00FD14B5">
        <w:rPr>
          <w:rFonts w:ascii="Arial" w:eastAsia="Times New Roman" w:hAnsi="Arial" w:cs="Arial"/>
          <w:bCs/>
          <w:shd w:val="clear" w:color="auto" w:fill="FFFFFF"/>
          <w:lang w:val="es-ES_tradnl" w:eastAsia="es-CO"/>
        </w:rPr>
        <w:t>Sobre este asunto, e</w:t>
      </w:r>
      <w:r w:rsidRPr="00FD14B5">
        <w:rPr>
          <w:rFonts w:ascii="Arial" w:eastAsia="Times New Roman" w:hAnsi="Arial" w:cs="Arial"/>
          <w:shd w:val="clear" w:color="auto" w:fill="FFFFFF"/>
          <w:lang w:val="es-ES_tradnl" w:eastAsia="es-CO"/>
        </w:rPr>
        <w:t xml:space="preserve">l 13 de septiembre de 2019, el contratista hizo entrega a la STRF del informe de revisión de los diseños estructurales elaborados en el marco del contrato de consultoría 1133-2016, mediante oficio con numero de radicado 20195261121512, en </w:t>
      </w:r>
      <w:r w:rsidRPr="00FD14B5">
        <w:rPr>
          <w:rFonts w:ascii="Arial" w:eastAsia="Times New Roman" w:hAnsi="Arial" w:cs="Arial"/>
          <w:shd w:val="clear" w:color="auto" w:fill="FFFFFF"/>
          <w:lang w:val="es-ES_tradnl" w:eastAsia="es-CO"/>
        </w:rPr>
        <w:lastRenderedPageBreak/>
        <w:t>cumplimiento de la obligación contractual N° 2 establecida en el contrato de consultoría IDU-1539-2019 que reza: “</w:t>
      </w:r>
      <w:r w:rsidRPr="00FD14B5">
        <w:rPr>
          <w:rFonts w:ascii="Arial" w:eastAsia="Times New Roman" w:hAnsi="Arial" w:cs="Arial"/>
          <w:i/>
          <w:iCs/>
          <w:shd w:val="clear" w:color="auto" w:fill="FFFFFF"/>
          <w:lang w:val="es-ES_tradnl" w:eastAsia="es-CO"/>
        </w:rPr>
        <w:t>Revisar los diseños estructurales y arquitectónicos, especificaciones técnicas, planos y demás documentos entregados en ejecución del contrato de consultoría N° IDU-1133-2016 cuyo objeto consistió en: “Realizar los estudios de patología, vulnerabilidad sísmica y reforzamiento estructural en el edificio sede principal del IDU, ubicado en la calle 22 No. 6-27, según se describe en el pliego de condiciones, anexos y capítulos técnicos, en especial el anexo técnico separable y de acuerdo con las Etapas previstas en el mismo”, con el fin de verificar el cumplimiento de la reglamentación establecida en el Apéndice A-6 del Reglamento NSR-10, debe cubrir en su alcance y  metodología lo exigido por la Resolución 0015 de 2015 expedida por la “Comisión Asesora Permanente para el Régimen de Construcciones Sismo Resistente”, o la norma que la adicione, modifique o sustituya”</w:t>
      </w:r>
    </w:p>
    <w:p w:rsidR="00FD14B5" w:rsidRPr="00FD14B5" w:rsidRDefault="00FD14B5" w:rsidP="00A73E59">
      <w:pPr>
        <w:shd w:val="clear" w:color="auto" w:fill="FFFFFF"/>
        <w:spacing w:line="276" w:lineRule="auto"/>
        <w:jc w:val="both"/>
        <w:rPr>
          <w:rFonts w:ascii="Arial" w:eastAsia="Times New Roman" w:hAnsi="Arial" w:cs="Arial"/>
          <w:szCs w:val="24"/>
          <w:lang w:eastAsia="es-CO"/>
        </w:rPr>
      </w:pPr>
      <w:r w:rsidRPr="00FD14B5">
        <w:rPr>
          <w:rFonts w:ascii="Arial" w:eastAsia="Times New Roman" w:hAnsi="Arial" w:cs="Arial"/>
          <w:b/>
          <w:bCs/>
          <w:shd w:val="clear" w:color="auto" w:fill="FFFFFF"/>
          <w:lang w:val="es-ES_tradnl" w:eastAsia="es-CO"/>
        </w:rPr>
        <w:t> </w:t>
      </w:r>
    </w:p>
    <w:p w:rsidR="00FD14B5" w:rsidRPr="00FD14B5" w:rsidRDefault="00FD14B5" w:rsidP="00A73E59">
      <w:pPr>
        <w:shd w:val="clear" w:color="auto" w:fill="FFFFFF"/>
        <w:spacing w:line="276" w:lineRule="auto"/>
        <w:jc w:val="both"/>
        <w:rPr>
          <w:rFonts w:ascii="Arial" w:eastAsia="Times New Roman" w:hAnsi="Arial" w:cs="Arial"/>
          <w:szCs w:val="24"/>
          <w:lang w:eastAsia="es-CO"/>
        </w:rPr>
      </w:pPr>
      <w:r w:rsidRPr="00FD14B5">
        <w:rPr>
          <w:rFonts w:ascii="Arial" w:eastAsia="Times New Roman" w:hAnsi="Arial" w:cs="Arial"/>
          <w:shd w:val="clear" w:color="auto" w:fill="FFFFFF"/>
          <w:lang w:val="es-ES_tradnl" w:eastAsia="es-CO"/>
        </w:rPr>
        <w:t>En dicho informe el contratista plasmó las observaciones y/o correcciones que actualmente el diseñador (contrato IDU-1133-2016) está realizando, simultáneamente pretende radicar en Instituto Distrital de Patrimonio Cultural y Ministerio de Cultura el paquete de estudios y diseños para el reforzamiento, en ese sentido en reunión efectuada con el Instituto Distrital de Patrimonio Cultural el 14/11/2019 con Diego Javier Parra Cortes – Subdirector de Protección e Intervención del Patrimonio, manifiesta que el trámite de aprobación de los documentos y diseños toma aproximadamente 10 días.</w:t>
      </w:r>
    </w:p>
    <w:p w:rsidR="00FD14B5" w:rsidRPr="00FD14B5" w:rsidRDefault="00FD14B5" w:rsidP="00A73E59">
      <w:pPr>
        <w:shd w:val="clear" w:color="auto" w:fill="FFFFFF"/>
        <w:spacing w:line="276" w:lineRule="auto"/>
        <w:jc w:val="both"/>
        <w:rPr>
          <w:rFonts w:ascii="Arial" w:eastAsia="Times New Roman" w:hAnsi="Arial" w:cs="Arial"/>
          <w:szCs w:val="24"/>
          <w:lang w:eastAsia="es-CO"/>
        </w:rPr>
      </w:pPr>
      <w:r w:rsidRPr="00FD14B5">
        <w:rPr>
          <w:rFonts w:ascii="Arial" w:eastAsia="Times New Roman" w:hAnsi="Arial" w:cs="Arial"/>
          <w:shd w:val="clear" w:color="auto" w:fill="FFFFFF"/>
          <w:lang w:val="es-ES_tradnl" w:eastAsia="es-CO"/>
        </w:rPr>
        <w:t> </w:t>
      </w:r>
    </w:p>
    <w:p w:rsidR="00FD14B5" w:rsidRPr="00FD14B5" w:rsidRDefault="00FD14B5" w:rsidP="00A73E59">
      <w:pPr>
        <w:shd w:val="clear" w:color="auto" w:fill="FFFFFF"/>
        <w:spacing w:line="276" w:lineRule="auto"/>
        <w:jc w:val="both"/>
        <w:rPr>
          <w:rFonts w:ascii="Arial" w:eastAsia="Times New Roman" w:hAnsi="Arial" w:cs="Arial"/>
          <w:szCs w:val="24"/>
          <w:lang w:eastAsia="es-CO"/>
        </w:rPr>
      </w:pPr>
      <w:r w:rsidRPr="00FD14B5">
        <w:rPr>
          <w:rFonts w:ascii="Arial" w:eastAsia="Times New Roman" w:hAnsi="Arial" w:cs="Arial"/>
          <w:shd w:val="clear" w:color="auto" w:fill="FFFFFF"/>
          <w:lang w:val="es-ES_tradnl" w:eastAsia="es-CO"/>
        </w:rPr>
        <w:t>Una vez entregadas las aprobaciones por parte del Instituto Distrital de Patrimonio Cultural y Ministerio de Cultura se radicará la solicitud de licencia de construcción en la curaduría urbana, para lo cual es necesario coordinar con el revisor independiente su aprobación a través de memorial firmado y respectiva suscripción del formulario único nacional, actividades que se prevén llevar a cabo para la última semana de enero de 2020.</w:t>
      </w:r>
    </w:p>
    <w:p w:rsidR="00FD14B5" w:rsidRPr="00FD14B5" w:rsidRDefault="00FD14B5" w:rsidP="00A73E59">
      <w:pPr>
        <w:shd w:val="clear" w:color="auto" w:fill="FFFFFF"/>
        <w:spacing w:line="276" w:lineRule="auto"/>
        <w:jc w:val="both"/>
        <w:rPr>
          <w:rFonts w:ascii="Arial" w:eastAsia="Times New Roman" w:hAnsi="Arial" w:cs="Arial"/>
          <w:szCs w:val="24"/>
          <w:lang w:eastAsia="es-CO"/>
        </w:rPr>
      </w:pPr>
      <w:r w:rsidRPr="00FD14B5">
        <w:rPr>
          <w:rFonts w:ascii="Arial" w:eastAsia="Times New Roman" w:hAnsi="Arial" w:cs="Arial"/>
          <w:shd w:val="clear" w:color="auto" w:fill="FFFFFF"/>
          <w:lang w:val="es-ES_tradnl" w:eastAsia="es-CO"/>
        </w:rPr>
        <w:t> </w:t>
      </w:r>
    </w:p>
    <w:p w:rsidR="00FD14B5" w:rsidRPr="00FD14B5" w:rsidRDefault="00FD14B5" w:rsidP="00A73E59">
      <w:pPr>
        <w:shd w:val="clear" w:color="auto" w:fill="FFFFFF"/>
        <w:spacing w:line="276" w:lineRule="auto"/>
        <w:jc w:val="both"/>
        <w:rPr>
          <w:rFonts w:ascii="Arial" w:eastAsia="Times New Roman" w:hAnsi="Arial" w:cs="Arial"/>
          <w:szCs w:val="24"/>
          <w:lang w:eastAsia="es-CO"/>
        </w:rPr>
      </w:pPr>
      <w:r w:rsidRPr="00FD14B5">
        <w:rPr>
          <w:rFonts w:ascii="Arial" w:eastAsia="Times New Roman" w:hAnsi="Arial" w:cs="Arial"/>
          <w:shd w:val="clear" w:color="auto" w:fill="FFFFFF"/>
          <w:lang w:val="es-ES_tradnl" w:eastAsia="es-CO"/>
        </w:rPr>
        <w:t>En este sentido el contratista allega mediante correo electrónico del 4/12/2019 el formato de poder y carta de autorización que exige el IDPC y MinCultura respectivamente para el estudio de la solicitud que exigen dichas Entidades.</w:t>
      </w:r>
      <w:r w:rsidRPr="00FD14B5">
        <w:rPr>
          <w:rFonts w:ascii="Arial" w:eastAsia="Times New Roman" w:hAnsi="Arial" w:cs="Arial"/>
          <w:b/>
          <w:bCs/>
          <w:shd w:val="clear" w:color="auto" w:fill="FFFFFF"/>
          <w:lang w:val="es-ES_tradnl" w:eastAsia="es-CO"/>
        </w:rPr>
        <w:t> </w:t>
      </w:r>
    </w:p>
    <w:p w:rsidR="00FD14B5" w:rsidRPr="00FD14B5" w:rsidRDefault="00FD14B5" w:rsidP="00A73E59">
      <w:pPr>
        <w:spacing w:line="276" w:lineRule="auto"/>
        <w:jc w:val="both"/>
        <w:rPr>
          <w:rFonts w:ascii="Arial" w:hAnsi="Arial" w:cs="Arial"/>
          <w:b/>
        </w:rPr>
      </w:pPr>
    </w:p>
    <w:p w:rsidR="00FD14B5" w:rsidRPr="00FD14B5" w:rsidRDefault="00FD14B5" w:rsidP="00A73E59">
      <w:pPr>
        <w:spacing w:line="276" w:lineRule="auto"/>
        <w:jc w:val="both"/>
        <w:rPr>
          <w:rFonts w:ascii="Arial" w:hAnsi="Arial" w:cs="Arial"/>
          <w:b/>
          <w:u w:val="single"/>
        </w:rPr>
      </w:pPr>
      <w:r w:rsidRPr="00FD14B5">
        <w:rPr>
          <w:rFonts w:ascii="Arial" w:hAnsi="Arial" w:cs="Arial"/>
          <w:b/>
          <w:u w:val="single"/>
        </w:rPr>
        <w:t>Medios alternativos de evacuación</w:t>
      </w:r>
    </w:p>
    <w:p w:rsidR="00FD14B5" w:rsidRPr="00FD14B5" w:rsidRDefault="00FD14B5" w:rsidP="00A73E59">
      <w:pPr>
        <w:spacing w:line="276" w:lineRule="auto"/>
        <w:jc w:val="both"/>
        <w:rPr>
          <w:rFonts w:ascii="Arial" w:hAnsi="Arial" w:cs="Arial"/>
          <w:b/>
        </w:rPr>
      </w:pPr>
    </w:p>
    <w:p w:rsidR="00FD14B5" w:rsidRPr="00FD14B5" w:rsidRDefault="00FD14B5" w:rsidP="00A73E59">
      <w:pPr>
        <w:spacing w:line="276" w:lineRule="auto"/>
        <w:jc w:val="both"/>
        <w:rPr>
          <w:rFonts w:ascii="Arial" w:hAnsi="Arial" w:cs="Arial"/>
        </w:rPr>
      </w:pPr>
      <w:r w:rsidRPr="00FD14B5">
        <w:rPr>
          <w:rFonts w:ascii="Arial" w:hAnsi="Arial" w:cs="Arial"/>
        </w:rPr>
        <w:t xml:space="preserve">Una vez evaluado el estado general de la infraestructura del edificio sede principal del IDU calle 22, tomando como único insumo el informe de vulnerabilidad y el diseño de reforzamiento estructural, emitidos en ejecución del contrato IDU-1133-2016, se evidenció la necesidad de contar con medios de evacuación adicionales, de conformidad a lo </w:t>
      </w:r>
      <w:r w:rsidRPr="00FD14B5">
        <w:rPr>
          <w:rFonts w:ascii="Arial" w:hAnsi="Arial" w:cs="Arial"/>
        </w:rPr>
        <w:lastRenderedPageBreak/>
        <w:t>establecido en los Títulos: “</w:t>
      </w:r>
      <w:r w:rsidRPr="00FD14B5">
        <w:rPr>
          <w:rFonts w:ascii="Arial" w:hAnsi="Arial" w:cs="Arial"/>
          <w:i/>
        </w:rPr>
        <w:t>J</w:t>
      </w:r>
      <w:r w:rsidRPr="00FD14B5">
        <w:rPr>
          <w:rFonts w:ascii="Arial" w:hAnsi="Arial" w:cs="Arial"/>
        </w:rPr>
        <w:t xml:space="preserve"> Requisitos de protección contra incendios y </w:t>
      </w:r>
      <w:r w:rsidRPr="00FD14B5">
        <w:rPr>
          <w:rFonts w:ascii="Arial" w:hAnsi="Arial" w:cs="Arial"/>
          <w:i/>
        </w:rPr>
        <w:t>K</w:t>
      </w:r>
      <w:r w:rsidRPr="00FD14B5">
        <w:rPr>
          <w:rFonts w:ascii="Arial" w:hAnsi="Arial" w:cs="Arial"/>
        </w:rPr>
        <w:t xml:space="preserve"> requisitos complementarios”, de la NSR-10.</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 xml:space="preserve">Simultáneamente, se realizó el levantamiento de información y diagnóstico del estado actual del único medio de evacuación, con la información reunida, se realizó un planteamiento para un sistema alternativo, que funja como complemento al actual y que permita mejorar las condiciones de comodidad, rapidez y seguridad en una evacuación en el edificio sede calle 22, en caso de presentarse un incendio, sismo u otra emergencia; en ese sentido se identificaron sistemas de evacuación alternativos a nivel internacional, se comprobó que en Colombia, tanto a nivel público como privado, se ha instalado el sistema de toboganes de salvamento como medios de evacuación alternos. </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 xml:space="preserve">Como resultado de lo anterior, el 19 de septiembre de 2018, se suscribió a través de la modalidad de contratación directa, el contrato IDU-1389-2018 para la adquisición e instalación de tres toboganes de salvamento en los pisos 2°, 7° y 11°, dispuestos como medios de evacuación alternos para el edificio sede principal, con el propósito primordial de dotar a la entidad con un sistema de evacuación alterno y complementario al único medio existente, que brinde condiciones de practicidad, seguridad y rapidez en caso de emergencias y que propenda por la reducción del riesgo de pérdidas de vidas humanas. </w:t>
      </w:r>
    </w:p>
    <w:p w:rsidR="00FD14B5" w:rsidRPr="00FD14B5" w:rsidRDefault="00FD14B5" w:rsidP="00A73E59">
      <w:pPr>
        <w:spacing w:line="276" w:lineRule="auto"/>
        <w:jc w:val="both"/>
        <w:rPr>
          <w:rFonts w:ascii="Arial" w:hAnsi="Arial" w:cs="Arial"/>
          <w:b/>
        </w:rPr>
      </w:pPr>
    </w:p>
    <w:p w:rsidR="00FD14B5" w:rsidRPr="0047565B" w:rsidRDefault="00FD14B5" w:rsidP="00D0183B">
      <w:pPr>
        <w:pStyle w:val="Ttulo4"/>
        <w:keepNext w:val="0"/>
        <w:keepLines w:val="0"/>
        <w:numPr>
          <w:ilvl w:val="2"/>
          <w:numId w:val="56"/>
        </w:numPr>
        <w:spacing w:before="0" w:line="276" w:lineRule="auto"/>
        <w:ind w:left="709"/>
        <w:jc w:val="both"/>
        <w:rPr>
          <w:rFonts w:ascii="Arial" w:hAnsi="Arial" w:cs="Arial"/>
          <w:b/>
          <w:i w:val="0"/>
          <w:color w:val="auto"/>
        </w:rPr>
      </w:pPr>
      <w:r w:rsidRPr="0047565B">
        <w:rPr>
          <w:rFonts w:ascii="Arial" w:hAnsi="Arial" w:cs="Arial"/>
          <w:b/>
          <w:i w:val="0"/>
          <w:color w:val="auto"/>
        </w:rPr>
        <w:t>Renovación parcial del parque automotor</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 xml:space="preserve">En 2017, se elaboró un estudio de costo beneficio para determinar la factibilidad de renovar el parque automotor de la Entidad, compuesto por 38 vehículos de modelos 1994, 2000 y 2009. De este estudio se concluyó el beneficio de reponer parcialmente el parque automotor, teniendo en cuenta el estado mecánico de los vehículos, el kilometraje y la proyección de costos de reparación, con base en los anteriores factores. Es así, que se decidió efectuar la baja de 17 vehículos y su reposición por vehículos nuevos. </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 xml:space="preserve">La compra de los nuevos vehículos se realizó a través del Acuerdo Marco de Vehículos CCE-312-1-AMP-2015, suscrito por Colombia Compra Eficiente, lo que permitió obtener precios favorables del mercado y la contratación del mantenimiento preventivo por el tiempo de garantía.  </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 xml:space="preserve">El destino final de los vehículos retirados del servicio a raíz de la llegada de los nuevos fue la venta por remate, a través del contrato suscrito con el intermediario idóneo para la venta </w:t>
      </w:r>
      <w:r w:rsidRPr="00FD14B5">
        <w:rPr>
          <w:rFonts w:ascii="Arial" w:hAnsi="Arial" w:cs="Arial"/>
        </w:rPr>
        <w:lastRenderedPageBreak/>
        <w:t xml:space="preserve">de este tipo de bienes, según lo indicado en el artículo 2.2.1.2.2.1.5 del Decreto 1082 de 2015, respecto de la selección del intermediario idóneo para la enajenación de bienes. </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A la fecha de corte del presente informe 16 de los 17 vehículos rematados fueron traspasados al nuevo propietario y uno solo de ellos, de placas OBH-619 no ha podido ser traspasado por tratarse de un vehículo blindado, cuyo traspaso requiere un estudio de seguridad por parte de la Superintendencia de Vigilancia y Seguridad privada al nuevo propietario, de conformidad con lo establecido en numeral 10 del artículo 12 de la Resolución 12379 de 2012, ante lo cual el IDU ya adelantó lo que le correspondía y los tiempos de espera son de 60 días hábiles.</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Así las cosas, el parque automotor se encuentra parcialmente renovado, disminuyendo los costos de mantenimiento, brindando servicio más eficiente, disminuyendo los tiempos que pasan los vehículos sin rodar por cuenta de las entradas al taller para reparaciones de tipo correctivo.</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Para las próximas vigencias se recomienda realizar un nuevo estudio de relación costo beneficio para culminar la renovación, en tanto que hay vehículos que superan los 220.000 kilómetros, su mantenimiento empieza a ser muy costoso y se presentan repetidas fallas que afectan la correcta prestación del servicio de transporte a todas las áreas del IDU.</w:t>
      </w:r>
    </w:p>
    <w:p w:rsidR="00FD14B5" w:rsidRPr="00FD14B5" w:rsidRDefault="00FD14B5" w:rsidP="00A73E59">
      <w:pPr>
        <w:spacing w:line="276" w:lineRule="auto"/>
        <w:jc w:val="both"/>
        <w:rPr>
          <w:rFonts w:ascii="Arial" w:hAnsi="Arial" w:cs="Arial"/>
        </w:rPr>
      </w:pPr>
    </w:p>
    <w:p w:rsidR="00FD14B5" w:rsidRPr="0047565B" w:rsidRDefault="00FD14B5" w:rsidP="00D0183B">
      <w:pPr>
        <w:pStyle w:val="Ttulo4"/>
        <w:keepNext w:val="0"/>
        <w:keepLines w:val="0"/>
        <w:numPr>
          <w:ilvl w:val="2"/>
          <w:numId w:val="56"/>
        </w:numPr>
        <w:spacing w:before="0" w:line="276" w:lineRule="auto"/>
        <w:ind w:left="709"/>
        <w:jc w:val="both"/>
        <w:rPr>
          <w:rFonts w:ascii="Arial" w:hAnsi="Arial" w:cs="Arial"/>
          <w:b/>
          <w:i w:val="0"/>
          <w:color w:val="auto"/>
        </w:rPr>
      </w:pPr>
      <w:r w:rsidRPr="0047565B">
        <w:rPr>
          <w:rFonts w:ascii="Arial" w:hAnsi="Arial" w:cs="Arial"/>
          <w:b/>
          <w:i w:val="0"/>
          <w:color w:val="auto"/>
        </w:rPr>
        <w:t>Impermeabilización de Terrazas</w:t>
      </w:r>
    </w:p>
    <w:p w:rsidR="00FD14B5" w:rsidRPr="00FD14B5" w:rsidRDefault="00FD14B5" w:rsidP="00A73E59">
      <w:pPr>
        <w:spacing w:line="276" w:lineRule="auto"/>
        <w:jc w:val="both"/>
        <w:rPr>
          <w:rFonts w:ascii="Arial" w:hAnsi="Arial" w:cs="Arial"/>
          <w:b/>
        </w:rPr>
      </w:pPr>
    </w:p>
    <w:p w:rsidR="00FD14B5" w:rsidRPr="00FD14B5" w:rsidRDefault="00FD14B5" w:rsidP="00A73E59">
      <w:pPr>
        <w:spacing w:line="276" w:lineRule="auto"/>
        <w:jc w:val="both"/>
        <w:rPr>
          <w:rFonts w:ascii="Arial" w:hAnsi="Arial" w:cs="Arial"/>
        </w:rPr>
      </w:pPr>
      <w:r w:rsidRPr="00FD14B5">
        <w:rPr>
          <w:rFonts w:ascii="Arial" w:hAnsi="Arial" w:cs="Arial"/>
        </w:rPr>
        <w:t>Mediante el contrato 1300-2018 se llevó a cabo la impermeabilización de las terrazas y cubiertas de las sedes propias del IDU las cuales tenían 10 años aproximadamente que no se les hacía mantenimiento (se cambió el mortero, la malla, manto y el piso, esto debido a las constantes filtraciones y que dicho trabajo ya había cumplido con su vida útil). Se recomienda seguir realizando mantenimientos preventivos anualmente para mantenerlas en condiciones adecuadas y así alargar su vida útil. Este contrato se ejecutó a satisfacción finalizando el 3 de septiembre de 2018.</w:t>
      </w:r>
    </w:p>
    <w:p w:rsidR="00FD14B5" w:rsidRPr="00FD14B5" w:rsidRDefault="00FD14B5" w:rsidP="00A73E59">
      <w:pPr>
        <w:spacing w:line="276" w:lineRule="auto"/>
        <w:jc w:val="both"/>
        <w:rPr>
          <w:rFonts w:ascii="Arial" w:hAnsi="Arial" w:cs="Arial"/>
        </w:rPr>
      </w:pPr>
    </w:p>
    <w:p w:rsidR="00FD14B5" w:rsidRPr="0047565B" w:rsidRDefault="00FD14B5" w:rsidP="00D0183B">
      <w:pPr>
        <w:pStyle w:val="Ttulo4"/>
        <w:keepNext w:val="0"/>
        <w:keepLines w:val="0"/>
        <w:numPr>
          <w:ilvl w:val="2"/>
          <w:numId w:val="56"/>
        </w:numPr>
        <w:spacing w:before="0" w:line="276" w:lineRule="auto"/>
        <w:ind w:left="709"/>
        <w:jc w:val="both"/>
        <w:rPr>
          <w:rFonts w:ascii="Arial" w:hAnsi="Arial" w:cs="Arial"/>
          <w:b/>
          <w:i w:val="0"/>
          <w:color w:val="auto"/>
        </w:rPr>
      </w:pPr>
      <w:r w:rsidRPr="0047565B">
        <w:rPr>
          <w:rFonts w:ascii="Arial" w:hAnsi="Arial" w:cs="Arial"/>
          <w:b/>
          <w:i w:val="0"/>
          <w:color w:val="auto"/>
        </w:rPr>
        <w:t>Instalación y adecuación de vestier y duchas para Biciusarios</w:t>
      </w:r>
    </w:p>
    <w:p w:rsidR="00FD14B5" w:rsidRPr="00FD14B5" w:rsidRDefault="00FD14B5" w:rsidP="00A73E59">
      <w:pPr>
        <w:spacing w:line="276" w:lineRule="auto"/>
        <w:jc w:val="both"/>
        <w:rPr>
          <w:rFonts w:ascii="Arial" w:hAnsi="Arial" w:cs="Arial"/>
          <w:b/>
        </w:rPr>
      </w:pPr>
    </w:p>
    <w:p w:rsidR="00FD14B5" w:rsidRPr="00FD14B5" w:rsidRDefault="00FD14B5" w:rsidP="00A73E59">
      <w:pPr>
        <w:spacing w:line="276" w:lineRule="auto"/>
        <w:jc w:val="both"/>
        <w:rPr>
          <w:rFonts w:ascii="Arial" w:hAnsi="Arial" w:cs="Arial"/>
        </w:rPr>
      </w:pPr>
      <w:r w:rsidRPr="00FD14B5">
        <w:rPr>
          <w:rFonts w:ascii="Arial" w:hAnsi="Arial" w:cs="Arial"/>
        </w:rPr>
        <w:t xml:space="preserve">Con el propósito de fomentar el uso de la bicicleta y medios alternativos de transporte entre funcionarios y colaboradores del IDU, se realizó la adecuación de espacios para vestieres y duchas eléctricas en el primer piso de la sede Calle 22, esto, tanto para el género </w:t>
      </w:r>
      <w:r w:rsidRPr="00FD14B5">
        <w:rPr>
          <w:rFonts w:ascii="Arial" w:hAnsi="Arial" w:cs="Arial"/>
        </w:rPr>
        <w:lastRenderedPageBreak/>
        <w:t>femenino como masculino. De esta manera, se propende por brindar espacios cómodos y adecuados que contribuyan con el bienestar de los funcionarios.</w:t>
      </w:r>
    </w:p>
    <w:p w:rsidR="00FD14B5" w:rsidRPr="00FD14B5" w:rsidRDefault="00FD14B5" w:rsidP="00A73E59">
      <w:pPr>
        <w:spacing w:line="276" w:lineRule="auto"/>
        <w:jc w:val="both"/>
        <w:rPr>
          <w:rFonts w:ascii="Arial" w:hAnsi="Arial" w:cs="Arial"/>
        </w:rPr>
      </w:pPr>
    </w:p>
    <w:p w:rsidR="00FD14B5" w:rsidRPr="00FD14B5" w:rsidRDefault="00FD14B5" w:rsidP="00A73E59">
      <w:pPr>
        <w:pStyle w:val="Descripcin"/>
        <w:spacing w:after="0"/>
        <w:rPr>
          <w:rFonts w:ascii="Arial" w:hAnsi="Arial" w:cs="Arial"/>
          <w:color w:val="auto"/>
        </w:rPr>
      </w:pPr>
      <w:bookmarkStart w:id="206" w:name="_Toc27665792"/>
      <w:r w:rsidRPr="00FD14B5">
        <w:rPr>
          <w:rFonts w:ascii="Arial" w:hAnsi="Arial" w:cs="Arial"/>
          <w:color w:val="auto"/>
        </w:rPr>
        <w:t>Vestieres y duchas acondicionadas en la sede Calle 22</w:t>
      </w:r>
      <w:bookmarkEnd w:id="206"/>
    </w:p>
    <w:p w:rsidR="00FD14B5" w:rsidRPr="00FD14B5" w:rsidRDefault="00FD14B5" w:rsidP="00A73E59">
      <w:pPr>
        <w:spacing w:line="240" w:lineRule="auto"/>
        <w:jc w:val="both"/>
        <w:rPr>
          <w:rFonts w:ascii="Arial" w:hAnsi="Arial" w:cs="Arial"/>
        </w:rPr>
      </w:pPr>
      <w:r w:rsidRPr="00FD14B5">
        <w:rPr>
          <w:rFonts w:ascii="Arial" w:hAnsi="Arial" w:cs="Arial"/>
          <w:noProof/>
          <w:lang w:eastAsia="es-CO"/>
        </w:rPr>
        <w:drawing>
          <wp:inline distT="0" distB="0" distL="0" distR="0" wp14:anchorId="143478FC" wp14:editId="3C121325">
            <wp:extent cx="1800860" cy="2726259"/>
            <wp:effectExtent l="0" t="0" r="8890" b="0"/>
            <wp:docPr id="141" name="Imagen 141" descr="C:\Users\Diana\AppData\Local\Microsoft\Windows\INetCache\Content.Word\USON6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iana\AppData\Local\Microsoft\Windows\INetCache\Content.Word\USON638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10291" cy="2740536"/>
                    </a:xfrm>
                    <a:prstGeom prst="rect">
                      <a:avLst/>
                    </a:prstGeom>
                    <a:noFill/>
                    <a:ln>
                      <a:noFill/>
                    </a:ln>
                  </pic:spPr>
                </pic:pic>
              </a:graphicData>
            </a:graphic>
          </wp:inline>
        </w:drawing>
      </w:r>
      <w:r w:rsidRPr="00FD14B5">
        <w:rPr>
          <w:rFonts w:ascii="Arial" w:hAnsi="Arial" w:cs="Arial"/>
          <w:noProof/>
          <w:lang w:eastAsia="es-CO"/>
        </w:rPr>
        <w:drawing>
          <wp:inline distT="0" distB="0" distL="0" distR="0" wp14:anchorId="1C7543BE" wp14:editId="59B48692">
            <wp:extent cx="1896110" cy="2727537"/>
            <wp:effectExtent l="0" t="0" r="8890" b="0"/>
            <wp:docPr id="142" name="Imagen 142" descr="C:\Users\Diana\AppData\Local\Microsoft\Windows\INetCache\Content.Word\EMRA5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iana\AppData\Local\Microsoft\Windows\INetCache\Content.Word\EMRA533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05121" cy="2740499"/>
                    </a:xfrm>
                    <a:prstGeom prst="rect">
                      <a:avLst/>
                    </a:prstGeom>
                    <a:noFill/>
                    <a:ln>
                      <a:noFill/>
                    </a:ln>
                  </pic:spPr>
                </pic:pic>
              </a:graphicData>
            </a:graphic>
          </wp:inline>
        </w:drawing>
      </w:r>
      <w:r w:rsidRPr="00FD14B5">
        <w:rPr>
          <w:rFonts w:ascii="Arial" w:hAnsi="Arial" w:cs="Arial"/>
          <w:noProof/>
          <w:lang w:eastAsia="es-CO"/>
        </w:rPr>
        <w:t xml:space="preserve"> </w:t>
      </w:r>
      <w:r w:rsidRPr="00FD14B5">
        <w:rPr>
          <w:rFonts w:ascii="Arial" w:hAnsi="Arial" w:cs="Arial"/>
          <w:noProof/>
          <w:lang w:eastAsia="es-CO"/>
        </w:rPr>
        <w:drawing>
          <wp:inline distT="0" distB="0" distL="0" distR="0" wp14:anchorId="7D9B71DE" wp14:editId="4F6C41E4">
            <wp:extent cx="1823061" cy="2717800"/>
            <wp:effectExtent l="0" t="0" r="6350" b="6350"/>
            <wp:docPr id="143" name="Imagen 143" descr="C:\Users\Diana\AppData\Local\Microsoft\Windows\INetCache\Content.Word\YBZB1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iana\AppData\Local\Microsoft\Windows\INetCache\Content.Word\YBZB196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39029" cy="2741605"/>
                    </a:xfrm>
                    <a:prstGeom prst="rect">
                      <a:avLst/>
                    </a:prstGeom>
                    <a:noFill/>
                    <a:ln>
                      <a:noFill/>
                    </a:ln>
                  </pic:spPr>
                </pic:pic>
              </a:graphicData>
            </a:graphic>
          </wp:inline>
        </w:drawing>
      </w:r>
    </w:p>
    <w:p w:rsidR="00FD14B5" w:rsidRPr="00FD14B5" w:rsidRDefault="00FD14B5" w:rsidP="00A73E59">
      <w:pPr>
        <w:spacing w:line="240" w:lineRule="auto"/>
        <w:ind w:right="49"/>
        <w:jc w:val="both"/>
        <w:rPr>
          <w:rFonts w:ascii="Arial" w:hAnsi="Arial" w:cs="Arial"/>
          <w:sz w:val="20"/>
          <w:lang w:val="es-ES"/>
        </w:rPr>
      </w:pPr>
      <w:r w:rsidRPr="00FD14B5">
        <w:rPr>
          <w:rFonts w:ascii="Arial" w:hAnsi="Arial" w:cs="Arial"/>
          <w:sz w:val="20"/>
          <w:lang w:val="es-ES"/>
        </w:rPr>
        <w:t>Fuente: Subdirección Técnica de Recursos Físicos</w:t>
      </w:r>
    </w:p>
    <w:p w:rsidR="00FD14B5" w:rsidRPr="00FD14B5" w:rsidRDefault="00FD14B5" w:rsidP="00A73E59">
      <w:pPr>
        <w:spacing w:line="240" w:lineRule="auto"/>
        <w:ind w:right="49"/>
        <w:jc w:val="both"/>
        <w:rPr>
          <w:rFonts w:ascii="Arial" w:hAnsi="Arial" w:cs="Arial"/>
          <w:lang w:val="es-ES"/>
        </w:rPr>
      </w:pPr>
    </w:p>
    <w:p w:rsidR="00FD14B5" w:rsidRPr="0047565B" w:rsidRDefault="00FD14B5" w:rsidP="00D0183B">
      <w:pPr>
        <w:pStyle w:val="Ttulo4"/>
        <w:keepNext w:val="0"/>
        <w:keepLines w:val="0"/>
        <w:numPr>
          <w:ilvl w:val="2"/>
          <w:numId w:val="56"/>
        </w:numPr>
        <w:spacing w:before="0" w:line="276" w:lineRule="auto"/>
        <w:ind w:left="709"/>
        <w:jc w:val="both"/>
        <w:rPr>
          <w:rFonts w:ascii="Arial" w:hAnsi="Arial" w:cs="Arial"/>
          <w:b/>
          <w:i w:val="0"/>
          <w:color w:val="auto"/>
        </w:rPr>
      </w:pPr>
      <w:r w:rsidRPr="0047565B">
        <w:rPr>
          <w:rFonts w:ascii="Arial" w:hAnsi="Arial" w:cs="Arial"/>
          <w:b/>
          <w:i w:val="0"/>
          <w:color w:val="auto"/>
        </w:rPr>
        <w:t xml:space="preserve">Telefonía IP </w:t>
      </w:r>
    </w:p>
    <w:p w:rsidR="00FD14B5" w:rsidRPr="00FD14B5" w:rsidRDefault="00FD14B5" w:rsidP="00A73E59">
      <w:pPr>
        <w:spacing w:line="276" w:lineRule="auto"/>
        <w:ind w:right="49"/>
        <w:jc w:val="both"/>
        <w:rPr>
          <w:rFonts w:ascii="Arial" w:hAnsi="Arial" w:cs="Arial"/>
          <w:b/>
          <w:lang w:val="es-ES"/>
        </w:rPr>
      </w:pPr>
    </w:p>
    <w:p w:rsidR="00FD14B5" w:rsidRPr="00FD14B5" w:rsidRDefault="00FD14B5" w:rsidP="00A73E59">
      <w:pPr>
        <w:spacing w:line="276" w:lineRule="auto"/>
        <w:jc w:val="both"/>
        <w:rPr>
          <w:rFonts w:ascii="Arial" w:hAnsi="Arial" w:cs="Arial"/>
        </w:rPr>
      </w:pPr>
      <w:r w:rsidRPr="00FD14B5">
        <w:rPr>
          <w:rFonts w:ascii="Arial" w:hAnsi="Arial" w:cs="Arial"/>
        </w:rPr>
        <w:t>Mediante contrato interadministrativo 1527 de 2018, suscrito con la Empresa de Telecomunicaciones de Bogotá - ETB, se llevó a cabo la adquisición de teléfonos IP compatibles con el IP Centrex contratado como solución de voz IP en la nube, configurados e instalados en las sedes del IDU en el mes de marzo. Actualmente se encuentra en etapa de garantía.</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p>
    <w:p w:rsidR="00FD14B5" w:rsidRPr="0047565B" w:rsidRDefault="00FD14B5" w:rsidP="00D0183B">
      <w:pPr>
        <w:pStyle w:val="Ttulo2"/>
        <w:numPr>
          <w:ilvl w:val="1"/>
          <w:numId w:val="56"/>
        </w:numPr>
        <w:spacing w:line="276" w:lineRule="auto"/>
        <w:jc w:val="both"/>
        <w:rPr>
          <w:sz w:val="22"/>
        </w:rPr>
      </w:pPr>
      <w:bookmarkStart w:id="207" w:name="_Toc27665285"/>
      <w:bookmarkStart w:id="208" w:name="_Toc30774651"/>
      <w:r w:rsidRPr="0047565B">
        <w:rPr>
          <w:sz w:val="22"/>
        </w:rPr>
        <w:t>RECURSOS TECNOLÓGICOS</w:t>
      </w:r>
      <w:bookmarkEnd w:id="207"/>
      <w:bookmarkEnd w:id="208"/>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La Subdirección Técnica de Recursos Tecnológicos establece su gestión en el Plan Estratégico de Tecnologías de la Información y las comunicaciones – PETI, cuyo objetivo es servir como instrumento metodológico para formular las estrategias de las tecnologías de la información, para garantizar que la Entidad cumpla los programas planes y proyectos institucionales, en el marco del Plan de Desarrollo de la ciudad.</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lastRenderedPageBreak/>
        <w:t>El modelo de operación del IDU es altamente dependiente del componente tecnológico, principalmente por los servicios que se prestan a ciudadanía, que es el eje central sobre el cual gira la misión de la Entidad, por lo que se establecen líneas de acción, que permiten garantizar la continuidad de la operación, aún en caso de fallas que afecten su prestación continúa.</w:t>
      </w:r>
    </w:p>
    <w:p w:rsidR="00FD14B5" w:rsidRPr="00FD14B5" w:rsidRDefault="00FD14B5" w:rsidP="00A73E59">
      <w:pPr>
        <w:pStyle w:val="Ttulo3"/>
        <w:spacing w:line="276" w:lineRule="auto"/>
        <w:jc w:val="both"/>
        <w:rPr>
          <w:rFonts w:ascii="Arial" w:hAnsi="Arial" w:cs="Arial"/>
          <w:b/>
          <w:color w:val="auto"/>
        </w:rPr>
      </w:pPr>
      <w:bookmarkStart w:id="209" w:name="_Toc441046713"/>
      <w:bookmarkStart w:id="210" w:name="_Toc441478579"/>
      <w:bookmarkStart w:id="211" w:name="_Toc441480209"/>
    </w:p>
    <w:p w:rsidR="00FD14B5" w:rsidRPr="0047565B" w:rsidRDefault="00FD14B5" w:rsidP="00A73E59">
      <w:pPr>
        <w:spacing w:line="276" w:lineRule="auto"/>
        <w:jc w:val="both"/>
        <w:rPr>
          <w:rFonts w:ascii="Arial" w:hAnsi="Arial" w:cs="Arial"/>
          <w:b/>
        </w:rPr>
      </w:pPr>
    </w:p>
    <w:p w:rsidR="00FD14B5" w:rsidRPr="0047565B" w:rsidRDefault="0047565B" w:rsidP="00D0183B">
      <w:pPr>
        <w:pStyle w:val="Ttulo3"/>
        <w:keepNext w:val="0"/>
        <w:keepLines w:val="0"/>
        <w:numPr>
          <w:ilvl w:val="2"/>
          <w:numId w:val="56"/>
        </w:numPr>
        <w:spacing w:before="0" w:line="276" w:lineRule="auto"/>
        <w:jc w:val="both"/>
        <w:rPr>
          <w:rFonts w:ascii="Arial" w:hAnsi="Arial" w:cs="Arial"/>
          <w:b/>
          <w:color w:val="auto"/>
        </w:rPr>
      </w:pPr>
      <w:bookmarkStart w:id="212" w:name="_Toc27665286"/>
      <w:bookmarkStart w:id="213" w:name="_Toc30774652"/>
      <w:r w:rsidRPr="0047565B">
        <w:rPr>
          <w:rFonts w:ascii="Arial" w:hAnsi="Arial" w:cs="Arial"/>
          <w:b/>
          <w:color w:val="auto"/>
        </w:rPr>
        <w:t>Actividades Estratégicas</w:t>
      </w:r>
      <w:bookmarkEnd w:id="209"/>
      <w:bookmarkEnd w:id="210"/>
      <w:bookmarkEnd w:id="211"/>
      <w:bookmarkEnd w:id="212"/>
      <w:bookmarkEnd w:id="213"/>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Las actividades estratégicas definidas en el PETI, comprenden el análisis del modelo operativo y organizacional de la Entidad, plasman las necesidades de información y la alineación de T.I con los procesos de negocio institucionales, en ese orden de ideas para la presente vigencia se definieron los siguientes proyectos:</w:t>
      </w:r>
    </w:p>
    <w:p w:rsidR="00FD14B5" w:rsidRPr="00FD14B5" w:rsidRDefault="00FD14B5" w:rsidP="00A73E59">
      <w:pPr>
        <w:spacing w:line="276" w:lineRule="auto"/>
        <w:jc w:val="both"/>
        <w:rPr>
          <w:rFonts w:ascii="Arial" w:hAnsi="Arial" w:cs="Arial"/>
        </w:rPr>
      </w:pPr>
    </w:p>
    <w:p w:rsidR="00FD14B5" w:rsidRPr="00FD14B5" w:rsidRDefault="00FD14B5" w:rsidP="00A73E59">
      <w:pPr>
        <w:pStyle w:val="Descripcin"/>
        <w:spacing w:after="0" w:line="276" w:lineRule="auto"/>
        <w:rPr>
          <w:rFonts w:ascii="Arial" w:hAnsi="Arial" w:cs="Arial"/>
          <w:color w:val="auto"/>
        </w:rPr>
      </w:pPr>
      <w:bookmarkStart w:id="214" w:name="_Toc27665416"/>
      <w:r w:rsidRPr="00FD14B5">
        <w:rPr>
          <w:rFonts w:ascii="Arial" w:hAnsi="Arial" w:cs="Arial"/>
          <w:color w:val="auto"/>
        </w:rPr>
        <w:t>Proyectos PETI</w:t>
      </w:r>
      <w:bookmarkEnd w:id="214"/>
      <w:r w:rsidRPr="00FD14B5">
        <w:rPr>
          <w:rFonts w:ascii="Arial" w:hAnsi="Arial" w:cs="Arial"/>
          <w:color w:val="auto"/>
        </w:rPr>
        <w:t xml:space="preserve"> </w:t>
      </w:r>
    </w:p>
    <w:tbl>
      <w:tblPr>
        <w:tblStyle w:val="Tabladecuadrcula6concolores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5"/>
        <w:gridCol w:w="3402"/>
        <w:gridCol w:w="1305"/>
        <w:gridCol w:w="1460"/>
        <w:gridCol w:w="1336"/>
      </w:tblGrid>
      <w:tr w:rsidR="00FD14B5" w:rsidRPr="00FD14B5" w:rsidTr="00B85448">
        <w:trPr>
          <w:cnfStyle w:val="100000000000" w:firstRow="1" w:lastRow="0" w:firstColumn="0" w:lastColumn="0" w:oddVBand="0" w:evenVBand="0" w:oddHBand="0" w:evenHBand="0" w:firstRowFirstColumn="0" w:firstRowLastColumn="0" w:lastRowFirstColumn="0" w:lastRowLastColumn="0"/>
          <w:trHeight w:val="561"/>
          <w:jc w:val="center"/>
        </w:trPr>
        <w:tc>
          <w:tcPr>
            <w:cnfStyle w:val="001000000000" w:firstRow="0" w:lastRow="0" w:firstColumn="1" w:lastColumn="0" w:oddVBand="0" w:evenVBand="0" w:oddHBand="0" w:evenHBand="0" w:firstRowFirstColumn="0" w:firstRowLastColumn="0" w:lastRowFirstColumn="0" w:lastRowLastColumn="0"/>
            <w:tcW w:w="1129" w:type="dxa"/>
            <w:shd w:val="clear" w:color="auto" w:fill="BDD6EE" w:themeFill="accent1" w:themeFillTint="66"/>
            <w:vAlign w:val="center"/>
            <w:hideMark/>
          </w:tcPr>
          <w:p w:rsidR="00FD14B5" w:rsidRPr="00FD14B5" w:rsidRDefault="00FD14B5" w:rsidP="00A73E59">
            <w:pPr>
              <w:spacing w:after="160" w:line="276" w:lineRule="auto"/>
              <w:jc w:val="both"/>
              <w:rPr>
                <w:rFonts w:ascii="Arial" w:eastAsia="Calibri" w:hAnsi="Arial" w:cs="Arial"/>
                <w:color w:val="auto"/>
                <w:sz w:val="18"/>
                <w:szCs w:val="18"/>
              </w:rPr>
            </w:pPr>
            <w:r w:rsidRPr="00FD14B5">
              <w:rPr>
                <w:rFonts w:ascii="Arial" w:hAnsi="Arial" w:cs="Arial"/>
                <w:color w:val="auto"/>
                <w:sz w:val="18"/>
                <w:szCs w:val="18"/>
              </w:rPr>
              <w:t>Id</w:t>
            </w:r>
          </w:p>
        </w:tc>
        <w:tc>
          <w:tcPr>
            <w:tcW w:w="3544" w:type="dxa"/>
            <w:shd w:val="clear" w:color="auto" w:fill="BDD6EE" w:themeFill="accent1" w:themeFillTint="66"/>
            <w:vAlign w:val="center"/>
            <w:hideMark/>
          </w:tcPr>
          <w:p w:rsidR="00FD14B5" w:rsidRPr="00FD14B5" w:rsidRDefault="00FD14B5" w:rsidP="00A73E59">
            <w:pPr>
              <w:spacing w:after="160" w:line="276"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Nombre</w:t>
            </w:r>
          </w:p>
        </w:tc>
        <w:tc>
          <w:tcPr>
            <w:tcW w:w="1319" w:type="dxa"/>
            <w:shd w:val="clear" w:color="auto" w:fill="BDD6EE" w:themeFill="accent1" w:themeFillTint="66"/>
            <w:vAlign w:val="center"/>
            <w:hideMark/>
          </w:tcPr>
          <w:p w:rsidR="00FD14B5" w:rsidRPr="00FD14B5" w:rsidRDefault="00FD14B5" w:rsidP="00A73E59">
            <w:pPr>
              <w:spacing w:after="160" w:line="276"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Fecha de Inicio</w:t>
            </w:r>
          </w:p>
        </w:tc>
        <w:tc>
          <w:tcPr>
            <w:tcW w:w="1476" w:type="dxa"/>
            <w:shd w:val="clear" w:color="auto" w:fill="BDD6EE" w:themeFill="accent1" w:themeFillTint="66"/>
            <w:vAlign w:val="center"/>
            <w:hideMark/>
          </w:tcPr>
          <w:p w:rsidR="00FD14B5" w:rsidRPr="00FD14B5" w:rsidRDefault="00FD14B5" w:rsidP="00A73E59">
            <w:pPr>
              <w:spacing w:after="160" w:line="276"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Fecha de Finalización</w:t>
            </w:r>
          </w:p>
        </w:tc>
        <w:tc>
          <w:tcPr>
            <w:tcW w:w="1360" w:type="dxa"/>
            <w:shd w:val="clear" w:color="auto" w:fill="BDD6EE" w:themeFill="accent1" w:themeFillTint="66"/>
            <w:vAlign w:val="center"/>
            <w:hideMark/>
          </w:tcPr>
          <w:p w:rsidR="00FD14B5" w:rsidRPr="00FD14B5" w:rsidRDefault="00FD14B5" w:rsidP="00A73E59">
            <w:pPr>
              <w:spacing w:after="160" w:line="276"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Progreso (%)</w:t>
            </w:r>
          </w:p>
        </w:tc>
      </w:tr>
      <w:tr w:rsidR="00FD14B5" w:rsidRPr="00FD14B5" w:rsidTr="00B85448">
        <w:trPr>
          <w:cnfStyle w:val="000000100000" w:firstRow="0" w:lastRow="0" w:firstColumn="0" w:lastColumn="0" w:oddVBand="0" w:evenVBand="0" w:oddHBand="1"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1129" w:type="dxa"/>
            <w:shd w:val="clear" w:color="auto" w:fill="auto"/>
            <w:hideMark/>
          </w:tcPr>
          <w:p w:rsidR="00FD14B5" w:rsidRPr="00FD14B5" w:rsidRDefault="00FD14B5" w:rsidP="00A73E59">
            <w:pPr>
              <w:spacing w:after="160"/>
              <w:jc w:val="both"/>
              <w:rPr>
                <w:rFonts w:ascii="Arial" w:hAnsi="Arial" w:cs="Arial"/>
                <w:color w:val="auto"/>
                <w:sz w:val="18"/>
                <w:szCs w:val="18"/>
              </w:rPr>
            </w:pPr>
            <w:r w:rsidRPr="00FD14B5">
              <w:rPr>
                <w:rFonts w:ascii="Arial" w:hAnsi="Arial" w:cs="Arial"/>
                <w:color w:val="auto"/>
                <w:sz w:val="18"/>
                <w:szCs w:val="18"/>
              </w:rPr>
              <w:t>1.1</w:t>
            </w:r>
          </w:p>
        </w:tc>
        <w:tc>
          <w:tcPr>
            <w:tcW w:w="3544"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Implementación y operación de los S.G</w:t>
            </w:r>
          </w:p>
        </w:tc>
        <w:tc>
          <w:tcPr>
            <w:tcW w:w="1319"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28/01/2019</w:t>
            </w:r>
          </w:p>
        </w:tc>
        <w:tc>
          <w:tcPr>
            <w:tcW w:w="1476"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31/12/2019</w:t>
            </w:r>
          </w:p>
        </w:tc>
        <w:tc>
          <w:tcPr>
            <w:tcW w:w="1360"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90</w:t>
            </w:r>
          </w:p>
        </w:tc>
      </w:tr>
      <w:tr w:rsidR="00FD14B5" w:rsidRPr="00FD14B5" w:rsidTr="00B85448">
        <w:trPr>
          <w:trHeight w:val="300"/>
          <w:jc w:val="center"/>
        </w:trPr>
        <w:tc>
          <w:tcPr>
            <w:cnfStyle w:val="001000000000" w:firstRow="0" w:lastRow="0" w:firstColumn="1" w:lastColumn="0" w:oddVBand="0" w:evenVBand="0" w:oddHBand="0" w:evenHBand="0" w:firstRowFirstColumn="0" w:firstRowLastColumn="0" w:lastRowFirstColumn="0" w:lastRowLastColumn="0"/>
            <w:tcW w:w="1129" w:type="dxa"/>
            <w:shd w:val="clear" w:color="auto" w:fill="auto"/>
            <w:hideMark/>
          </w:tcPr>
          <w:p w:rsidR="00FD14B5" w:rsidRPr="00FD14B5" w:rsidRDefault="00FD14B5" w:rsidP="00A73E59">
            <w:pPr>
              <w:spacing w:after="160"/>
              <w:ind w:left="708"/>
              <w:jc w:val="both"/>
              <w:rPr>
                <w:rFonts w:ascii="Arial" w:hAnsi="Arial" w:cs="Arial"/>
                <w:color w:val="auto"/>
                <w:sz w:val="18"/>
                <w:szCs w:val="18"/>
              </w:rPr>
            </w:pPr>
            <w:r w:rsidRPr="00FD14B5">
              <w:rPr>
                <w:rFonts w:ascii="Arial" w:hAnsi="Arial" w:cs="Arial"/>
                <w:color w:val="auto"/>
                <w:sz w:val="18"/>
                <w:szCs w:val="18"/>
              </w:rPr>
              <w:t>1.1.1</w:t>
            </w:r>
          </w:p>
        </w:tc>
        <w:tc>
          <w:tcPr>
            <w:tcW w:w="3544"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Certificación de la Norma ISO 27001:2013</w:t>
            </w:r>
          </w:p>
        </w:tc>
        <w:tc>
          <w:tcPr>
            <w:tcW w:w="1319"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28/01/2019</w:t>
            </w:r>
          </w:p>
        </w:tc>
        <w:tc>
          <w:tcPr>
            <w:tcW w:w="1476"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31/12/2019</w:t>
            </w:r>
          </w:p>
        </w:tc>
        <w:tc>
          <w:tcPr>
            <w:tcW w:w="1360"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90</w:t>
            </w:r>
          </w:p>
        </w:tc>
      </w:tr>
      <w:tr w:rsidR="00FD14B5" w:rsidRPr="00FD14B5" w:rsidTr="00B854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29" w:type="dxa"/>
            <w:shd w:val="clear" w:color="auto" w:fill="auto"/>
            <w:hideMark/>
          </w:tcPr>
          <w:p w:rsidR="00FD14B5" w:rsidRPr="00FD14B5" w:rsidRDefault="00FD14B5" w:rsidP="00A73E59">
            <w:pPr>
              <w:spacing w:after="160"/>
              <w:jc w:val="both"/>
              <w:rPr>
                <w:rFonts w:ascii="Arial" w:hAnsi="Arial" w:cs="Arial"/>
                <w:color w:val="auto"/>
                <w:sz w:val="18"/>
                <w:szCs w:val="18"/>
              </w:rPr>
            </w:pPr>
            <w:r w:rsidRPr="00FD14B5">
              <w:rPr>
                <w:rFonts w:ascii="Arial" w:hAnsi="Arial" w:cs="Arial"/>
                <w:color w:val="auto"/>
                <w:sz w:val="18"/>
                <w:szCs w:val="18"/>
              </w:rPr>
              <w:t>1.2</w:t>
            </w:r>
          </w:p>
        </w:tc>
        <w:tc>
          <w:tcPr>
            <w:tcW w:w="3544"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Desarrollar, mantener y mejorar Software</w:t>
            </w:r>
          </w:p>
        </w:tc>
        <w:tc>
          <w:tcPr>
            <w:tcW w:w="1319"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04/02/2019</w:t>
            </w:r>
          </w:p>
        </w:tc>
        <w:tc>
          <w:tcPr>
            <w:tcW w:w="1476"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19/03/2020</w:t>
            </w:r>
          </w:p>
        </w:tc>
        <w:tc>
          <w:tcPr>
            <w:tcW w:w="1360"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69</w:t>
            </w:r>
          </w:p>
        </w:tc>
      </w:tr>
      <w:tr w:rsidR="00FD14B5" w:rsidRPr="00FD14B5" w:rsidTr="00B85448">
        <w:trPr>
          <w:trHeight w:val="600"/>
          <w:jc w:val="center"/>
        </w:trPr>
        <w:tc>
          <w:tcPr>
            <w:cnfStyle w:val="001000000000" w:firstRow="0" w:lastRow="0" w:firstColumn="1" w:lastColumn="0" w:oddVBand="0" w:evenVBand="0" w:oddHBand="0" w:evenHBand="0" w:firstRowFirstColumn="0" w:firstRowLastColumn="0" w:lastRowFirstColumn="0" w:lastRowLastColumn="0"/>
            <w:tcW w:w="1129" w:type="dxa"/>
            <w:shd w:val="clear" w:color="auto" w:fill="auto"/>
            <w:hideMark/>
          </w:tcPr>
          <w:p w:rsidR="00FD14B5" w:rsidRPr="00FD14B5" w:rsidRDefault="00FD14B5" w:rsidP="00A73E59">
            <w:pPr>
              <w:spacing w:after="160"/>
              <w:ind w:left="708"/>
              <w:jc w:val="both"/>
              <w:rPr>
                <w:rFonts w:ascii="Arial" w:hAnsi="Arial" w:cs="Arial"/>
                <w:color w:val="auto"/>
                <w:sz w:val="18"/>
                <w:szCs w:val="18"/>
              </w:rPr>
            </w:pPr>
            <w:r w:rsidRPr="00FD14B5">
              <w:rPr>
                <w:rFonts w:ascii="Arial" w:hAnsi="Arial" w:cs="Arial"/>
                <w:color w:val="auto"/>
                <w:sz w:val="18"/>
                <w:szCs w:val="18"/>
              </w:rPr>
              <w:t>1.2.1</w:t>
            </w:r>
          </w:p>
        </w:tc>
        <w:tc>
          <w:tcPr>
            <w:tcW w:w="3544"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Automatización y publicación de información de SIIPVIALES</w:t>
            </w:r>
          </w:p>
        </w:tc>
        <w:tc>
          <w:tcPr>
            <w:tcW w:w="1319"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14/03/2019</w:t>
            </w:r>
          </w:p>
        </w:tc>
        <w:tc>
          <w:tcPr>
            <w:tcW w:w="1476"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08/11/2019</w:t>
            </w:r>
          </w:p>
        </w:tc>
        <w:tc>
          <w:tcPr>
            <w:tcW w:w="1360"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95</w:t>
            </w:r>
          </w:p>
        </w:tc>
      </w:tr>
      <w:tr w:rsidR="00FD14B5" w:rsidRPr="00FD14B5" w:rsidTr="00B85448">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129" w:type="dxa"/>
            <w:shd w:val="clear" w:color="auto" w:fill="auto"/>
            <w:hideMark/>
          </w:tcPr>
          <w:p w:rsidR="00FD14B5" w:rsidRPr="00FD14B5" w:rsidRDefault="00FD14B5" w:rsidP="00A73E59">
            <w:pPr>
              <w:spacing w:after="160"/>
              <w:ind w:left="708"/>
              <w:jc w:val="both"/>
              <w:rPr>
                <w:rFonts w:ascii="Arial" w:hAnsi="Arial" w:cs="Arial"/>
                <w:color w:val="auto"/>
                <w:sz w:val="18"/>
                <w:szCs w:val="18"/>
              </w:rPr>
            </w:pPr>
            <w:r w:rsidRPr="00FD14B5">
              <w:rPr>
                <w:rFonts w:ascii="Arial" w:hAnsi="Arial" w:cs="Arial"/>
                <w:color w:val="auto"/>
                <w:sz w:val="18"/>
                <w:szCs w:val="18"/>
              </w:rPr>
              <w:t>1.2.2</w:t>
            </w:r>
          </w:p>
        </w:tc>
        <w:tc>
          <w:tcPr>
            <w:tcW w:w="3544"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Implementación de una solución institucional de control de identidades</w:t>
            </w:r>
          </w:p>
        </w:tc>
        <w:tc>
          <w:tcPr>
            <w:tcW w:w="1319"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27/03/2019</w:t>
            </w:r>
          </w:p>
        </w:tc>
        <w:tc>
          <w:tcPr>
            <w:tcW w:w="1476"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19/03/2020</w:t>
            </w:r>
          </w:p>
        </w:tc>
        <w:tc>
          <w:tcPr>
            <w:tcW w:w="1360"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51</w:t>
            </w:r>
          </w:p>
        </w:tc>
      </w:tr>
      <w:tr w:rsidR="00FD14B5" w:rsidRPr="00FD14B5" w:rsidTr="00B85448">
        <w:trPr>
          <w:trHeight w:val="373"/>
          <w:jc w:val="center"/>
        </w:trPr>
        <w:tc>
          <w:tcPr>
            <w:cnfStyle w:val="001000000000" w:firstRow="0" w:lastRow="0" w:firstColumn="1" w:lastColumn="0" w:oddVBand="0" w:evenVBand="0" w:oddHBand="0" w:evenHBand="0" w:firstRowFirstColumn="0" w:firstRowLastColumn="0" w:lastRowFirstColumn="0" w:lastRowLastColumn="0"/>
            <w:tcW w:w="1129" w:type="dxa"/>
            <w:shd w:val="clear" w:color="auto" w:fill="auto"/>
            <w:hideMark/>
          </w:tcPr>
          <w:p w:rsidR="00FD14B5" w:rsidRPr="00FD14B5" w:rsidRDefault="00FD14B5" w:rsidP="00A73E59">
            <w:pPr>
              <w:spacing w:after="160"/>
              <w:ind w:left="708"/>
              <w:jc w:val="both"/>
              <w:rPr>
                <w:rFonts w:ascii="Arial" w:hAnsi="Arial" w:cs="Arial"/>
                <w:color w:val="auto"/>
                <w:sz w:val="18"/>
                <w:szCs w:val="18"/>
              </w:rPr>
            </w:pPr>
            <w:r w:rsidRPr="00FD14B5">
              <w:rPr>
                <w:rFonts w:ascii="Arial" w:hAnsi="Arial" w:cs="Arial"/>
                <w:color w:val="auto"/>
                <w:sz w:val="18"/>
                <w:szCs w:val="18"/>
              </w:rPr>
              <w:t>1.2.3</w:t>
            </w:r>
          </w:p>
        </w:tc>
        <w:tc>
          <w:tcPr>
            <w:tcW w:w="3544"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Sistema de Información Gestión Predial</w:t>
            </w:r>
          </w:p>
        </w:tc>
        <w:tc>
          <w:tcPr>
            <w:tcW w:w="1319"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04/02/2019</w:t>
            </w:r>
          </w:p>
        </w:tc>
        <w:tc>
          <w:tcPr>
            <w:tcW w:w="1476"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30/12/2019</w:t>
            </w:r>
          </w:p>
        </w:tc>
        <w:tc>
          <w:tcPr>
            <w:tcW w:w="1360"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75</w:t>
            </w:r>
          </w:p>
        </w:tc>
      </w:tr>
      <w:tr w:rsidR="00FD14B5" w:rsidRPr="00FD14B5" w:rsidTr="00B854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29" w:type="dxa"/>
            <w:shd w:val="clear" w:color="auto" w:fill="auto"/>
            <w:hideMark/>
          </w:tcPr>
          <w:p w:rsidR="00FD14B5" w:rsidRPr="00FD14B5" w:rsidRDefault="00FD14B5" w:rsidP="00A73E59">
            <w:pPr>
              <w:spacing w:after="160"/>
              <w:ind w:left="708"/>
              <w:jc w:val="both"/>
              <w:rPr>
                <w:rFonts w:ascii="Arial" w:hAnsi="Arial" w:cs="Arial"/>
                <w:color w:val="auto"/>
                <w:sz w:val="18"/>
                <w:szCs w:val="18"/>
              </w:rPr>
            </w:pPr>
            <w:r w:rsidRPr="00FD14B5">
              <w:rPr>
                <w:rFonts w:ascii="Arial" w:hAnsi="Arial" w:cs="Arial"/>
                <w:color w:val="auto"/>
                <w:sz w:val="18"/>
                <w:szCs w:val="18"/>
              </w:rPr>
              <w:t>1.2.4</w:t>
            </w:r>
          </w:p>
        </w:tc>
        <w:tc>
          <w:tcPr>
            <w:tcW w:w="3544"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Nuevo Sistema de Gestión Documental Orfeo</w:t>
            </w:r>
          </w:p>
        </w:tc>
        <w:tc>
          <w:tcPr>
            <w:tcW w:w="1319"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28/10/2019</w:t>
            </w:r>
          </w:p>
        </w:tc>
        <w:tc>
          <w:tcPr>
            <w:tcW w:w="1476"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13/11/2019</w:t>
            </w:r>
          </w:p>
        </w:tc>
        <w:tc>
          <w:tcPr>
            <w:tcW w:w="1360"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45</w:t>
            </w:r>
          </w:p>
        </w:tc>
      </w:tr>
      <w:tr w:rsidR="00FD14B5" w:rsidRPr="00FD14B5" w:rsidTr="00B85448">
        <w:trPr>
          <w:trHeight w:val="600"/>
          <w:jc w:val="center"/>
        </w:trPr>
        <w:tc>
          <w:tcPr>
            <w:cnfStyle w:val="001000000000" w:firstRow="0" w:lastRow="0" w:firstColumn="1" w:lastColumn="0" w:oddVBand="0" w:evenVBand="0" w:oddHBand="0" w:evenHBand="0" w:firstRowFirstColumn="0" w:firstRowLastColumn="0" w:lastRowFirstColumn="0" w:lastRowLastColumn="0"/>
            <w:tcW w:w="1129" w:type="dxa"/>
            <w:shd w:val="clear" w:color="auto" w:fill="auto"/>
            <w:hideMark/>
          </w:tcPr>
          <w:p w:rsidR="00FD14B5" w:rsidRPr="00FD14B5" w:rsidRDefault="00FD14B5" w:rsidP="00A73E59">
            <w:pPr>
              <w:spacing w:after="160"/>
              <w:jc w:val="both"/>
              <w:rPr>
                <w:rFonts w:ascii="Arial" w:hAnsi="Arial" w:cs="Arial"/>
                <w:color w:val="auto"/>
                <w:sz w:val="18"/>
                <w:szCs w:val="18"/>
              </w:rPr>
            </w:pPr>
            <w:r w:rsidRPr="00FD14B5">
              <w:rPr>
                <w:rFonts w:ascii="Arial" w:hAnsi="Arial" w:cs="Arial"/>
                <w:color w:val="auto"/>
                <w:sz w:val="18"/>
                <w:szCs w:val="18"/>
              </w:rPr>
              <w:t>1.3</w:t>
            </w:r>
          </w:p>
        </w:tc>
        <w:tc>
          <w:tcPr>
            <w:tcW w:w="3544"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Mantener y mejorar la atención a los usuarios de TIC</w:t>
            </w:r>
          </w:p>
        </w:tc>
        <w:tc>
          <w:tcPr>
            <w:tcW w:w="1319"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01/03/2019</w:t>
            </w:r>
          </w:p>
        </w:tc>
        <w:tc>
          <w:tcPr>
            <w:tcW w:w="1476"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31/10/2019</w:t>
            </w:r>
          </w:p>
        </w:tc>
        <w:tc>
          <w:tcPr>
            <w:tcW w:w="1360"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72</w:t>
            </w:r>
          </w:p>
        </w:tc>
      </w:tr>
      <w:tr w:rsidR="00FD14B5" w:rsidRPr="00FD14B5" w:rsidTr="00B854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29" w:type="dxa"/>
            <w:shd w:val="clear" w:color="auto" w:fill="auto"/>
            <w:hideMark/>
          </w:tcPr>
          <w:p w:rsidR="00FD14B5" w:rsidRPr="00FD14B5" w:rsidRDefault="00FD14B5" w:rsidP="00A73E59">
            <w:pPr>
              <w:spacing w:after="160"/>
              <w:ind w:left="708"/>
              <w:jc w:val="both"/>
              <w:rPr>
                <w:rFonts w:ascii="Arial" w:hAnsi="Arial" w:cs="Arial"/>
                <w:color w:val="auto"/>
                <w:sz w:val="18"/>
                <w:szCs w:val="18"/>
              </w:rPr>
            </w:pPr>
            <w:r w:rsidRPr="00FD14B5">
              <w:rPr>
                <w:rFonts w:ascii="Arial" w:hAnsi="Arial" w:cs="Arial"/>
                <w:color w:val="auto"/>
                <w:sz w:val="18"/>
                <w:szCs w:val="18"/>
              </w:rPr>
              <w:t>1.3.1</w:t>
            </w:r>
          </w:p>
        </w:tc>
        <w:tc>
          <w:tcPr>
            <w:tcW w:w="3544"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Maduración de la estrategia del DRP</w:t>
            </w:r>
          </w:p>
        </w:tc>
        <w:tc>
          <w:tcPr>
            <w:tcW w:w="1319"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04/04/2019</w:t>
            </w:r>
          </w:p>
        </w:tc>
        <w:tc>
          <w:tcPr>
            <w:tcW w:w="1476"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09/09/2019</w:t>
            </w:r>
          </w:p>
        </w:tc>
        <w:tc>
          <w:tcPr>
            <w:tcW w:w="1360"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100</w:t>
            </w:r>
          </w:p>
        </w:tc>
      </w:tr>
      <w:tr w:rsidR="00FD14B5" w:rsidRPr="00FD14B5" w:rsidTr="00B85448">
        <w:trPr>
          <w:trHeight w:val="300"/>
          <w:jc w:val="center"/>
        </w:trPr>
        <w:tc>
          <w:tcPr>
            <w:cnfStyle w:val="001000000000" w:firstRow="0" w:lastRow="0" w:firstColumn="1" w:lastColumn="0" w:oddVBand="0" w:evenVBand="0" w:oddHBand="0" w:evenHBand="0" w:firstRowFirstColumn="0" w:firstRowLastColumn="0" w:lastRowFirstColumn="0" w:lastRowLastColumn="0"/>
            <w:tcW w:w="1129" w:type="dxa"/>
            <w:shd w:val="clear" w:color="auto" w:fill="auto"/>
            <w:hideMark/>
          </w:tcPr>
          <w:p w:rsidR="00FD14B5" w:rsidRPr="00FD14B5" w:rsidRDefault="00FD14B5" w:rsidP="00A73E59">
            <w:pPr>
              <w:spacing w:after="160"/>
              <w:ind w:left="708"/>
              <w:jc w:val="both"/>
              <w:rPr>
                <w:rFonts w:ascii="Arial" w:hAnsi="Arial" w:cs="Arial"/>
                <w:color w:val="auto"/>
                <w:sz w:val="18"/>
                <w:szCs w:val="18"/>
              </w:rPr>
            </w:pPr>
            <w:r w:rsidRPr="00FD14B5">
              <w:rPr>
                <w:rFonts w:ascii="Arial" w:hAnsi="Arial" w:cs="Arial"/>
                <w:color w:val="auto"/>
                <w:sz w:val="18"/>
                <w:szCs w:val="18"/>
              </w:rPr>
              <w:t>1.3.2</w:t>
            </w:r>
          </w:p>
        </w:tc>
        <w:tc>
          <w:tcPr>
            <w:tcW w:w="3544"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Plan de Acción Hallazgos DRP</w:t>
            </w:r>
          </w:p>
        </w:tc>
        <w:tc>
          <w:tcPr>
            <w:tcW w:w="1319"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30/09/2019</w:t>
            </w:r>
          </w:p>
        </w:tc>
        <w:tc>
          <w:tcPr>
            <w:tcW w:w="1476"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31/10/2019</w:t>
            </w:r>
          </w:p>
        </w:tc>
        <w:tc>
          <w:tcPr>
            <w:tcW w:w="1360"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26</w:t>
            </w:r>
          </w:p>
        </w:tc>
      </w:tr>
      <w:tr w:rsidR="00FD14B5" w:rsidRPr="00FD14B5" w:rsidTr="00B854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29" w:type="dxa"/>
            <w:shd w:val="clear" w:color="auto" w:fill="auto"/>
            <w:hideMark/>
          </w:tcPr>
          <w:p w:rsidR="00FD14B5" w:rsidRPr="00FD14B5" w:rsidRDefault="00FD14B5" w:rsidP="00A73E59">
            <w:pPr>
              <w:spacing w:after="160"/>
              <w:jc w:val="both"/>
              <w:rPr>
                <w:rFonts w:ascii="Arial" w:hAnsi="Arial" w:cs="Arial"/>
                <w:color w:val="auto"/>
                <w:sz w:val="18"/>
                <w:szCs w:val="18"/>
              </w:rPr>
            </w:pPr>
            <w:r w:rsidRPr="00FD14B5">
              <w:rPr>
                <w:rFonts w:ascii="Arial" w:hAnsi="Arial" w:cs="Arial"/>
                <w:color w:val="auto"/>
                <w:sz w:val="18"/>
                <w:szCs w:val="18"/>
              </w:rPr>
              <w:t>1.4</w:t>
            </w:r>
          </w:p>
        </w:tc>
        <w:tc>
          <w:tcPr>
            <w:tcW w:w="3544"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Oportunidades de Mejora institucionales</w:t>
            </w:r>
          </w:p>
        </w:tc>
        <w:tc>
          <w:tcPr>
            <w:tcW w:w="1319"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01/03/2019</w:t>
            </w:r>
          </w:p>
        </w:tc>
        <w:tc>
          <w:tcPr>
            <w:tcW w:w="1476"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15/04/2020</w:t>
            </w:r>
          </w:p>
        </w:tc>
        <w:tc>
          <w:tcPr>
            <w:tcW w:w="1360" w:type="dxa"/>
            <w:shd w:val="clear" w:color="auto" w:fill="auto"/>
            <w:hideMark/>
          </w:tcPr>
          <w:p w:rsidR="00FD14B5" w:rsidRPr="00FD14B5" w:rsidRDefault="00FD14B5" w:rsidP="00A73E59">
            <w:pPr>
              <w:spacing w:after="16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40</w:t>
            </w:r>
          </w:p>
        </w:tc>
      </w:tr>
      <w:tr w:rsidR="00FD14B5" w:rsidRPr="00FD14B5" w:rsidTr="00B85448">
        <w:trPr>
          <w:trHeight w:val="300"/>
          <w:jc w:val="center"/>
        </w:trPr>
        <w:tc>
          <w:tcPr>
            <w:cnfStyle w:val="001000000000" w:firstRow="0" w:lastRow="0" w:firstColumn="1" w:lastColumn="0" w:oddVBand="0" w:evenVBand="0" w:oddHBand="0" w:evenHBand="0" w:firstRowFirstColumn="0" w:firstRowLastColumn="0" w:lastRowFirstColumn="0" w:lastRowLastColumn="0"/>
            <w:tcW w:w="1129" w:type="dxa"/>
            <w:shd w:val="clear" w:color="auto" w:fill="auto"/>
            <w:hideMark/>
          </w:tcPr>
          <w:p w:rsidR="00FD14B5" w:rsidRPr="00FD14B5" w:rsidRDefault="00FD14B5" w:rsidP="00A73E59">
            <w:pPr>
              <w:spacing w:after="160"/>
              <w:ind w:left="708"/>
              <w:jc w:val="both"/>
              <w:rPr>
                <w:rFonts w:ascii="Arial" w:hAnsi="Arial" w:cs="Arial"/>
                <w:color w:val="auto"/>
                <w:sz w:val="18"/>
                <w:szCs w:val="18"/>
              </w:rPr>
            </w:pPr>
            <w:r w:rsidRPr="00FD14B5">
              <w:rPr>
                <w:rFonts w:ascii="Arial" w:hAnsi="Arial" w:cs="Arial"/>
                <w:color w:val="auto"/>
                <w:sz w:val="18"/>
                <w:szCs w:val="18"/>
              </w:rPr>
              <w:t>1.4.1</w:t>
            </w:r>
          </w:p>
        </w:tc>
        <w:tc>
          <w:tcPr>
            <w:tcW w:w="3544"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Implementar arquitectura empresarial. Fase 1</w:t>
            </w:r>
          </w:p>
        </w:tc>
        <w:tc>
          <w:tcPr>
            <w:tcW w:w="1319"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01/03/2019</w:t>
            </w:r>
          </w:p>
        </w:tc>
        <w:tc>
          <w:tcPr>
            <w:tcW w:w="1476"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15/04/2020</w:t>
            </w:r>
          </w:p>
        </w:tc>
        <w:tc>
          <w:tcPr>
            <w:tcW w:w="1360" w:type="dxa"/>
            <w:shd w:val="clear" w:color="auto" w:fill="auto"/>
            <w:hideMark/>
          </w:tcPr>
          <w:p w:rsidR="00FD14B5" w:rsidRPr="00FD14B5" w:rsidRDefault="00FD14B5" w:rsidP="00A73E59">
            <w:pPr>
              <w:spacing w:after="1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14B5">
              <w:rPr>
                <w:rFonts w:ascii="Arial" w:hAnsi="Arial" w:cs="Arial"/>
                <w:color w:val="auto"/>
                <w:sz w:val="18"/>
                <w:szCs w:val="18"/>
              </w:rPr>
              <w:t>40</w:t>
            </w:r>
          </w:p>
        </w:tc>
      </w:tr>
    </w:tbl>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p>
    <w:p w:rsidR="00FD14B5" w:rsidRPr="003D7026" w:rsidRDefault="00FD14B5" w:rsidP="00D0183B">
      <w:pPr>
        <w:pStyle w:val="Ttulo3"/>
        <w:keepNext w:val="0"/>
        <w:keepLines w:val="0"/>
        <w:numPr>
          <w:ilvl w:val="2"/>
          <w:numId w:val="56"/>
        </w:numPr>
        <w:spacing w:before="0" w:line="276" w:lineRule="auto"/>
        <w:jc w:val="both"/>
        <w:rPr>
          <w:rFonts w:ascii="Arial" w:hAnsi="Arial" w:cs="Arial"/>
          <w:b/>
          <w:color w:val="auto"/>
        </w:rPr>
      </w:pPr>
      <w:bookmarkStart w:id="215" w:name="_Toc441046715"/>
      <w:r w:rsidRPr="003D7026">
        <w:rPr>
          <w:rFonts w:ascii="Arial" w:hAnsi="Arial" w:cs="Arial"/>
          <w:b/>
          <w:color w:val="auto"/>
        </w:rPr>
        <w:t xml:space="preserve"> </w:t>
      </w:r>
      <w:bookmarkStart w:id="216" w:name="_Toc27665287"/>
      <w:bookmarkStart w:id="217" w:name="_Toc30774653"/>
      <w:r w:rsidR="0047565B" w:rsidRPr="003D7026">
        <w:rPr>
          <w:rFonts w:ascii="Arial" w:hAnsi="Arial" w:cs="Arial"/>
          <w:b/>
          <w:color w:val="auto"/>
        </w:rPr>
        <w:t>Sistemas de Información</w:t>
      </w:r>
      <w:bookmarkEnd w:id="215"/>
      <w:bookmarkEnd w:id="216"/>
      <w:bookmarkEnd w:id="217"/>
    </w:p>
    <w:p w:rsidR="00FD14B5" w:rsidRPr="00FD14B5" w:rsidRDefault="00FD14B5" w:rsidP="00A73E59">
      <w:pPr>
        <w:spacing w:line="276" w:lineRule="auto"/>
        <w:jc w:val="both"/>
        <w:rPr>
          <w:rFonts w:ascii="Arial" w:hAnsi="Arial" w:cs="Arial"/>
        </w:rPr>
      </w:pPr>
    </w:p>
    <w:p w:rsidR="00FD14B5" w:rsidRPr="00FD14B5" w:rsidRDefault="00FD14B5" w:rsidP="00A73E59">
      <w:pPr>
        <w:tabs>
          <w:tab w:val="left" w:pos="1416"/>
        </w:tabs>
        <w:spacing w:line="276" w:lineRule="auto"/>
        <w:jc w:val="both"/>
        <w:rPr>
          <w:rFonts w:ascii="Arial" w:hAnsi="Arial" w:cs="Arial"/>
        </w:rPr>
      </w:pPr>
      <w:r w:rsidRPr="00FD14B5">
        <w:rPr>
          <w:rFonts w:ascii="Arial" w:hAnsi="Arial" w:cs="Arial"/>
        </w:rPr>
        <w:t xml:space="preserve">Como apoyo a los procesos de gestión de la Entidad, la Subdirección Técnica de Recursos Tecnológicos gestiona sistemas de información, que le permite a las dependencias administrar de forma automatizada el flujo y control de la información. </w:t>
      </w:r>
    </w:p>
    <w:p w:rsidR="00FD14B5" w:rsidRPr="00FD14B5" w:rsidRDefault="00FD14B5" w:rsidP="00A73E59">
      <w:pPr>
        <w:spacing w:line="276" w:lineRule="auto"/>
        <w:jc w:val="both"/>
        <w:rPr>
          <w:rFonts w:ascii="Arial" w:hAnsi="Arial" w:cs="Arial"/>
        </w:rPr>
      </w:pPr>
    </w:p>
    <w:p w:rsidR="00FD14B5" w:rsidRPr="00FD14B5" w:rsidRDefault="00FD14B5" w:rsidP="00A73E59">
      <w:pPr>
        <w:spacing w:line="276" w:lineRule="auto"/>
        <w:jc w:val="both"/>
        <w:rPr>
          <w:rFonts w:ascii="Arial" w:hAnsi="Arial" w:cs="Arial"/>
        </w:rPr>
      </w:pPr>
      <w:r w:rsidRPr="00FD14B5">
        <w:rPr>
          <w:rFonts w:ascii="Arial" w:hAnsi="Arial" w:cs="Arial"/>
        </w:rPr>
        <w:t>A continuación, el inventario de los sistemas de información de la Entidad, relacionados de acuerdo con la clasificación del documento G.SIS.01 Guía del dominio de Sistemas de Información, del marco de referencia.</w:t>
      </w:r>
    </w:p>
    <w:p w:rsidR="00FD14B5" w:rsidRPr="00FD14B5" w:rsidRDefault="00FD14B5" w:rsidP="00A73E59">
      <w:pPr>
        <w:spacing w:line="276" w:lineRule="auto"/>
        <w:jc w:val="both"/>
        <w:rPr>
          <w:rFonts w:ascii="Arial" w:hAnsi="Arial" w:cs="Arial"/>
        </w:rPr>
      </w:pPr>
    </w:p>
    <w:p w:rsidR="00FD14B5" w:rsidRPr="00FD14B5" w:rsidRDefault="00FD14B5" w:rsidP="00A73E59">
      <w:pPr>
        <w:pStyle w:val="Descripcin"/>
        <w:keepNext/>
        <w:spacing w:after="0"/>
        <w:rPr>
          <w:rFonts w:ascii="Arial" w:hAnsi="Arial" w:cs="Arial"/>
          <w:color w:val="auto"/>
        </w:rPr>
      </w:pPr>
      <w:bookmarkStart w:id="218" w:name="_Toc27665417"/>
      <w:r w:rsidRPr="00FD14B5">
        <w:rPr>
          <w:rFonts w:ascii="Arial" w:hAnsi="Arial" w:cs="Arial"/>
          <w:color w:val="auto"/>
        </w:rPr>
        <w:t>Sistemas de información misionales</w:t>
      </w:r>
      <w:bookmarkEnd w:id="218"/>
    </w:p>
    <w:tbl>
      <w:tblPr>
        <w:tblStyle w:val="Tabladecuadrcula6concolores1"/>
        <w:tblW w:w="8680" w:type="dxa"/>
        <w:jc w:val="center"/>
        <w:tblLook w:val="04A0" w:firstRow="1" w:lastRow="0" w:firstColumn="1" w:lastColumn="0" w:noHBand="0" w:noVBand="1"/>
      </w:tblPr>
      <w:tblGrid>
        <w:gridCol w:w="425"/>
        <w:gridCol w:w="2301"/>
        <w:gridCol w:w="3936"/>
        <w:gridCol w:w="2018"/>
      </w:tblGrid>
      <w:tr w:rsidR="00FD14B5" w:rsidRPr="00FD14B5" w:rsidTr="00B85448">
        <w:trPr>
          <w:cnfStyle w:val="100000000000" w:firstRow="1" w:lastRow="0" w:firstColumn="0" w:lastColumn="0" w:oddVBand="0" w:evenVBand="0" w:oddHBand="0" w:evenHBand="0" w:firstRowFirstColumn="0" w:firstRowLastColumn="0" w:lastRowFirstColumn="0" w:lastRowLastColumn="0"/>
          <w:trHeight w:val="559"/>
          <w:tblHeader/>
          <w:jc w:val="center"/>
        </w:trPr>
        <w:tc>
          <w:tcPr>
            <w:cnfStyle w:val="001000000000" w:firstRow="0" w:lastRow="0" w:firstColumn="1" w:lastColumn="0" w:oddVBand="0" w:evenVBand="0" w:oddHBand="0" w:evenHBand="0" w:firstRowFirstColumn="0" w:firstRowLastColumn="0" w:lastRowFirstColumn="0" w:lastRowLastColumn="0"/>
            <w:tcW w:w="425" w:type="dxa"/>
            <w:shd w:val="clear" w:color="auto" w:fill="BDD6EE" w:themeFill="accent1" w:themeFillTint="66"/>
            <w:noWrap/>
            <w:vAlign w:val="center"/>
            <w:hideMark/>
          </w:tcPr>
          <w:p w:rsidR="00FD14B5" w:rsidRPr="00FD14B5" w:rsidRDefault="00FD14B5" w:rsidP="00A73E59">
            <w:pPr>
              <w:pStyle w:val="Tabladeilustraciones"/>
              <w:tabs>
                <w:tab w:val="right" w:leader="dot" w:pos="8828"/>
              </w:tabs>
              <w:spacing w:line="240" w:lineRule="auto"/>
              <w:rPr>
                <w:rFonts w:eastAsia="Times New Roman" w:cs="Arial"/>
                <w:color w:val="auto"/>
                <w:sz w:val="18"/>
                <w:szCs w:val="18"/>
                <w:lang w:eastAsia="es-CO"/>
              </w:rPr>
            </w:pPr>
            <w:r w:rsidRPr="00FD14B5">
              <w:rPr>
                <w:rFonts w:cs="Arial"/>
                <w:bCs w:val="0"/>
                <w:color w:val="auto"/>
                <w:sz w:val="18"/>
                <w:szCs w:val="18"/>
                <w:lang w:eastAsia="es-CO"/>
              </w:rPr>
              <w:t>Id</w:t>
            </w:r>
            <w:r w:rsidRPr="00FD14B5">
              <w:rPr>
                <w:rFonts w:cs="Arial"/>
                <w:sz w:val="18"/>
                <w:szCs w:val="18"/>
                <w:lang w:eastAsia="es-CO"/>
              </w:rPr>
              <w:fldChar w:fldCharType="begin"/>
            </w:r>
            <w:r w:rsidRPr="00FD14B5">
              <w:rPr>
                <w:rFonts w:cs="Arial"/>
                <w:bCs w:val="0"/>
                <w:color w:val="auto"/>
                <w:sz w:val="18"/>
                <w:szCs w:val="18"/>
                <w:lang w:eastAsia="es-CO"/>
              </w:rPr>
              <w:instrText xml:space="preserve"> TOC \h \z \c "Tabla" </w:instrText>
            </w:r>
            <w:r w:rsidRPr="00FD14B5">
              <w:rPr>
                <w:rFonts w:cs="Arial"/>
                <w:sz w:val="18"/>
                <w:szCs w:val="18"/>
                <w:lang w:eastAsia="es-CO"/>
              </w:rPr>
              <w:fldChar w:fldCharType="end"/>
            </w:r>
          </w:p>
        </w:tc>
        <w:tc>
          <w:tcPr>
            <w:tcW w:w="2301" w:type="dxa"/>
            <w:shd w:val="clear" w:color="auto" w:fill="BDD6EE" w:themeFill="accent1" w:themeFillTint="66"/>
            <w:noWrap/>
            <w:vAlign w:val="center"/>
            <w:hideMark/>
          </w:tcPr>
          <w:p w:rsidR="00FD14B5" w:rsidRPr="00FD14B5" w:rsidRDefault="00FD14B5" w:rsidP="00A73E59">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Nombre</w:t>
            </w:r>
          </w:p>
        </w:tc>
        <w:tc>
          <w:tcPr>
            <w:tcW w:w="3936" w:type="dxa"/>
            <w:shd w:val="clear" w:color="auto" w:fill="BDD6EE" w:themeFill="accent1" w:themeFillTint="66"/>
            <w:noWrap/>
            <w:vAlign w:val="center"/>
            <w:hideMark/>
          </w:tcPr>
          <w:p w:rsidR="00FD14B5" w:rsidRPr="00FD14B5" w:rsidRDefault="00FD14B5" w:rsidP="00A73E59">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Descripción Técnica</w:t>
            </w:r>
          </w:p>
        </w:tc>
        <w:tc>
          <w:tcPr>
            <w:tcW w:w="2018" w:type="dxa"/>
            <w:shd w:val="clear" w:color="auto" w:fill="BDD6EE" w:themeFill="accent1" w:themeFillTint="66"/>
            <w:noWrap/>
            <w:vAlign w:val="center"/>
            <w:hideMark/>
          </w:tcPr>
          <w:p w:rsidR="00FD14B5" w:rsidRPr="00FD14B5" w:rsidRDefault="00FD14B5" w:rsidP="00A73E59">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Plataforma</w:t>
            </w:r>
          </w:p>
        </w:tc>
      </w:tr>
      <w:tr w:rsidR="00FD14B5" w:rsidRPr="00370591" w:rsidTr="00B85448">
        <w:trPr>
          <w:cnfStyle w:val="000000100000" w:firstRow="0" w:lastRow="0" w:firstColumn="0" w:lastColumn="0" w:oddVBand="0" w:evenVBand="0" w:oddHBand="1" w:evenHBand="0" w:firstRowFirstColumn="0" w:firstRowLastColumn="0" w:lastRowFirstColumn="0" w:lastRowLastColumn="0"/>
          <w:trHeight w:val="714"/>
          <w:jc w:val="center"/>
        </w:trPr>
        <w:tc>
          <w:tcPr>
            <w:cnfStyle w:val="001000000000" w:firstRow="0" w:lastRow="0" w:firstColumn="1" w:lastColumn="0" w:oddVBand="0" w:evenVBand="0" w:oddHBand="0" w:evenHBand="0" w:firstRowFirstColumn="0" w:firstRowLastColumn="0" w:lastRowFirstColumn="0" w:lastRowLastColumn="0"/>
            <w:tcW w:w="425"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t>1</w:t>
            </w:r>
          </w:p>
        </w:tc>
        <w:tc>
          <w:tcPr>
            <w:tcW w:w="2301"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VALORICEMOS - Sistema de Valorización</w:t>
            </w:r>
          </w:p>
        </w:tc>
        <w:tc>
          <w:tcPr>
            <w:tcW w:w="3936"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Gestiona y administra el cobro de la contribución por Valorización.</w:t>
            </w:r>
          </w:p>
        </w:tc>
        <w:tc>
          <w:tcPr>
            <w:tcW w:w="2018"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val="en-US" w:eastAsia="es-CO"/>
              </w:rPr>
            </w:pPr>
            <w:r w:rsidRPr="00FD14B5">
              <w:rPr>
                <w:rFonts w:ascii="Arial" w:hAnsi="Arial" w:cs="Arial"/>
                <w:color w:val="auto"/>
                <w:sz w:val="18"/>
                <w:szCs w:val="18"/>
                <w:lang w:val="en-US" w:eastAsia="es-CO"/>
              </w:rPr>
              <w:t>Arq.: C/S</w:t>
            </w:r>
            <w:r w:rsidRPr="00FD14B5">
              <w:rPr>
                <w:rFonts w:ascii="Arial" w:hAnsi="Arial" w:cs="Arial"/>
                <w:color w:val="auto"/>
                <w:sz w:val="18"/>
                <w:szCs w:val="18"/>
                <w:lang w:val="en-US" w:eastAsia="es-CO"/>
              </w:rPr>
              <w:br/>
              <w:t>Lenguaje: ORACLE FORMS-REPORT 6i</w:t>
            </w:r>
            <w:r w:rsidRPr="00FD14B5">
              <w:rPr>
                <w:rFonts w:ascii="Arial" w:hAnsi="Arial" w:cs="Arial"/>
                <w:color w:val="auto"/>
                <w:sz w:val="18"/>
                <w:szCs w:val="18"/>
                <w:lang w:val="en-US" w:eastAsia="es-CO"/>
              </w:rPr>
              <w:br/>
              <w:t>DB: ORACLE</w:t>
            </w:r>
          </w:p>
        </w:tc>
      </w:tr>
      <w:tr w:rsidR="00FD14B5" w:rsidRPr="00370591" w:rsidTr="00B85448">
        <w:trPr>
          <w:trHeight w:val="875"/>
          <w:jc w:val="center"/>
        </w:trPr>
        <w:tc>
          <w:tcPr>
            <w:cnfStyle w:val="001000000000" w:firstRow="0" w:lastRow="0" w:firstColumn="1" w:lastColumn="0" w:oddVBand="0" w:evenVBand="0" w:oddHBand="0" w:evenHBand="0" w:firstRowFirstColumn="0" w:firstRowLastColumn="0" w:lastRowFirstColumn="0" w:lastRowLastColumn="0"/>
            <w:tcW w:w="425"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t>2</w:t>
            </w:r>
          </w:p>
        </w:tc>
        <w:tc>
          <w:tcPr>
            <w:tcW w:w="2301"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TRANSMILENIO - Sistema Presupuestal</w:t>
            </w:r>
          </w:p>
        </w:tc>
        <w:tc>
          <w:tcPr>
            <w:tcW w:w="3936"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Permite la administración, control y seguimiento financieros a los recursos asignados por  Transmilenio S.A. y que son ejecutados por el IDU.</w:t>
            </w:r>
          </w:p>
        </w:tc>
        <w:tc>
          <w:tcPr>
            <w:tcW w:w="2018"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val="en-US" w:eastAsia="es-CO"/>
              </w:rPr>
            </w:pPr>
            <w:r w:rsidRPr="00FD14B5">
              <w:rPr>
                <w:rFonts w:ascii="Arial" w:hAnsi="Arial" w:cs="Arial"/>
                <w:color w:val="auto"/>
                <w:sz w:val="18"/>
                <w:szCs w:val="18"/>
                <w:lang w:val="en-US" w:eastAsia="es-CO"/>
              </w:rPr>
              <w:t>Arq.: C/S</w:t>
            </w:r>
            <w:r w:rsidRPr="00FD14B5">
              <w:rPr>
                <w:rFonts w:ascii="Arial" w:hAnsi="Arial" w:cs="Arial"/>
                <w:color w:val="auto"/>
                <w:sz w:val="18"/>
                <w:szCs w:val="18"/>
                <w:lang w:val="en-US" w:eastAsia="es-CO"/>
              </w:rPr>
              <w:br/>
              <w:t>Lenguaje: DELPHI</w:t>
            </w:r>
            <w:r w:rsidRPr="00FD14B5">
              <w:rPr>
                <w:rFonts w:ascii="Arial" w:hAnsi="Arial" w:cs="Arial"/>
                <w:color w:val="auto"/>
                <w:sz w:val="18"/>
                <w:szCs w:val="18"/>
                <w:lang w:val="en-US" w:eastAsia="es-CO"/>
              </w:rPr>
              <w:br/>
              <w:t>DB: SQL Server</w:t>
            </w:r>
          </w:p>
        </w:tc>
      </w:tr>
      <w:tr w:rsidR="00FD14B5" w:rsidRPr="00370591" w:rsidTr="00B85448">
        <w:trPr>
          <w:cnfStyle w:val="000000100000" w:firstRow="0" w:lastRow="0" w:firstColumn="0" w:lastColumn="0" w:oddVBand="0" w:evenVBand="0" w:oddHBand="1" w:evenHBand="0" w:firstRowFirstColumn="0" w:firstRowLastColumn="0" w:lastRowFirstColumn="0" w:lastRowLastColumn="0"/>
          <w:trHeight w:val="2262"/>
          <w:jc w:val="center"/>
        </w:trPr>
        <w:tc>
          <w:tcPr>
            <w:cnfStyle w:val="001000000000" w:firstRow="0" w:lastRow="0" w:firstColumn="1" w:lastColumn="0" w:oddVBand="0" w:evenVBand="0" w:oddHBand="0" w:evenHBand="0" w:firstRowFirstColumn="0" w:firstRowLastColumn="0" w:lastRowFirstColumn="0" w:lastRowLastColumn="0"/>
            <w:tcW w:w="425"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t>3</w:t>
            </w:r>
          </w:p>
        </w:tc>
        <w:tc>
          <w:tcPr>
            <w:tcW w:w="2301"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Sistema de Información de Compensaciones</w:t>
            </w:r>
          </w:p>
        </w:tc>
        <w:tc>
          <w:tcPr>
            <w:tcW w:w="3936"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Sistema de Consulta para las compensaciones anteriores al 2004. Realizó los cálculos de Compensaciones para los predios a comprar por el IDU, permite conocer en forma detallada las variables que se contemplaron para generar el cálculo de esa compensación, agilizando el proceso de elaboración de cálculo de las compensaciones y permite llevar un registro de las compensaciones efectuadas.</w:t>
            </w:r>
          </w:p>
        </w:tc>
        <w:tc>
          <w:tcPr>
            <w:tcW w:w="2018"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val="en-US" w:eastAsia="es-CO"/>
              </w:rPr>
            </w:pPr>
            <w:r w:rsidRPr="00FD14B5">
              <w:rPr>
                <w:rFonts w:ascii="Arial" w:hAnsi="Arial" w:cs="Arial"/>
                <w:color w:val="auto"/>
                <w:sz w:val="18"/>
                <w:szCs w:val="18"/>
                <w:lang w:val="en-US" w:eastAsia="es-CO"/>
              </w:rPr>
              <w:t>Arq.: C/S</w:t>
            </w:r>
            <w:r w:rsidRPr="00FD14B5">
              <w:rPr>
                <w:rFonts w:ascii="Arial" w:hAnsi="Arial" w:cs="Arial"/>
                <w:color w:val="auto"/>
                <w:sz w:val="18"/>
                <w:szCs w:val="18"/>
                <w:lang w:val="en-US" w:eastAsia="es-CO"/>
              </w:rPr>
              <w:br/>
              <w:t>Lenguaje: DELPHI</w:t>
            </w:r>
            <w:r w:rsidRPr="00FD14B5">
              <w:rPr>
                <w:rFonts w:ascii="Arial" w:hAnsi="Arial" w:cs="Arial"/>
                <w:color w:val="auto"/>
                <w:sz w:val="18"/>
                <w:szCs w:val="18"/>
                <w:lang w:val="en-US" w:eastAsia="es-CO"/>
              </w:rPr>
              <w:br/>
              <w:t>DB: SQL Server</w:t>
            </w:r>
          </w:p>
        </w:tc>
      </w:tr>
      <w:tr w:rsidR="00FD14B5" w:rsidRPr="00370591" w:rsidTr="00B85448">
        <w:trPr>
          <w:trHeight w:val="848"/>
          <w:jc w:val="center"/>
        </w:trPr>
        <w:tc>
          <w:tcPr>
            <w:cnfStyle w:val="001000000000" w:firstRow="0" w:lastRow="0" w:firstColumn="1" w:lastColumn="0" w:oddVBand="0" w:evenVBand="0" w:oddHBand="0" w:evenHBand="0" w:firstRowFirstColumn="0" w:firstRowLastColumn="0" w:lastRowFirstColumn="0" w:lastRowLastColumn="0"/>
            <w:tcW w:w="425"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t>4</w:t>
            </w:r>
          </w:p>
        </w:tc>
        <w:tc>
          <w:tcPr>
            <w:tcW w:w="2301"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SIGES - Sistema de Información de Gestión Social Predios</w:t>
            </w:r>
          </w:p>
        </w:tc>
        <w:tc>
          <w:tcPr>
            <w:tcW w:w="3936"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Permite realizar el registro, control, seguimiento y pago de compensaciones a las unidades sociales afectadas por el proceso de adquisición predial.</w:t>
            </w:r>
          </w:p>
        </w:tc>
        <w:tc>
          <w:tcPr>
            <w:tcW w:w="2018"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val="en-US" w:eastAsia="es-CO"/>
              </w:rPr>
            </w:pPr>
            <w:r w:rsidRPr="00FD14B5">
              <w:rPr>
                <w:rFonts w:ascii="Arial" w:hAnsi="Arial" w:cs="Arial"/>
                <w:color w:val="auto"/>
                <w:sz w:val="18"/>
                <w:szCs w:val="18"/>
                <w:lang w:val="en-US" w:eastAsia="es-CO"/>
              </w:rPr>
              <w:t>Arq.: C/S</w:t>
            </w:r>
            <w:r w:rsidRPr="00FD14B5">
              <w:rPr>
                <w:rFonts w:ascii="Arial" w:hAnsi="Arial" w:cs="Arial"/>
                <w:color w:val="auto"/>
                <w:sz w:val="18"/>
                <w:szCs w:val="18"/>
                <w:lang w:val="en-US" w:eastAsia="es-CO"/>
              </w:rPr>
              <w:br/>
              <w:t>Lenguaje: DELPHI</w:t>
            </w:r>
            <w:r w:rsidRPr="00FD14B5">
              <w:rPr>
                <w:rFonts w:ascii="Arial" w:hAnsi="Arial" w:cs="Arial"/>
                <w:color w:val="auto"/>
                <w:sz w:val="18"/>
                <w:szCs w:val="18"/>
                <w:lang w:val="en-US" w:eastAsia="es-CO"/>
              </w:rPr>
              <w:br/>
              <w:t>DB: SQL Server</w:t>
            </w:r>
          </w:p>
        </w:tc>
      </w:tr>
      <w:tr w:rsidR="00FD14B5" w:rsidRPr="00370591" w:rsidTr="00B85448">
        <w:trPr>
          <w:cnfStyle w:val="000000100000" w:firstRow="0" w:lastRow="0" w:firstColumn="0" w:lastColumn="0" w:oddVBand="0" w:evenVBand="0" w:oddHBand="1" w:evenHBand="0" w:firstRowFirstColumn="0" w:firstRowLastColumn="0" w:lastRowFirstColumn="0" w:lastRowLastColumn="0"/>
          <w:trHeight w:val="1258"/>
          <w:jc w:val="center"/>
        </w:trPr>
        <w:tc>
          <w:tcPr>
            <w:cnfStyle w:val="001000000000" w:firstRow="0" w:lastRow="0" w:firstColumn="1" w:lastColumn="0" w:oddVBand="0" w:evenVBand="0" w:oddHBand="0" w:evenHBand="0" w:firstRowFirstColumn="0" w:firstRowLastColumn="0" w:lastRowFirstColumn="0" w:lastRowLastColumn="0"/>
            <w:tcW w:w="425"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t>5</w:t>
            </w:r>
          </w:p>
        </w:tc>
        <w:tc>
          <w:tcPr>
            <w:tcW w:w="2301"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SIGES - Sistema de Información de Gestión Obras</w:t>
            </w:r>
          </w:p>
        </w:tc>
        <w:tc>
          <w:tcPr>
            <w:tcW w:w="3936"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Permite realizar control, seguimiento de la gestión social de las actividades realizadas por la Oficina de Atención al Ciudadano en lo referente al acompañamiento que realiza la institución a la comunidad en la ejecución de obras.</w:t>
            </w:r>
          </w:p>
        </w:tc>
        <w:tc>
          <w:tcPr>
            <w:tcW w:w="2018"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val="en-US" w:eastAsia="es-CO"/>
              </w:rPr>
            </w:pPr>
            <w:r w:rsidRPr="00FD14B5">
              <w:rPr>
                <w:rFonts w:ascii="Arial" w:hAnsi="Arial" w:cs="Arial"/>
                <w:color w:val="auto"/>
                <w:sz w:val="18"/>
                <w:szCs w:val="18"/>
                <w:lang w:val="en-US" w:eastAsia="es-CO"/>
              </w:rPr>
              <w:t>Arq.: C/S</w:t>
            </w:r>
            <w:r w:rsidRPr="00FD14B5">
              <w:rPr>
                <w:rFonts w:ascii="Arial" w:hAnsi="Arial" w:cs="Arial"/>
                <w:color w:val="auto"/>
                <w:sz w:val="18"/>
                <w:szCs w:val="18"/>
                <w:lang w:val="en-US" w:eastAsia="es-CO"/>
              </w:rPr>
              <w:br/>
              <w:t>Lenguaje: DELPHI</w:t>
            </w:r>
            <w:r w:rsidRPr="00FD14B5">
              <w:rPr>
                <w:rFonts w:ascii="Arial" w:hAnsi="Arial" w:cs="Arial"/>
                <w:color w:val="auto"/>
                <w:sz w:val="18"/>
                <w:szCs w:val="18"/>
                <w:lang w:val="en-US" w:eastAsia="es-CO"/>
              </w:rPr>
              <w:br/>
              <w:t>DB: SQL Server</w:t>
            </w:r>
          </w:p>
        </w:tc>
      </w:tr>
      <w:tr w:rsidR="00FD14B5" w:rsidRPr="00370591" w:rsidTr="00B85448">
        <w:trPr>
          <w:trHeight w:val="709"/>
          <w:jc w:val="center"/>
        </w:trPr>
        <w:tc>
          <w:tcPr>
            <w:cnfStyle w:val="001000000000" w:firstRow="0" w:lastRow="0" w:firstColumn="1" w:lastColumn="0" w:oddVBand="0" w:evenVBand="0" w:oddHBand="0" w:evenHBand="0" w:firstRowFirstColumn="0" w:firstRowLastColumn="0" w:lastRowFirstColumn="0" w:lastRowLastColumn="0"/>
            <w:tcW w:w="425"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t>6</w:t>
            </w:r>
          </w:p>
        </w:tc>
        <w:tc>
          <w:tcPr>
            <w:tcW w:w="2301"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PREDIOS - Sistema de Información de Gestión de Predios</w:t>
            </w:r>
          </w:p>
        </w:tc>
        <w:tc>
          <w:tcPr>
            <w:tcW w:w="3936"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Permite llevar acabo el registro, control y seguimiento del proceso de adquisición de predios que se requieren en un proyecto.</w:t>
            </w:r>
          </w:p>
        </w:tc>
        <w:tc>
          <w:tcPr>
            <w:tcW w:w="2018"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val="en-US" w:eastAsia="es-CO"/>
              </w:rPr>
            </w:pPr>
            <w:r w:rsidRPr="00FD14B5">
              <w:rPr>
                <w:rFonts w:ascii="Arial" w:hAnsi="Arial" w:cs="Arial"/>
                <w:color w:val="auto"/>
                <w:sz w:val="18"/>
                <w:szCs w:val="18"/>
                <w:lang w:val="en-US" w:eastAsia="es-CO"/>
              </w:rPr>
              <w:t>Arq.: C/S</w:t>
            </w:r>
            <w:r w:rsidRPr="00FD14B5">
              <w:rPr>
                <w:rFonts w:ascii="Arial" w:hAnsi="Arial" w:cs="Arial"/>
                <w:color w:val="auto"/>
                <w:sz w:val="18"/>
                <w:szCs w:val="18"/>
                <w:lang w:val="en-US" w:eastAsia="es-CO"/>
              </w:rPr>
              <w:br/>
              <w:t>Lenguaje: DELPHI</w:t>
            </w:r>
            <w:r w:rsidRPr="00FD14B5">
              <w:rPr>
                <w:rFonts w:ascii="Arial" w:hAnsi="Arial" w:cs="Arial"/>
                <w:color w:val="auto"/>
                <w:sz w:val="18"/>
                <w:szCs w:val="18"/>
                <w:lang w:val="en-US" w:eastAsia="es-CO"/>
              </w:rPr>
              <w:br/>
              <w:t>DB: SQL Server</w:t>
            </w:r>
          </w:p>
        </w:tc>
      </w:tr>
      <w:tr w:rsidR="00FD14B5" w:rsidRPr="00FD14B5" w:rsidTr="00B85448">
        <w:trPr>
          <w:cnfStyle w:val="000000100000" w:firstRow="0" w:lastRow="0" w:firstColumn="0" w:lastColumn="0" w:oddVBand="0" w:evenVBand="0" w:oddHBand="1" w:evenHBand="0" w:firstRowFirstColumn="0" w:firstRowLastColumn="0" w:lastRowFirstColumn="0" w:lastRowLastColumn="0"/>
          <w:trHeight w:val="1116"/>
          <w:jc w:val="center"/>
        </w:trPr>
        <w:tc>
          <w:tcPr>
            <w:cnfStyle w:val="001000000000" w:firstRow="0" w:lastRow="0" w:firstColumn="1" w:lastColumn="0" w:oddVBand="0" w:evenVBand="0" w:oddHBand="0" w:evenHBand="0" w:firstRowFirstColumn="0" w:firstRowLastColumn="0" w:lastRowFirstColumn="0" w:lastRowLastColumn="0"/>
            <w:tcW w:w="425"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lastRenderedPageBreak/>
              <w:t>7</w:t>
            </w:r>
          </w:p>
        </w:tc>
        <w:tc>
          <w:tcPr>
            <w:tcW w:w="2301"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SIGIDU - Sistema  de Información Geográfica</w:t>
            </w:r>
          </w:p>
        </w:tc>
        <w:tc>
          <w:tcPr>
            <w:tcW w:w="3936"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Permite la administración y control de la información geográfica de los activos viales, espacio público, gestión interinstitucional y predios de Bogotá, así como mantener el inventario de activos viales y espacio público.</w:t>
            </w:r>
          </w:p>
        </w:tc>
        <w:tc>
          <w:tcPr>
            <w:tcW w:w="2018"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Arq.: Web</w:t>
            </w:r>
            <w:r w:rsidRPr="00FD14B5">
              <w:rPr>
                <w:rFonts w:ascii="Arial" w:hAnsi="Arial" w:cs="Arial"/>
                <w:color w:val="auto"/>
                <w:sz w:val="18"/>
                <w:szCs w:val="18"/>
                <w:lang w:eastAsia="es-CO"/>
              </w:rPr>
              <w:br/>
              <w:t>Lenguaje; Punto Net  / Arcgis Server</w:t>
            </w:r>
            <w:r w:rsidRPr="00FD14B5">
              <w:rPr>
                <w:rFonts w:ascii="Arial" w:hAnsi="Arial" w:cs="Arial"/>
                <w:color w:val="auto"/>
                <w:sz w:val="18"/>
                <w:szCs w:val="18"/>
                <w:lang w:eastAsia="es-CO"/>
              </w:rPr>
              <w:br/>
              <w:t>DB: ORACLE</w:t>
            </w:r>
          </w:p>
        </w:tc>
      </w:tr>
      <w:tr w:rsidR="00FD14B5" w:rsidRPr="00370591" w:rsidTr="00B85448">
        <w:trPr>
          <w:trHeight w:val="409"/>
          <w:jc w:val="center"/>
        </w:trPr>
        <w:tc>
          <w:tcPr>
            <w:cnfStyle w:val="001000000000" w:firstRow="0" w:lastRow="0" w:firstColumn="1" w:lastColumn="0" w:oddVBand="0" w:evenVBand="0" w:oddHBand="0" w:evenHBand="0" w:firstRowFirstColumn="0" w:firstRowLastColumn="0" w:lastRowFirstColumn="0" w:lastRowLastColumn="0"/>
            <w:tcW w:w="425"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t>8</w:t>
            </w:r>
          </w:p>
        </w:tc>
        <w:tc>
          <w:tcPr>
            <w:tcW w:w="2301"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SALEX - Licencias de excavación</w:t>
            </w:r>
          </w:p>
        </w:tc>
        <w:tc>
          <w:tcPr>
            <w:tcW w:w="3936"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Sistema de Gestión de Licencias de Excavación</w:t>
            </w:r>
          </w:p>
        </w:tc>
        <w:tc>
          <w:tcPr>
            <w:tcW w:w="2018"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val="en-US" w:eastAsia="es-CO"/>
              </w:rPr>
            </w:pPr>
            <w:r w:rsidRPr="00FD14B5">
              <w:rPr>
                <w:rFonts w:ascii="Arial" w:hAnsi="Arial" w:cs="Arial"/>
                <w:color w:val="auto"/>
                <w:sz w:val="18"/>
                <w:szCs w:val="18"/>
                <w:lang w:val="en-US" w:eastAsia="es-CO"/>
              </w:rPr>
              <w:t>Arq.: C/S</w:t>
            </w:r>
            <w:r w:rsidRPr="00FD14B5">
              <w:rPr>
                <w:rFonts w:ascii="Arial" w:hAnsi="Arial" w:cs="Arial"/>
                <w:color w:val="auto"/>
                <w:sz w:val="18"/>
                <w:szCs w:val="18"/>
                <w:lang w:val="en-US" w:eastAsia="es-CO"/>
              </w:rPr>
              <w:br/>
              <w:t>DB: Access</w:t>
            </w:r>
          </w:p>
        </w:tc>
      </w:tr>
      <w:tr w:rsidR="00FD14B5" w:rsidRPr="00370591" w:rsidTr="00B85448">
        <w:trPr>
          <w:cnfStyle w:val="000000100000" w:firstRow="0" w:lastRow="0" w:firstColumn="0" w:lastColumn="0" w:oddVBand="0" w:evenVBand="0" w:oddHBand="1" w:evenHBand="0" w:firstRowFirstColumn="0" w:firstRowLastColumn="0" w:lastRowFirstColumn="0" w:lastRowLastColumn="0"/>
          <w:trHeight w:val="697"/>
          <w:jc w:val="center"/>
        </w:trPr>
        <w:tc>
          <w:tcPr>
            <w:cnfStyle w:val="001000000000" w:firstRow="0" w:lastRow="0" w:firstColumn="1" w:lastColumn="0" w:oddVBand="0" w:evenVBand="0" w:oddHBand="0" w:evenHBand="0" w:firstRowFirstColumn="0" w:firstRowLastColumn="0" w:lastRowFirstColumn="0" w:lastRowLastColumn="0"/>
            <w:tcW w:w="425"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t>9</w:t>
            </w:r>
          </w:p>
        </w:tc>
        <w:tc>
          <w:tcPr>
            <w:tcW w:w="2301"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SIP - Sistema de Información de Pólizas</w:t>
            </w:r>
          </w:p>
        </w:tc>
        <w:tc>
          <w:tcPr>
            <w:tcW w:w="3936"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Permite realizar el control y seguimiento de las pólizas de estabilidad de las obras entregadas al IDU</w:t>
            </w:r>
          </w:p>
        </w:tc>
        <w:tc>
          <w:tcPr>
            <w:tcW w:w="2018"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val="en-US" w:eastAsia="es-CO"/>
              </w:rPr>
            </w:pPr>
            <w:r w:rsidRPr="00FD14B5">
              <w:rPr>
                <w:rFonts w:ascii="Arial" w:hAnsi="Arial" w:cs="Arial"/>
                <w:color w:val="auto"/>
                <w:sz w:val="18"/>
                <w:szCs w:val="18"/>
                <w:lang w:val="en-US" w:eastAsia="es-CO"/>
              </w:rPr>
              <w:t>Arq.: C/S</w:t>
            </w:r>
            <w:r w:rsidRPr="00FD14B5">
              <w:rPr>
                <w:rFonts w:ascii="Arial" w:hAnsi="Arial" w:cs="Arial"/>
                <w:color w:val="auto"/>
                <w:sz w:val="18"/>
                <w:szCs w:val="18"/>
                <w:lang w:val="en-US" w:eastAsia="es-CO"/>
              </w:rPr>
              <w:br/>
              <w:t>Lenguaje: DELPHI</w:t>
            </w:r>
            <w:r w:rsidRPr="00FD14B5">
              <w:rPr>
                <w:rFonts w:ascii="Arial" w:hAnsi="Arial" w:cs="Arial"/>
                <w:color w:val="auto"/>
                <w:sz w:val="18"/>
                <w:szCs w:val="18"/>
                <w:lang w:val="en-US" w:eastAsia="es-CO"/>
              </w:rPr>
              <w:br/>
              <w:t>DB: SQL Server</w:t>
            </w:r>
          </w:p>
        </w:tc>
      </w:tr>
      <w:tr w:rsidR="00FD14B5" w:rsidRPr="00370591" w:rsidTr="00B85448">
        <w:trPr>
          <w:trHeight w:val="981"/>
          <w:jc w:val="center"/>
        </w:trPr>
        <w:tc>
          <w:tcPr>
            <w:cnfStyle w:val="001000000000" w:firstRow="0" w:lastRow="0" w:firstColumn="1" w:lastColumn="0" w:oddVBand="0" w:evenVBand="0" w:oddHBand="0" w:evenHBand="0" w:firstRowFirstColumn="0" w:firstRowLastColumn="0" w:lastRowFirstColumn="0" w:lastRowLastColumn="0"/>
            <w:tcW w:w="425"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t>10</w:t>
            </w:r>
          </w:p>
        </w:tc>
        <w:tc>
          <w:tcPr>
            <w:tcW w:w="2301"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ZIPA - Sistema de Gestión Integral de Proyectos</w:t>
            </w:r>
          </w:p>
        </w:tc>
        <w:tc>
          <w:tcPr>
            <w:tcW w:w="3936"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Sistema de gestión integral de proyectos.</w:t>
            </w:r>
          </w:p>
        </w:tc>
        <w:tc>
          <w:tcPr>
            <w:tcW w:w="2018"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val="en-US" w:eastAsia="es-CO"/>
              </w:rPr>
            </w:pPr>
            <w:r w:rsidRPr="00FD14B5">
              <w:rPr>
                <w:rFonts w:ascii="Arial" w:hAnsi="Arial" w:cs="Arial"/>
                <w:color w:val="auto"/>
                <w:sz w:val="18"/>
                <w:szCs w:val="18"/>
                <w:lang w:val="en-US" w:eastAsia="es-CO"/>
              </w:rPr>
              <w:t>Arq.: Web</w:t>
            </w:r>
            <w:r w:rsidRPr="00FD14B5">
              <w:rPr>
                <w:rFonts w:ascii="Arial" w:hAnsi="Arial" w:cs="Arial"/>
                <w:color w:val="auto"/>
                <w:sz w:val="18"/>
                <w:szCs w:val="18"/>
                <w:lang w:val="en-US" w:eastAsia="es-CO"/>
              </w:rPr>
              <w:br/>
              <w:t>Lenguaje: Framework ODOO 9.0</w:t>
            </w:r>
            <w:r w:rsidRPr="00FD14B5">
              <w:rPr>
                <w:rFonts w:ascii="Arial" w:hAnsi="Arial" w:cs="Arial"/>
                <w:color w:val="auto"/>
                <w:sz w:val="18"/>
                <w:szCs w:val="18"/>
                <w:lang w:val="en-US" w:eastAsia="es-CO"/>
              </w:rPr>
              <w:br/>
              <w:t>DB: Postgres</w:t>
            </w:r>
          </w:p>
        </w:tc>
      </w:tr>
      <w:tr w:rsidR="00FD14B5" w:rsidRPr="00370591" w:rsidTr="00B85448">
        <w:trPr>
          <w:cnfStyle w:val="000000100000" w:firstRow="0" w:lastRow="0" w:firstColumn="0" w:lastColumn="0" w:oddVBand="0" w:evenVBand="0" w:oddHBand="1" w:evenHBand="0" w:firstRowFirstColumn="0" w:firstRowLastColumn="0" w:lastRowFirstColumn="0" w:lastRowLastColumn="0"/>
          <w:trHeight w:val="1109"/>
          <w:jc w:val="center"/>
        </w:trPr>
        <w:tc>
          <w:tcPr>
            <w:cnfStyle w:val="001000000000" w:firstRow="0" w:lastRow="0" w:firstColumn="1" w:lastColumn="0" w:oddVBand="0" w:evenVBand="0" w:oddHBand="0" w:evenHBand="0" w:firstRowFirstColumn="0" w:firstRowLastColumn="0" w:lastRowFirstColumn="0" w:lastRowLastColumn="0"/>
            <w:tcW w:w="425"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t>11</w:t>
            </w:r>
          </w:p>
        </w:tc>
        <w:tc>
          <w:tcPr>
            <w:tcW w:w="2301"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BACHUE - Sistema de Atención al Ciudadano, Gestión Social y Datos Abiertos</w:t>
            </w:r>
          </w:p>
        </w:tc>
        <w:tc>
          <w:tcPr>
            <w:tcW w:w="3936"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Sistema de atención al ciudadano, gestión social y datos abiertos, que incluye gestión de PQRS de canales, gestión de PQRS de obras, gestión social predios y publicación de datos abiertos.</w:t>
            </w:r>
          </w:p>
        </w:tc>
        <w:tc>
          <w:tcPr>
            <w:tcW w:w="2018"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val="en-US" w:eastAsia="es-CO"/>
              </w:rPr>
            </w:pPr>
            <w:r w:rsidRPr="00FD14B5">
              <w:rPr>
                <w:rFonts w:ascii="Arial" w:hAnsi="Arial" w:cs="Arial"/>
                <w:color w:val="auto"/>
                <w:sz w:val="18"/>
                <w:szCs w:val="18"/>
                <w:lang w:val="en-US" w:eastAsia="es-CO"/>
              </w:rPr>
              <w:t>Arq.: Web</w:t>
            </w:r>
            <w:r w:rsidRPr="00FD14B5">
              <w:rPr>
                <w:rFonts w:ascii="Arial" w:hAnsi="Arial" w:cs="Arial"/>
                <w:color w:val="auto"/>
                <w:sz w:val="18"/>
                <w:szCs w:val="18"/>
                <w:lang w:val="en-US" w:eastAsia="es-CO"/>
              </w:rPr>
              <w:br/>
              <w:t xml:space="preserve">Lenguaje:  Python / framework OpenERP v6.1 </w:t>
            </w:r>
            <w:r w:rsidRPr="00FD14B5">
              <w:rPr>
                <w:rFonts w:ascii="Arial" w:hAnsi="Arial" w:cs="Arial"/>
                <w:color w:val="auto"/>
                <w:sz w:val="18"/>
                <w:szCs w:val="18"/>
                <w:lang w:val="en-US" w:eastAsia="es-CO"/>
              </w:rPr>
              <w:br/>
              <w:t>DB: Postgres</w:t>
            </w:r>
          </w:p>
        </w:tc>
      </w:tr>
    </w:tbl>
    <w:p w:rsidR="00FD14B5" w:rsidRPr="00FD14B5" w:rsidRDefault="00FD14B5" w:rsidP="00A73E59">
      <w:pPr>
        <w:spacing w:line="276" w:lineRule="auto"/>
        <w:jc w:val="both"/>
        <w:rPr>
          <w:rFonts w:ascii="Arial" w:hAnsi="Arial" w:cs="Arial"/>
          <w:b/>
          <w:lang w:val="en-US"/>
        </w:rPr>
      </w:pPr>
    </w:p>
    <w:p w:rsidR="00FD14B5" w:rsidRPr="00170F13" w:rsidRDefault="00FD14B5" w:rsidP="00170F13">
      <w:pPr>
        <w:keepNext/>
        <w:spacing w:line="276" w:lineRule="auto"/>
        <w:ind w:firstLine="708"/>
        <w:jc w:val="both"/>
        <w:rPr>
          <w:rFonts w:ascii="Arial" w:hAnsi="Arial" w:cs="Arial"/>
          <w:sz w:val="18"/>
          <w:szCs w:val="18"/>
        </w:rPr>
      </w:pPr>
      <w:bookmarkStart w:id="219" w:name="_Toc27665418"/>
      <w:r w:rsidRPr="00170F13">
        <w:rPr>
          <w:rFonts w:ascii="Arial" w:hAnsi="Arial" w:cs="Arial"/>
          <w:sz w:val="18"/>
          <w:szCs w:val="18"/>
        </w:rPr>
        <w:t>Sistemas de información administrativos, financieros y de apoyo</w:t>
      </w:r>
      <w:bookmarkEnd w:id="219"/>
    </w:p>
    <w:tbl>
      <w:tblPr>
        <w:tblStyle w:val="Tabladecuadrcula6concolores1"/>
        <w:tblW w:w="8680" w:type="dxa"/>
        <w:tblInd w:w="250" w:type="dxa"/>
        <w:tblLook w:val="04A0" w:firstRow="1" w:lastRow="0" w:firstColumn="1" w:lastColumn="0" w:noHBand="0" w:noVBand="1"/>
      </w:tblPr>
      <w:tblGrid>
        <w:gridCol w:w="600"/>
        <w:gridCol w:w="2127"/>
        <w:gridCol w:w="3935"/>
        <w:gridCol w:w="2018"/>
      </w:tblGrid>
      <w:tr w:rsidR="00FD14B5" w:rsidRPr="00FD14B5" w:rsidTr="00B85448">
        <w:trPr>
          <w:cnfStyle w:val="100000000000" w:firstRow="1" w:lastRow="0" w:firstColumn="0" w:lastColumn="0" w:oddVBand="0" w:evenVBand="0" w:oddHBand="0" w:evenHBand="0" w:firstRowFirstColumn="0" w:firstRowLastColumn="0" w:lastRowFirstColumn="0" w:lastRowLastColumn="0"/>
          <w:trHeight w:val="553"/>
          <w:tblHeader/>
        </w:trPr>
        <w:tc>
          <w:tcPr>
            <w:cnfStyle w:val="001000000000" w:firstRow="0" w:lastRow="0" w:firstColumn="1" w:lastColumn="0" w:oddVBand="0" w:evenVBand="0" w:oddHBand="0" w:evenHBand="0" w:firstRowFirstColumn="0" w:firstRowLastColumn="0" w:lastRowFirstColumn="0" w:lastRowLastColumn="0"/>
            <w:tcW w:w="600" w:type="dxa"/>
            <w:shd w:val="clear" w:color="auto" w:fill="BDD6EE" w:themeFill="accent1" w:themeFillTint="66"/>
            <w:noWrap/>
            <w:vAlign w:val="center"/>
            <w:hideMark/>
          </w:tcPr>
          <w:p w:rsidR="00FD14B5" w:rsidRPr="00FD14B5" w:rsidRDefault="00FD14B5" w:rsidP="00A73E59">
            <w:pPr>
              <w:jc w:val="both"/>
              <w:rPr>
                <w:rFonts w:ascii="Arial" w:eastAsia="Times New Roman" w:hAnsi="Arial" w:cs="Arial"/>
                <w:color w:val="auto"/>
                <w:sz w:val="18"/>
                <w:szCs w:val="18"/>
                <w:lang w:eastAsia="es-CO"/>
              </w:rPr>
            </w:pPr>
            <w:r w:rsidRPr="00FD14B5">
              <w:rPr>
                <w:rFonts w:ascii="Arial" w:hAnsi="Arial" w:cs="Arial"/>
                <w:color w:val="auto"/>
                <w:sz w:val="18"/>
                <w:szCs w:val="18"/>
                <w:lang w:eastAsia="es-CO"/>
              </w:rPr>
              <w:t>Id</w:t>
            </w:r>
          </w:p>
        </w:tc>
        <w:tc>
          <w:tcPr>
            <w:tcW w:w="2127" w:type="dxa"/>
            <w:shd w:val="clear" w:color="auto" w:fill="BDD6EE" w:themeFill="accent1" w:themeFillTint="66"/>
            <w:noWrap/>
            <w:vAlign w:val="center"/>
            <w:hideMark/>
          </w:tcPr>
          <w:p w:rsidR="00FD14B5" w:rsidRPr="00FD14B5" w:rsidRDefault="00FD14B5" w:rsidP="00A73E59">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Nombre</w:t>
            </w:r>
          </w:p>
        </w:tc>
        <w:tc>
          <w:tcPr>
            <w:tcW w:w="3935" w:type="dxa"/>
            <w:shd w:val="clear" w:color="auto" w:fill="BDD6EE" w:themeFill="accent1" w:themeFillTint="66"/>
            <w:noWrap/>
            <w:vAlign w:val="center"/>
            <w:hideMark/>
          </w:tcPr>
          <w:p w:rsidR="00FD14B5" w:rsidRPr="00FD14B5" w:rsidRDefault="00FD14B5" w:rsidP="00A73E59">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Descripción Técnica</w:t>
            </w:r>
          </w:p>
        </w:tc>
        <w:tc>
          <w:tcPr>
            <w:tcW w:w="2018" w:type="dxa"/>
            <w:shd w:val="clear" w:color="auto" w:fill="BDD6EE" w:themeFill="accent1" w:themeFillTint="66"/>
            <w:noWrap/>
            <w:vAlign w:val="center"/>
            <w:hideMark/>
          </w:tcPr>
          <w:p w:rsidR="00FD14B5" w:rsidRPr="00FD14B5" w:rsidRDefault="00FD14B5" w:rsidP="00A73E59">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Plataforma</w:t>
            </w:r>
          </w:p>
        </w:tc>
      </w:tr>
      <w:tr w:rsidR="00FD14B5" w:rsidRPr="00FD14B5" w:rsidTr="00B85448">
        <w:trPr>
          <w:cnfStyle w:val="000000100000" w:firstRow="0" w:lastRow="0" w:firstColumn="0" w:lastColumn="0" w:oddVBand="0" w:evenVBand="0" w:oddHBand="1" w:evenHBand="0" w:firstRowFirstColumn="0" w:firstRowLastColumn="0" w:lastRowFirstColumn="0" w:lastRowLastColumn="0"/>
          <w:trHeight w:val="652"/>
        </w:trPr>
        <w:tc>
          <w:tcPr>
            <w:cnfStyle w:val="001000000000" w:firstRow="0" w:lastRow="0" w:firstColumn="1" w:lastColumn="0" w:oddVBand="0" w:evenVBand="0" w:oddHBand="0" w:evenHBand="0" w:firstRowFirstColumn="0" w:firstRowLastColumn="0" w:lastRowFirstColumn="0" w:lastRowLastColumn="0"/>
            <w:tcW w:w="600"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t>1</w:t>
            </w:r>
          </w:p>
        </w:tc>
        <w:tc>
          <w:tcPr>
            <w:tcW w:w="2127"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ORFEO - Sistema de Gestión Documental</w:t>
            </w:r>
          </w:p>
        </w:tc>
        <w:tc>
          <w:tcPr>
            <w:tcW w:w="3935"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Gestiona  la correspondencia entrante, interna y saliente de la entidad.</w:t>
            </w:r>
          </w:p>
        </w:tc>
        <w:tc>
          <w:tcPr>
            <w:tcW w:w="2018"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Arq.: Web</w:t>
            </w:r>
            <w:r w:rsidRPr="00FD14B5">
              <w:rPr>
                <w:rFonts w:ascii="Arial" w:hAnsi="Arial" w:cs="Arial"/>
                <w:color w:val="auto"/>
                <w:sz w:val="18"/>
                <w:szCs w:val="18"/>
                <w:lang w:eastAsia="es-CO"/>
              </w:rPr>
              <w:br/>
              <w:t>Lenguaje: PHP - 5.3</w:t>
            </w:r>
            <w:r w:rsidRPr="00FD14B5">
              <w:rPr>
                <w:rFonts w:ascii="Arial" w:hAnsi="Arial" w:cs="Arial"/>
                <w:color w:val="auto"/>
                <w:sz w:val="18"/>
                <w:szCs w:val="18"/>
                <w:lang w:eastAsia="es-CO"/>
              </w:rPr>
              <w:br/>
              <w:t>DB: ORACLE</w:t>
            </w:r>
          </w:p>
        </w:tc>
      </w:tr>
      <w:tr w:rsidR="00FD14B5" w:rsidRPr="00370591" w:rsidTr="00B85448">
        <w:trPr>
          <w:trHeight w:val="839"/>
        </w:trPr>
        <w:tc>
          <w:tcPr>
            <w:cnfStyle w:val="001000000000" w:firstRow="0" w:lastRow="0" w:firstColumn="1" w:lastColumn="0" w:oddVBand="0" w:evenVBand="0" w:oddHBand="0" w:evenHBand="0" w:firstRowFirstColumn="0" w:firstRowLastColumn="0" w:lastRowFirstColumn="0" w:lastRowLastColumn="0"/>
            <w:tcW w:w="600"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t>2</w:t>
            </w:r>
          </w:p>
        </w:tc>
        <w:tc>
          <w:tcPr>
            <w:tcW w:w="2127"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STONE - Sistema de Información Administrativo y Financiero</w:t>
            </w:r>
          </w:p>
        </w:tc>
        <w:tc>
          <w:tcPr>
            <w:tcW w:w="3935"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Permite la gestión de los procesos de presupuesto, contabilidad, tesorería y activos fijos de la entidad.</w:t>
            </w:r>
          </w:p>
        </w:tc>
        <w:tc>
          <w:tcPr>
            <w:tcW w:w="2018"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val="en-US" w:eastAsia="es-CO"/>
              </w:rPr>
            </w:pPr>
            <w:r w:rsidRPr="00FD14B5">
              <w:rPr>
                <w:rFonts w:ascii="Arial" w:hAnsi="Arial" w:cs="Arial"/>
                <w:color w:val="auto"/>
                <w:sz w:val="18"/>
                <w:szCs w:val="18"/>
                <w:lang w:val="en-US" w:eastAsia="es-CO"/>
              </w:rPr>
              <w:t>Arq.: C/S</w:t>
            </w:r>
            <w:r w:rsidRPr="00FD14B5">
              <w:rPr>
                <w:rFonts w:ascii="Arial" w:hAnsi="Arial" w:cs="Arial"/>
                <w:color w:val="auto"/>
                <w:sz w:val="18"/>
                <w:szCs w:val="18"/>
                <w:lang w:val="en-US" w:eastAsia="es-CO"/>
              </w:rPr>
              <w:br/>
              <w:t>Lenguaje: DELPHI</w:t>
            </w:r>
            <w:r w:rsidRPr="00FD14B5">
              <w:rPr>
                <w:rFonts w:ascii="Arial" w:hAnsi="Arial" w:cs="Arial"/>
                <w:color w:val="auto"/>
                <w:sz w:val="18"/>
                <w:szCs w:val="18"/>
                <w:lang w:val="en-US" w:eastAsia="es-CO"/>
              </w:rPr>
              <w:br/>
              <w:t>DB: SQL Server</w:t>
            </w:r>
          </w:p>
        </w:tc>
      </w:tr>
      <w:tr w:rsidR="00FD14B5" w:rsidRPr="00370591" w:rsidTr="00B85448">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600"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t>3</w:t>
            </w:r>
          </w:p>
        </w:tc>
        <w:tc>
          <w:tcPr>
            <w:tcW w:w="2127"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KACTUS-HR - Sistema de Información de Recursos Humanos</w:t>
            </w:r>
          </w:p>
        </w:tc>
        <w:tc>
          <w:tcPr>
            <w:tcW w:w="3935"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Administra la información del talento humano de la entidad, desde el reclutamiento, pasando por nómina, bienestar, evaluación del desempeño, hasta la desvinculación.</w:t>
            </w:r>
          </w:p>
        </w:tc>
        <w:tc>
          <w:tcPr>
            <w:tcW w:w="2018"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val="en-US" w:eastAsia="es-CO"/>
              </w:rPr>
            </w:pPr>
            <w:r w:rsidRPr="00FD14B5">
              <w:rPr>
                <w:rFonts w:ascii="Arial" w:hAnsi="Arial" w:cs="Arial"/>
                <w:color w:val="auto"/>
                <w:sz w:val="18"/>
                <w:szCs w:val="18"/>
                <w:lang w:val="en-US" w:eastAsia="es-CO"/>
              </w:rPr>
              <w:t>Arq.: C/S</w:t>
            </w:r>
            <w:r w:rsidRPr="00FD14B5">
              <w:rPr>
                <w:rFonts w:ascii="Arial" w:hAnsi="Arial" w:cs="Arial"/>
                <w:color w:val="auto"/>
                <w:sz w:val="18"/>
                <w:szCs w:val="18"/>
                <w:lang w:val="en-US" w:eastAsia="es-CO"/>
              </w:rPr>
              <w:br/>
              <w:t>Lenguaje: DELPHI</w:t>
            </w:r>
            <w:r w:rsidRPr="00FD14B5">
              <w:rPr>
                <w:rFonts w:ascii="Arial" w:hAnsi="Arial" w:cs="Arial"/>
                <w:color w:val="auto"/>
                <w:sz w:val="18"/>
                <w:szCs w:val="18"/>
                <w:lang w:val="en-US" w:eastAsia="es-CO"/>
              </w:rPr>
              <w:br/>
              <w:t>DB: SQL Server</w:t>
            </w:r>
          </w:p>
        </w:tc>
      </w:tr>
      <w:tr w:rsidR="00FD14B5" w:rsidRPr="00370591" w:rsidTr="00B85448">
        <w:trPr>
          <w:trHeight w:val="693"/>
        </w:trPr>
        <w:tc>
          <w:tcPr>
            <w:cnfStyle w:val="001000000000" w:firstRow="0" w:lastRow="0" w:firstColumn="1" w:lastColumn="0" w:oddVBand="0" w:evenVBand="0" w:oddHBand="0" w:evenHBand="0" w:firstRowFirstColumn="0" w:firstRowLastColumn="0" w:lastRowFirstColumn="0" w:lastRowLastColumn="0"/>
            <w:tcW w:w="600"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t>4</w:t>
            </w:r>
          </w:p>
        </w:tc>
        <w:tc>
          <w:tcPr>
            <w:tcW w:w="2127"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PRONTO PAGO - Sistema de Información de Pagos</w:t>
            </w:r>
          </w:p>
        </w:tc>
        <w:tc>
          <w:tcPr>
            <w:tcW w:w="3935"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Permite elaborar  y hacer seguimiento al flujo de las cuentas por pagar a terceros.</w:t>
            </w:r>
          </w:p>
        </w:tc>
        <w:tc>
          <w:tcPr>
            <w:tcW w:w="2018"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val="en-US" w:eastAsia="es-CO"/>
              </w:rPr>
            </w:pPr>
            <w:r w:rsidRPr="00FD14B5">
              <w:rPr>
                <w:rFonts w:ascii="Arial" w:hAnsi="Arial" w:cs="Arial"/>
                <w:color w:val="auto"/>
                <w:sz w:val="18"/>
                <w:szCs w:val="18"/>
                <w:lang w:val="en-US" w:eastAsia="es-CO"/>
              </w:rPr>
              <w:t>Arq.: C/S</w:t>
            </w:r>
            <w:r w:rsidRPr="00FD14B5">
              <w:rPr>
                <w:rFonts w:ascii="Arial" w:hAnsi="Arial" w:cs="Arial"/>
                <w:color w:val="auto"/>
                <w:sz w:val="18"/>
                <w:szCs w:val="18"/>
                <w:lang w:val="en-US" w:eastAsia="es-CO"/>
              </w:rPr>
              <w:br/>
              <w:t>Lenguaje: DELPHI</w:t>
            </w:r>
            <w:r w:rsidRPr="00FD14B5">
              <w:rPr>
                <w:rFonts w:ascii="Arial" w:hAnsi="Arial" w:cs="Arial"/>
                <w:color w:val="auto"/>
                <w:sz w:val="18"/>
                <w:szCs w:val="18"/>
                <w:lang w:val="en-US" w:eastAsia="es-CO"/>
              </w:rPr>
              <w:br/>
              <w:t>DB: SQL Server</w:t>
            </w:r>
          </w:p>
        </w:tc>
      </w:tr>
      <w:tr w:rsidR="00FD14B5" w:rsidRPr="00370591" w:rsidTr="00B85448">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600"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t>5</w:t>
            </w:r>
          </w:p>
        </w:tc>
        <w:tc>
          <w:tcPr>
            <w:tcW w:w="2127"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SIAC- Sistema de Información de Acompañamiento Contractual</w:t>
            </w:r>
          </w:p>
        </w:tc>
        <w:tc>
          <w:tcPr>
            <w:tcW w:w="3935"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Registra, controla y facilita el seguimiento a los procesos de  contratación.</w:t>
            </w:r>
          </w:p>
        </w:tc>
        <w:tc>
          <w:tcPr>
            <w:tcW w:w="2018"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val="en-US" w:eastAsia="es-CO"/>
              </w:rPr>
            </w:pPr>
            <w:r w:rsidRPr="00FD14B5">
              <w:rPr>
                <w:rFonts w:ascii="Arial" w:hAnsi="Arial" w:cs="Arial"/>
                <w:color w:val="auto"/>
                <w:sz w:val="18"/>
                <w:szCs w:val="18"/>
                <w:lang w:val="en-US" w:eastAsia="es-CO"/>
              </w:rPr>
              <w:t>Arq.: C/S</w:t>
            </w:r>
            <w:r w:rsidRPr="00FD14B5">
              <w:rPr>
                <w:rFonts w:ascii="Arial" w:hAnsi="Arial" w:cs="Arial"/>
                <w:color w:val="auto"/>
                <w:sz w:val="18"/>
                <w:szCs w:val="18"/>
                <w:lang w:val="en-US" w:eastAsia="es-CO"/>
              </w:rPr>
              <w:br/>
              <w:t>Lenguaje: DELPHI</w:t>
            </w:r>
            <w:r w:rsidRPr="00FD14B5">
              <w:rPr>
                <w:rFonts w:ascii="Arial" w:hAnsi="Arial" w:cs="Arial"/>
                <w:color w:val="auto"/>
                <w:sz w:val="18"/>
                <w:szCs w:val="18"/>
                <w:lang w:val="en-US" w:eastAsia="es-CO"/>
              </w:rPr>
              <w:br/>
              <w:t>DB: SQL Server</w:t>
            </w:r>
          </w:p>
        </w:tc>
      </w:tr>
      <w:tr w:rsidR="00FD14B5" w:rsidRPr="00370591" w:rsidTr="00B85448">
        <w:trPr>
          <w:trHeight w:val="844"/>
        </w:trPr>
        <w:tc>
          <w:tcPr>
            <w:cnfStyle w:val="001000000000" w:firstRow="0" w:lastRow="0" w:firstColumn="1" w:lastColumn="0" w:oddVBand="0" w:evenVBand="0" w:oddHBand="0" w:evenHBand="0" w:firstRowFirstColumn="0" w:firstRowLastColumn="0" w:lastRowFirstColumn="0" w:lastRowLastColumn="0"/>
            <w:tcW w:w="600"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t>6</w:t>
            </w:r>
          </w:p>
        </w:tc>
        <w:tc>
          <w:tcPr>
            <w:tcW w:w="2127"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Sistema de Información Validación POAI - Seguimiento Plan Operativo de Inversión</w:t>
            </w:r>
          </w:p>
        </w:tc>
        <w:tc>
          <w:tcPr>
            <w:tcW w:w="3935"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Genera información consolidada para el seguimiento de los proyectos de inversión.</w:t>
            </w:r>
          </w:p>
        </w:tc>
        <w:tc>
          <w:tcPr>
            <w:tcW w:w="2018"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val="en-US" w:eastAsia="es-CO"/>
              </w:rPr>
            </w:pPr>
            <w:r w:rsidRPr="00FD14B5">
              <w:rPr>
                <w:rFonts w:ascii="Arial" w:hAnsi="Arial" w:cs="Arial"/>
                <w:color w:val="auto"/>
                <w:sz w:val="18"/>
                <w:szCs w:val="18"/>
                <w:lang w:val="en-US" w:eastAsia="es-CO"/>
              </w:rPr>
              <w:t>Arq.: C/S</w:t>
            </w:r>
            <w:r w:rsidRPr="00FD14B5">
              <w:rPr>
                <w:rFonts w:ascii="Arial" w:hAnsi="Arial" w:cs="Arial"/>
                <w:color w:val="auto"/>
                <w:sz w:val="18"/>
                <w:szCs w:val="18"/>
                <w:lang w:val="en-US" w:eastAsia="es-CO"/>
              </w:rPr>
              <w:br/>
              <w:t>Lenguaje: DELPHI</w:t>
            </w:r>
            <w:r w:rsidRPr="00FD14B5">
              <w:rPr>
                <w:rFonts w:ascii="Arial" w:hAnsi="Arial" w:cs="Arial"/>
                <w:color w:val="auto"/>
                <w:sz w:val="18"/>
                <w:szCs w:val="18"/>
                <w:lang w:val="en-US" w:eastAsia="es-CO"/>
              </w:rPr>
              <w:br/>
              <w:t>DB: SQL Server</w:t>
            </w:r>
          </w:p>
        </w:tc>
      </w:tr>
      <w:tr w:rsidR="00FD14B5" w:rsidRPr="00FD14B5" w:rsidTr="00B85448">
        <w:trPr>
          <w:cnfStyle w:val="000000100000" w:firstRow="0" w:lastRow="0" w:firstColumn="0" w:lastColumn="0" w:oddVBand="0" w:evenVBand="0" w:oddHBand="1"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600"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t>7</w:t>
            </w:r>
          </w:p>
        </w:tc>
        <w:tc>
          <w:tcPr>
            <w:tcW w:w="2127"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MOODLE - Plataforma de Aprendizaje</w:t>
            </w:r>
          </w:p>
        </w:tc>
        <w:tc>
          <w:tcPr>
            <w:tcW w:w="3935"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Ambiente virtual de aprendizaje.</w:t>
            </w:r>
          </w:p>
        </w:tc>
        <w:tc>
          <w:tcPr>
            <w:tcW w:w="2018"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Arq.: Web</w:t>
            </w:r>
            <w:r w:rsidRPr="00FD14B5">
              <w:rPr>
                <w:rFonts w:ascii="Arial" w:hAnsi="Arial" w:cs="Arial"/>
                <w:color w:val="auto"/>
                <w:sz w:val="18"/>
                <w:szCs w:val="18"/>
                <w:lang w:eastAsia="es-CO"/>
              </w:rPr>
              <w:br/>
              <w:t>Lenguaje: PHP</w:t>
            </w:r>
            <w:r w:rsidRPr="00FD14B5">
              <w:rPr>
                <w:rFonts w:ascii="Arial" w:hAnsi="Arial" w:cs="Arial"/>
                <w:color w:val="auto"/>
                <w:sz w:val="18"/>
                <w:szCs w:val="18"/>
                <w:lang w:eastAsia="es-CO"/>
              </w:rPr>
              <w:br/>
              <w:t>DB: Postgres</w:t>
            </w:r>
          </w:p>
        </w:tc>
      </w:tr>
      <w:tr w:rsidR="00FD14B5" w:rsidRPr="00370591" w:rsidTr="00B85448">
        <w:trPr>
          <w:trHeight w:val="838"/>
        </w:trPr>
        <w:tc>
          <w:tcPr>
            <w:cnfStyle w:val="001000000000" w:firstRow="0" w:lastRow="0" w:firstColumn="1" w:lastColumn="0" w:oddVBand="0" w:evenVBand="0" w:oddHBand="0" w:evenHBand="0" w:firstRowFirstColumn="0" w:firstRowLastColumn="0" w:lastRowFirstColumn="0" w:lastRowLastColumn="0"/>
            <w:tcW w:w="600"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lastRenderedPageBreak/>
              <w:t>8</w:t>
            </w:r>
          </w:p>
        </w:tc>
        <w:tc>
          <w:tcPr>
            <w:tcW w:w="2127"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 xml:space="preserve">CONSTRUPLAN - Sistema de Presupuestos de Construcción - </w:t>
            </w:r>
          </w:p>
        </w:tc>
        <w:tc>
          <w:tcPr>
            <w:tcW w:w="3935"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Sistema de precios de insumos de obra.</w:t>
            </w:r>
          </w:p>
        </w:tc>
        <w:tc>
          <w:tcPr>
            <w:tcW w:w="2018"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val="en-US" w:eastAsia="es-CO"/>
              </w:rPr>
            </w:pPr>
            <w:r w:rsidRPr="00FD14B5">
              <w:rPr>
                <w:rFonts w:ascii="Arial" w:hAnsi="Arial" w:cs="Arial"/>
                <w:color w:val="auto"/>
                <w:sz w:val="18"/>
                <w:szCs w:val="18"/>
                <w:lang w:val="en-US" w:eastAsia="es-CO"/>
              </w:rPr>
              <w:t>Arq.: Web</w:t>
            </w:r>
            <w:r w:rsidRPr="00FD14B5">
              <w:rPr>
                <w:rFonts w:ascii="Arial" w:hAnsi="Arial" w:cs="Arial"/>
                <w:color w:val="auto"/>
                <w:sz w:val="18"/>
                <w:szCs w:val="18"/>
                <w:lang w:val="en-US" w:eastAsia="es-CO"/>
              </w:rPr>
              <w:br/>
              <w:t>Lenguaje: .Net / IIS 8.5</w:t>
            </w:r>
            <w:r w:rsidRPr="00FD14B5">
              <w:rPr>
                <w:rFonts w:ascii="Arial" w:hAnsi="Arial" w:cs="Arial"/>
                <w:color w:val="auto"/>
                <w:sz w:val="18"/>
                <w:szCs w:val="18"/>
                <w:lang w:val="en-US" w:eastAsia="es-CO"/>
              </w:rPr>
              <w:br/>
              <w:t>DB: SQL Server</w:t>
            </w:r>
          </w:p>
        </w:tc>
      </w:tr>
      <w:tr w:rsidR="00FD14B5" w:rsidRPr="00FD14B5" w:rsidTr="00B85448">
        <w:trPr>
          <w:cnfStyle w:val="000000100000" w:firstRow="0" w:lastRow="0" w:firstColumn="0" w:lastColumn="0" w:oddVBand="0" w:evenVBand="0" w:oddHBand="1" w:evenHBand="0" w:firstRowFirstColumn="0" w:firstRowLastColumn="0" w:lastRowFirstColumn="0" w:lastRowLastColumn="0"/>
          <w:trHeight w:val="695"/>
        </w:trPr>
        <w:tc>
          <w:tcPr>
            <w:cnfStyle w:val="001000000000" w:firstRow="0" w:lastRow="0" w:firstColumn="1" w:lastColumn="0" w:oddVBand="0" w:evenVBand="0" w:oddHBand="0" w:evenHBand="0" w:firstRowFirstColumn="0" w:firstRowLastColumn="0" w:lastRowFirstColumn="0" w:lastRowLastColumn="0"/>
            <w:tcW w:w="600"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t>9</w:t>
            </w:r>
          </w:p>
        </w:tc>
        <w:tc>
          <w:tcPr>
            <w:tcW w:w="2127"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ARANDA - sistema de Gestión Mesa de Servicio IT</w:t>
            </w:r>
          </w:p>
        </w:tc>
        <w:tc>
          <w:tcPr>
            <w:tcW w:w="3935"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Sistema de gestión de mesa de servicios de TI.</w:t>
            </w:r>
          </w:p>
        </w:tc>
        <w:tc>
          <w:tcPr>
            <w:tcW w:w="2018"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Arq.: Web</w:t>
            </w:r>
            <w:r w:rsidRPr="00FD14B5">
              <w:rPr>
                <w:rFonts w:ascii="Arial" w:hAnsi="Arial" w:cs="Arial"/>
                <w:color w:val="auto"/>
                <w:sz w:val="18"/>
                <w:szCs w:val="18"/>
                <w:lang w:eastAsia="es-CO"/>
              </w:rPr>
              <w:br/>
              <w:t>Lenguaje: PHP - Python  (Aplicación: .net para web )</w:t>
            </w:r>
            <w:r w:rsidRPr="00FD14B5">
              <w:rPr>
                <w:rFonts w:ascii="Arial" w:hAnsi="Arial" w:cs="Arial"/>
                <w:color w:val="auto"/>
                <w:sz w:val="18"/>
                <w:szCs w:val="18"/>
                <w:lang w:eastAsia="es-CO"/>
              </w:rPr>
              <w:br/>
              <w:t>DB: ORACLE</w:t>
            </w:r>
          </w:p>
        </w:tc>
      </w:tr>
      <w:tr w:rsidR="00FD14B5" w:rsidRPr="00370591" w:rsidTr="00B85448">
        <w:trPr>
          <w:trHeight w:val="839"/>
        </w:trPr>
        <w:tc>
          <w:tcPr>
            <w:cnfStyle w:val="001000000000" w:firstRow="0" w:lastRow="0" w:firstColumn="1" w:lastColumn="0" w:oddVBand="0" w:evenVBand="0" w:oddHBand="0" w:evenHBand="0" w:firstRowFirstColumn="0" w:firstRowLastColumn="0" w:lastRowFirstColumn="0" w:lastRowLastColumn="0"/>
            <w:tcW w:w="600"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t>10</w:t>
            </w:r>
          </w:p>
        </w:tc>
        <w:tc>
          <w:tcPr>
            <w:tcW w:w="2127"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CHIE - Sistemas de Apoyo la Gestión Administrativa</w:t>
            </w:r>
          </w:p>
        </w:tc>
        <w:tc>
          <w:tcPr>
            <w:tcW w:w="3935"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Sistemas de Apoyo la Gestión:</w:t>
            </w:r>
            <w:r w:rsidRPr="00FD14B5">
              <w:rPr>
                <w:rFonts w:ascii="Arial" w:hAnsi="Arial" w:cs="Arial"/>
                <w:color w:val="auto"/>
                <w:sz w:val="18"/>
                <w:szCs w:val="18"/>
                <w:lang w:eastAsia="es-CO"/>
              </w:rPr>
              <w:br/>
              <w:t>Registro y seguimiento del plan anual de adquisiciones</w:t>
            </w:r>
          </w:p>
        </w:tc>
        <w:tc>
          <w:tcPr>
            <w:tcW w:w="2018"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val="en-US" w:eastAsia="es-CO"/>
              </w:rPr>
            </w:pPr>
            <w:r w:rsidRPr="00FD14B5">
              <w:rPr>
                <w:rFonts w:ascii="Arial" w:hAnsi="Arial" w:cs="Arial"/>
                <w:color w:val="auto"/>
                <w:sz w:val="18"/>
                <w:szCs w:val="18"/>
                <w:lang w:val="en-US" w:eastAsia="es-CO"/>
              </w:rPr>
              <w:t>Arq.: Web</w:t>
            </w:r>
            <w:r w:rsidRPr="00FD14B5">
              <w:rPr>
                <w:rFonts w:ascii="Arial" w:hAnsi="Arial" w:cs="Arial"/>
                <w:color w:val="auto"/>
                <w:sz w:val="18"/>
                <w:szCs w:val="18"/>
                <w:lang w:val="en-US" w:eastAsia="es-CO"/>
              </w:rPr>
              <w:br/>
              <w:t>Lenguaje:  Python / framework OpenERP</w:t>
            </w:r>
            <w:r w:rsidRPr="00FD14B5">
              <w:rPr>
                <w:rFonts w:ascii="Arial" w:hAnsi="Arial" w:cs="Arial"/>
                <w:color w:val="auto"/>
                <w:sz w:val="18"/>
                <w:szCs w:val="18"/>
                <w:lang w:val="en-US" w:eastAsia="es-CO"/>
              </w:rPr>
              <w:br/>
              <w:t>BD: Postgres</w:t>
            </w:r>
          </w:p>
        </w:tc>
      </w:tr>
      <w:tr w:rsidR="00FD14B5" w:rsidRPr="00370591" w:rsidTr="00B85448">
        <w:trPr>
          <w:cnfStyle w:val="000000100000" w:firstRow="0" w:lastRow="0" w:firstColumn="0" w:lastColumn="0" w:oddVBand="0" w:evenVBand="0" w:oddHBand="1" w:evenHBand="0" w:firstRowFirstColumn="0" w:firstRowLastColumn="0" w:lastRowFirstColumn="0" w:lastRowLastColumn="0"/>
          <w:trHeight w:val="839"/>
        </w:trPr>
        <w:tc>
          <w:tcPr>
            <w:cnfStyle w:val="001000000000" w:firstRow="0" w:lastRow="0" w:firstColumn="1" w:lastColumn="0" w:oddVBand="0" w:evenVBand="0" w:oddHBand="0" w:evenHBand="0" w:firstRowFirstColumn="0" w:firstRowLastColumn="0" w:lastRowFirstColumn="0" w:lastRowLastColumn="0"/>
            <w:tcW w:w="600"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t>11</w:t>
            </w:r>
          </w:p>
        </w:tc>
        <w:tc>
          <w:tcPr>
            <w:tcW w:w="2127"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CHIE - Sistemas de Apoyo la Gestión Administrativa</w:t>
            </w:r>
          </w:p>
        </w:tc>
        <w:tc>
          <w:tcPr>
            <w:tcW w:w="3935"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Sistemas de Apoyo la Gestión:</w:t>
            </w:r>
            <w:r w:rsidRPr="00FD14B5">
              <w:rPr>
                <w:rFonts w:ascii="Arial" w:hAnsi="Arial" w:cs="Arial"/>
                <w:color w:val="auto"/>
                <w:sz w:val="18"/>
                <w:szCs w:val="18"/>
                <w:lang w:eastAsia="es-CO"/>
              </w:rPr>
              <w:br/>
              <w:t>Gestión de recursos de T.I.</w:t>
            </w:r>
          </w:p>
        </w:tc>
        <w:tc>
          <w:tcPr>
            <w:tcW w:w="2018"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val="en-US" w:eastAsia="es-CO"/>
              </w:rPr>
            </w:pPr>
            <w:r w:rsidRPr="00FD14B5">
              <w:rPr>
                <w:rFonts w:ascii="Arial" w:hAnsi="Arial" w:cs="Arial"/>
                <w:color w:val="auto"/>
                <w:sz w:val="18"/>
                <w:szCs w:val="18"/>
                <w:lang w:val="en-US" w:eastAsia="es-CO"/>
              </w:rPr>
              <w:t>Arq.: Web</w:t>
            </w:r>
            <w:r w:rsidRPr="00FD14B5">
              <w:rPr>
                <w:rFonts w:ascii="Arial" w:hAnsi="Arial" w:cs="Arial"/>
                <w:color w:val="auto"/>
                <w:sz w:val="18"/>
                <w:szCs w:val="18"/>
                <w:lang w:val="en-US" w:eastAsia="es-CO"/>
              </w:rPr>
              <w:br/>
              <w:t>Lenguaje Python / framework OpenERP</w:t>
            </w:r>
            <w:r w:rsidRPr="00FD14B5">
              <w:rPr>
                <w:rFonts w:ascii="Arial" w:hAnsi="Arial" w:cs="Arial"/>
                <w:color w:val="auto"/>
                <w:sz w:val="18"/>
                <w:szCs w:val="18"/>
                <w:lang w:val="en-US" w:eastAsia="es-CO"/>
              </w:rPr>
              <w:br/>
              <w:t>BD: Postgres</w:t>
            </w:r>
          </w:p>
        </w:tc>
      </w:tr>
      <w:tr w:rsidR="00FD14B5" w:rsidRPr="00FD14B5" w:rsidTr="00B85448">
        <w:trPr>
          <w:trHeight w:val="682"/>
        </w:trPr>
        <w:tc>
          <w:tcPr>
            <w:cnfStyle w:val="001000000000" w:firstRow="0" w:lastRow="0" w:firstColumn="1" w:lastColumn="0" w:oddVBand="0" w:evenVBand="0" w:oddHBand="0" w:evenHBand="0" w:firstRowFirstColumn="0" w:firstRowLastColumn="0" w:lastRowFirstColumn="0" w:lastRowLastColumn="0"/>
            <w:tcW w:w="600"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t>12</w:t>
            </w:r>
          </w:p>
        </w:tc>
        <w:tc>
          <w:tcPr>
            <w:tcW w:w="2127"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DIGITURNO - Asignación de turnos puntos de atención</w:t>
            </w:r>
          </w:p>
        </w:tc>
        <w:tc>
          <w:tcPr>
            <w:tcW w:w="3935"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Sistema de asignación de turnos en los puntos de atención del IDU.</w:t>
            </w:r>
          </w:p>
        </w:tc>
        <w:tc>
          <w:tcPr>
            <w:tcW w:w="2018"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Arq: Web</w:t>
            </w:r>
            <w:r w:rsidRPr="00FD14B5">
              <w:rPr>
                <w:rFonts w:ascii="Arial" w:hAnsi="Arial" w:cs="Arial"/>
                <w:color w:val="auto"/>
                <w:sz w:val="18"/>
                <w:szCs w:val="18"/>
                <w:lang w:eastAsia="es-CO"/>
              </w:rPr>
              <w:br/>
              <w:t>Lenguaje: .Net</w:t>
            </w:r>
            <w:r w:rsidRPr="00FD14B5">
              <w:rPr>
                <w:rFonts w:ascii="Arial" w:hAnsi="Arial" w:cs="Arial"/>
                <w:color w:val="auto"/>
                <w:sz w:val="18"/>
                <w:szCs w:val="18"/>
                <w:lang w:eastAsia="es-CO"/>
              </w:rPr>
              <w:br/>
              <w:t>BD: SQL Server</w:t>
            </w:r>
          </w:p>
        </w:tc>
      </w:tr>
      <w:tr w:rsidR="00FD14B5" w:rsidRPr="00FD14B5" w:rsidTr="00B85448">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600" w:type="dxa"/>
            <w:shd w:val="clear" w:color="auto" w:fill="auto"/>
            <w:noWrap/>
            <w:hideMark/>
          </w:tcPr>
          <w:p w:rsidR="00FD14B5" w:rsidRPr="00FD14B5" w:rsidRDefault="00FD14B5" w:rsidP="00A73E59">
            <w:pPr>
              <w:jc w:val="both"/>
              <w:rPr>
                <w:rFonts w:ascii="Arial" w:hAnsi="Arial" w:cs="Arial"/>
                <w:color w:val="auto"/>
                <w:sz w:val="18"/>
                <w:szCs w:val="18"/>
                <w:lang w:eastAsia="es-CO"/>
              </w:rPr>
            </w:pPr>
            <w:r w:rsidRPr="00FD14B5">
              <w:rPr>
                <w:rFonts w:ascii="Arial" w:hAnsi="Arial" w:cs="Arial"/>
                <w:color w:val="auto"/>
                <w:sz w:val="18"/>
                <w:szCs w:val="18"/>
                <w:lang w:eastAsia="es-CO"/>
              </w:rPr>
              <w:t>13</w:t>
            </w:r>
          </w:p>
        </w:tc>
        <w:tc>
          <w:tcPr>
            <w:tcW w:w="2127"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BIOSTAR - Sistema de Control de Acceso</w:t>
            </w:r>
          </w:p>
        </w:tc>
        <w:tc>
          <w:tcPr>
            <w:tcW w:w="3935"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Software de control de acceso a las sedes de la entidad.</w:t>
            </w:r>
          </w:p>
        </w:tc>
        <w:tc>
          <w:tcPr>
            <w:tcW w:w="2018"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eastAsia="es-CO"/>
              </w:rPr>
            </w:pPr>
            <w:r w:rsidRPr="00FD14B5">
              <w:rPr>
                <w:rFonts w:ascii="Arial" w:hAnsi="Arial" w:cs="Arial"/>
                <w:color w:val="auto"/>
                <w:sz w:val="18"/>
                <w:szCs w:val="18"/>
                <w:lang w:eastAsia="es-CO"/>
              </w:rPr>
              <w:t>Arq: Web</w:t>
            </w:r>
            <w:r w:rsidRPr="00FD14B5">
              <w:rPr>
                <w:rFonts w:ascii="Arial" w:hAnsi="Arial" w:cs="Arial"/>
                <w:color w:val="auto"/>
                <w:sz w:val="18"/>
                <w:szCs w:val="18"/>
                <w:lang w:eastAsia="es-CO"/>
              </w:rPr>
              <w:br/>
              <w:t>Lenguaje: .Net</w:t>
            </w:r>
            <w:r w:rsidRPr="00FD14B5">
              <w:rPr>
                <w:rFonts w:ascii="Arial" w:hAnsi="Arial" w:cs="Arial"/>
                <w:color w:val="auto"/>
                <w:sz w:val="18"/>
                <w:szCs w:val="18"/>
                <w:lang w:eastAsia="es-CO"/>
              </w:rPr>
              <w:br/>
              <w:t>BD: SQL Server</w:t>
            </w:r>
          </w:p>
        </w:tc>
      </w:tr>
    </w:tbl>
    <w:p w:rsidR="00FD14B5" w:rsidRPr="00FD14B5" w:rsidRDefault="00FD14B5" w:rsidP="00A73E59">
      <w:pPr>
        <w:spacing w:line="276" w:lineRule="auto"/>
        <w:jc w:val="both"/>
        <w:rPr>
          <w:rFonts w:ascii="Arial" w:hAnsi="Arial" w:cs="Arial"/>
          <w:b/>
        </w:rPr>
      </w:pPr>
    </w:p>
    <w:p w:rsidR="00FD14B5" w:rsidRPr="00FD14B5" w:rsidRDefault="00FD14B5" w:rsidP="00170F13">
      <w:pPr>
        <w:pStyle w:val="Descripcin"/>
        <w:keepNext/>
        <w:spacing w:after="0"/>
        <w:ind w:firstLine="708"/>
        <w:rPr>
          <w:rFonts w:ascii="Arial" w:hAnsi="Arial" w:cs="Arial"/>
          <w:color w:val="auto"/>
        </w:rPr>
      </w:pPr>
      <w:bookmarkStart w:id="220" w:name="_Toc27665419"/>
      <w:r w:rsidRPr="00FD14B5">
        <w:rPr>
          <w:rFonts w:ascii="Arial" w:hAnsi="Arial" w:cs="Arial"/>
          <w:color w:val="auto"/>
        </w:rPr>
        <w:t>Portales Digitales</w:t>
      </w:r>
      <w:bookmarkEnd w:id="220"/>
    </w:p>
    <w:tbl>
      <w:tblPr>
        <w:tblStyle w:val="Tabladecuadrcula6concolores1"/>
        <w:tblW w:w="8680" w:type="dxa"/>
        <w:tblInd w:w="250" w:type="dxa"/>
        <w:tblLook w:val="04A0" w:firstRow="1" w:lastRow="0" w:firstColumn="1" w:lastColumn="0" w:noHBand="0" w:noVBand="1"/>
      </w:tblPr>
      <w:tblGrid>
        <w:gridCol w:w="600"/>
        <w:gridCol w:w="2127"/>
        <w:gridCol w:w="3935"/>
        <w:gridCol w:w="2018"/>
      </w:tblGrid>
      <w:tr w:rsidR="00FD14B5" w:rsidRPr="00FD14B5" w:rsidTr="00B85448">
        <w:trPr>
          <w:cnfStyle w:val="100000000000" w:firstRow="1" w:lastRow="0" w:firstColumn="0" w:lastColumn="0" w:oddVBand="0" w:evenVBand="0" w:oddHBand="0" w:evenHBand="0" w:firstRowFirstColumn="0" w:firstRowLastColumn="0" w:lastRowFirstColumn="0" w:lastRowLastColumn="0"/>
          <w:trHeight w:val="425"/>
          <w:tblHeader/>
        </w:trPr>
        <w:tc>
          <w:tcPr>
            <w:cnfStyle w:val="001000000000" w:firstRow="0" w:lastRow="0" w:firstColumn="1" w:lastColumn="0" w:oddVBand="0" w:evenVBand="0" w:oddHBand="0" w:evenHBand="0" w:firstRowFirstColumn="0" w:firstRowLastColumn="0" w:lastRowFirstColumn="0" w:lastRowLastColumn="0"/>
            <w:tcW w:w="600" w:type="dxa"/>
            <w:shd w:val="clear" w:color="auto" w:fill="BDD6EE" w:themeFill="accent1" w:themeFillTint="66"/>
            <w:noWrap/>
            <w:vAlign w:val="center"/>
            <w:hideMark/>
          </w:tcPr>
          <w:p w:rsidR="00FD14B5" w:rsidRPr="00FD14B5" w:rsidRDefault="00FD14B5" w:rsidP="00A73E59">
            <w:pPr>
              <w:jc w:val="both"/>
              <w:rPr>
                <w:rFonts w:ascii="Arial" w:eastAsia="Times New Roman" w:hAnsi="Arial" w:cs="Arial"/>
                <w:color w:val="auto"/>
                <w:sz w:val="18"/>
                <w:szCs w:val="20"/>
                <w:lang w:eastAsia="es-CO"/>
              </w:rPr>
            </w:pPr>
            <w:r w:rsidRPr="00FD14B5">
              <w:rPr>
                <w:rFonts w:ascii="Arial" w:hAnsi="Arial" w:cs="Arial"/>
                <w:bCs w:val="0"/>
                <w:color w:val="auto"/>
                <w:sz w:val="18"/>
                <w:szCs w:val="20"/>
                <w:lang w:eastAsia="es-CO"/>
              </w:rPr>
              <w:t>Id</w:t>
            </w:r>
          </w:p>
        </w:tc>
        <w:tc>
          <w:tcPr>
            <w:tcW w:w="2127" w:type="dxa"/>
            <w:shd w:val="clear" w:color="auto" w:fill="BDD6EE" w:themeFill="accent1" w:themeFillTint="66"/>
            <w:noWrap/>
            <w:vAlign w:val="center"/>
            <w:hideMark/>
          </w:tcPr>
          <w:p w:rsidR="00FD14B5" w:rsidRPr="00FD14B5" w:rsidRDefault="00FD14B5" w:rsidP="00A73E59">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Nombre</w:t>
            </w:r>
          </w:p>
        </w:tc>
        <w:tc>
          <w:tcPr>
            <w:tcW w:w="3935" w:type="dxa"/>
            <w:shd w:val="clear" w:color="auto" w:fill="BDD6EE" w:themeFill="accent1" w:themeFillTint="66"/>
            <w:noWrap/>
            <w:vAlign w:val="center"/>
            <w:hideMark/>
          </w:tcPr>
          <w:p w:rsidR="00FD14B5" w:rsidRPr="00FD14B5" w:rsidRDefault="00FD14B5" w:rsidP="00A73E59">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Descripción Técnica</w:t>
            </w:r>
          </w:p>
        </w:tc>
        <w:tc>
          <w:tcPr>
            <w:tcW w:w="2018" w:type="dxa"/>
            <w:shd w:val="clear" w:color="auto" w:fill="BDD6EE" w:themeFill="accent1" w:themeFillTint="66"/>
            <w:noWrap/>
            <w:vAlign w:val="center"/>
            <w:hideMark/>
          </w:tcPr>
          <w:p w:rsidR="00FD14B5" w:rsidRPr="00FD14B5" w:rsidRDefault="00FD14B5" w:rsidP="00A73E59">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Plataforma</w:t>
            </w:r>
          </w:p>
        </w:tc>
      </w:tr>
      <w:tr w:rsidR="00FD14B5" w:rsidRPr="00FD14B5" w:rsidTr="00B85448">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600" w:type="dxa"/>
            <w:shd w:val="clear" w:color="auto" w:fill="auto"/>
            <w:noWrap/>
            <w:hideMark/>
          </w:tcPr>
          <w:p w:rsidR="00FD14B5" w:rsidRPr="00FD14B5" w:rsidRDefault="00FD14B5" w:rsidP="00A73E59">
            <w:pPr>
              <w:jc w:val="both"/>
              <w:rPr>
                <w:rFonts w:ascii="Arial" w:hAnsi="Arial" w:cs="Arial"/>
                <w:color w:val="auto"/>
                <w:sz w:val="18"/>
                <w:szCs w:val="20"/>
                <w:lang w:eastAsia="es-CO"/>
              </w:rPr>
            </w:pPr>
            <w:r w:rsidRPr="00FD14B5">
              <w:rPr>
                <w:rFonts w:ascii="Arial" w:hAnsi="Arial" w:cs="Arial"/>
                <w:color w:val="auto"/>
                <w:sz w:val="18"/>
                <w:szCs w:val="20"/>
                <w:lang w:eastAsia="es-CO"/>
              </w:rPr>
              <w:t>1</w:t>
            </w:r>
          </w:p>
        </w:tc>
        <w:tc>
          <w:tcPr>
            <w:tcW w:w="2127"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20"/>
                <w:lang w:val="en-US" w:eastAsia="es-CO"/>
              </w:rPr>
            </w:pPr>
            <w:r w:rsidRPr="00FD14B5">
              <w:rPr>
                <w:rFonts w:ascii="Arial" w:hAnsi="Arial" w:cs="Arial"/>
                <w:color w:val="auto"/>
                <w:sz w:val="18"/>
                <w:szCs w:val="20"/>
                <w:lang w:val="en-US" w:eastAsia="es-CO"/>
              </w:rPr>
              <w:t>WINISIS -  Cds/Isis Version para Windows</w:t>
            </w:r>
          </w:p>
        </w:tc>
        <w:tc>
          <w:tcPr>
            <w:tcW w:w="3935"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Sistema de catalogación y préstamo documental.</w:t>
            </w:r>
          </w:p>
        </w:tc>
        <w:tc>
          <w:tcPr>
            <w:tcW w:w="2018"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Arq.: Web</w:t>
            </w:r>
            <w:r w:rsidRPr="00FD14B5">
              <w:rPr>
                <w:rFonts w:ascii="Arial" w:hAnsi="Arial" w:cs="Arial"/>
                <w:color w:val="auto"/>
                <w:sz w:val="18"/>
                <w:szCs w:val="20"/>
                <w:lang w:eastAsia="es-CO"/>
              </w:rPr>
              <w:br/>
              <w:t>Lenguaje: PASCAL</w:t>
            </w:r>
          </w:p>
        </w:tc>
      </w:tr>
      <w:tr w:rsidR="00FD14B5" w:rsidRPr="00FD14B5" w:rsidTr="00B85448">
        <w:trPr>
          <w:trHeight w:val="694"/>
        </w:trPr>
        <w:tc>
          <w:tcPr>
            <w:cnfStyle w:val="001000000000" w:firstRow="0" w:lastRow="0" w:firstColumn="1" w:lastColumn="0" w:oddVBand="0" w:evenVBand="0" w:oddHBand="0" w:evenHBand="0" w:firstRowFirstColumn="0" w:firstRowLastColumn="0" w:lastRowFirstColumn="0" w:lastRowLastColumn="0"/>
            <w:tcW w:w="600" w:type="dxa"/>
            <w:shd w:val="clear" w:color="auto" w:fill="auto"/>
            <w:noWrap/>
            <w:hideMark/>
          </w:tcPr>
          <w:p w:rsidR="00FD14B5" w:rsidRPr="00FD14B5" w:rsidRDefault="00FD14B5" w:rsidP="00A73E59">
            <w:pPr>
              <w:jc w:val="both"/>
              <w:rPr>
                <w:rFonts w:ascii="Arial" w:hAnsi="Arial" w:cs="Arial"/>
                <w:color w:val="auto"/>
                <w:sz w:val="18"/>
                <w:szCs w:val="20"/>
                <w:lang w:eastAsia="es-CO"/>
              </w:rPr>
            </w:pPr>
            <w:r w:rsidRPr="00FD14B5">
              <w:rPr>
                <w:rFonts w:ascii="Arial" w:hAnsi="Arial" w:cs="Arial"/>
                <w:color w:val="auto"/>
                <w:sz w:val="18"/>
                <w:szCs w:val="20"/>
                <w:lang w:eastAsia="es-CO"/>
              </w:rPr>
              <w:t>2</w:t>
            </w:r>
          </w:p>
        </w:tc>
        <w:tc>
          <w:tcPr>
            <w:tcW w:w="2127"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 xml:space="preserve">DSPACE - Repositorio Institucional del IDU </w:t>
            </w:r>
          </w:p>
        </w:tc>
        <w:tc>
          <w:tcPr>
            <w:tcW w:w="3935"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Sistema que sirve de repositorio digital de los documentos técnicos (informes, estudios, diseños, etc.), que ha adelantado el IDU.</w:t>
            </w:r>
          </w:p>
        </w:tc>
        <w:tc>
          <w:tcPr>
            <w:tcW w:w="2018"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Arq: Web</w:t>
            </w:r>
            <w:r w:rsidRPr="00FD14B5">
              <w:rPr>
                <w:rFonts w:ascii="Arial" w:hAnsi="Arial" w:cs="Arial"/>
                <w:color w:val="auto"/>
                <w:sz w:val="18"/>
                <w:szCs w:val="20"/>
                <w:lang w:eastAsia="es-CO"/>
              </w:rPr>
              <w:br/>
              <w:t>Lenguaje: java - j2ee</w:t>
            </w:r>
            <w:r w:rsidRPr="00FD14B5">
              <w:rPr>
                <w:rFonts w:ascii="Arial" w:hAnsi="Arial" w:cs="Arial"/>
                <w:color w:val="auto"/>
                <w:sz w:val="18"/>
                <w:szCs w:val="20"/>
                <w:lang w:eastAsia="es-CO"/>
              </w:rPr>
              <w:br/>
              <w:t>BD: Postgres</w:t>
            </w:r>
          </w:p>
        </w:tc>
      </w:tr>
      <w:tr w:rsidR="00FD14B5" w:rsidRPr="00FD14B5" w:rsidTr="00B85448">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600" w:type="dxa"/>
            <w:shd w:val="clear" w:color="auto" w:fill="auto"/>
            <w:noWrap/>
            <w:hideMark/>
          </w:tcPr>
          <w:p w:rsidR="00FD14B5" w:rsidRPr="00FD14B5" w:rsidRDefault="00FD14B5" w:rsidP="00A73E59">
            <w:pPr>
              <w:jc w:val="both"/>
              <w:rPr>
                <w:rFonts w:ascii="Arial" w:hAnsi="Arial" w:cs="Arial"/>
                <w:color w:val="auto"/>
                <w:sz w:val="18"/>
                <w:szCs w:val="20"/>
                <w:lang w:eastAsia="es-CO"/>
              </w:rPr>
            </w:pPr>
            <w:r w:rsidRPr="00FD14B5">
              <w:rPr>
                <w:rFonts w:ascii="Arial" w:hAnsi="Arial" w:cs="Arial"/>
                <w:color w:val="auto"/>
                <w:sz w:val="18"/>
                <w:szCs w:val="20"/>
                <w:lang w:eastAsia="es-CO"/>
              </w:rPr>
              <w:t>3</w:t>
            </w:r>
          </w:p>
        </w:tc>
        <w:tc>
          <w:tcPr>
            <w:tcW w:w="2127"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PMB - Sistema Integrado de Gestión de Bibliotecas</w:t>
            </w:r>
          </w:p>
        </w:tc>
        <w:tc>
          <w:tcPr>
            <w:tcW w:w="3935"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Sistema  para el manejo  y gestión de la biblioteca del Centro de Documentación del IDU</w:t>
            </w:r>
          </w:p>
        </w:tc>
        <w:tc>
          <w:tcPr>
            <w:tcW w:w="2018"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Arq: Web</w:t>
            </w:r>
            <w:r w:rsidRPr="00FD14B5">
              <w:rPr>
                <w:rFonts w:ascii="Arial" w:hAnsi="Arial" w:cs="Arial"/>
                <w:color w:val="auto"/>
                <w:sz w:val="18"/>
                <w:szCs w:val="20"/>
                <w:lang w:eastAsia="es-CO"/>
              </w:rPr>
              <w:br/>
              <w:t>Lenguaje: PHP -5.3</w:t>
            </w:r>
            <w:r w:rsidRPr="00FD14B5">
              <w:rPr>
                <w:rFonts w:ascii="Arial" w:hAnsi="Arial" w:cs="Arial"/>
                <w:color w:val="auto"/>
                <w:sz w:val="18"/>
                <w:szCs w:val="20"/>
                <w:lang w:eastAsia="es-CO"/>
              </w:rPr>
              <w:br/>
              <w:t>BD: Postgres</w:t>
            </w:r>
          </w:p>
        </w:tc>
      </w:tr>
      <w:tr w:rsidR="00FD14B5" w:rsidRPr="00FD14B5" w:rsidTr="00B85448">
        <w:trPr>
          <w:trHeight w:val="830"/>
        </w:trPr>
        <w:tc>
          <w:tcPr>
            <w:cnfStyle w:val="001000000000" w:firstRow="0" w:lastRow="0" w:firstColumn="1" w:lastColumn="0" w:oddVBand="0" w:evenVBand="0" w:oddHBand="0" w:evenHBand="0" w:firstRowFirstColumn="0" w:firstRowLastColumn="0" w:lastRowFirstColumn="0" w:lastRowLastColumn="0"/>
            <w:tcW w:w="600" w:type="dxa"/>
            <w:shd w:val="clear" w:color="auto" w:fill="auto"/>
            <w:noWrap/>
            <w:hideMark/>
          </w:tcPr>
          <w:p w:rsidR="00FD14B5" w:rsidRPr="00FD14B5" w:rsidRDefault="00FD14B5" w:rsidP="00A73E59">
            <w:pPr>
              <w:jc w:val="both"/>
              <w:rPr>
                <w:rFonts w:ascii="Arial" w:hAnsi="Arial" w:cs="Arial"/>
                <w:color w:val="auto"/>
                <w:sz w:val="18"/>
                <w:szCs w:val="20"/>
                <w:lang w:eastAsia="es-CO"/>
              </w:rPr>
            </w:pPr>
            <w:r w:rsidRPr="00FD14B5">
              <w:rPr>
                <w:rFonts w:ascii="Arial" w:hAnsi="Arial" w:cs="Arial"/>
                <w:color w:val="auto"/>
                <w:sz w:val="18"/>
                <w:szCs w:val="20"/>
                <w:lang w:eastAsia="es-CO"/>
              </w:rPr>
              <w:t>4</w:t>
            </w:r>
          </w:p>
        </w:tc>
        <w:tc>
          <w:tcPr>
            <w:tcW w:w="2127"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Portal WEB</w:t>
            </w:r>
          </w:p>
        </w:tc>
        <w:tc>
          <w:tcPr>
            <w:tcW w:w="3935"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Sistema de información para la publicación de contenidos Web relacionados con el Instituto.</w:t>
            </w:r>
          </w:p>
        </w:tc>
        <w:tc>
          <w:tcPr>
            <w:tcW w:w="2018"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Arq: Web</w:t>
            </w:r>
            <w:r w:rsidRPr="00FD14B5">
              <w:rPr>
                <w:rFonts w:ascii="Arial" w:hAnsi="Arial" w:cs="Arial"/>
                <w:color w:val="auto"/>
                <w:sz w:val="18"/>
                <w:szCs w:val="20"/>
                <w:lang w:eastAsia="es-CO"/>
              </w:rPr>
              <w:br/>
              <w:t>Lenguaje: Python / Odoo 10</w:t>
            </w:r>
            <w:r w:rsidRPr="00FD14B5">
              <w:rPr>
                <w:rFonts w:ascii="Arial" w:hAnsi="Arial" w:cs="Arial"/>
                <w:color w:val="auto"/>
                <w:sz w:val="18"/>
                <w:szCs w:val="20"/>
                <w:lang w:eastAsia="es-CO"/>
              </w:rPr>
              <w:br/>
              <w:t>BD: Postgres</w:t>
            </w:r>
          </w:p>
        </w:tc>
      </w:tr>
      <w:tr w:rsidR="00FD14B5" w:rsidRPr="00FD14B5" w:rsidTr="00B85448">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600" w:type="dxa"/>
            <w:shd w:val="clear" w:color="auto" w:fill="auto"/>
            <w:noWrap/>
            <w:hideMark/>
          </w:tcPr>
          <w:p w:rsidR="00FD14B5" w:rsidRPr="00FD14B5" w:rsidRDefault="00FD14B5" w:rsidP="00A73E59">
            <w:pPr>
              <w:jc w:val="both"/>
              <w:rPr>
                <w:rFonts w:ascii="Arial" w:hAnsi="Arial" w:cs="Arial"/>
                <w:color w:val="auto"/>
                <w:sz w:val="18"/>
                <w:szCs w:val="20"/>
                <w:lang w:eastAsia="es-CO"/>
              </w:rPr>
            </w:pPr>
            <w:r w:rsidRPr="00FD14B5">
              <w:rPr>
                <w:rFonts w:ascii="Arial" w:hAnsi="Arial" w:cs="Arial"/>
                <w:color w:val="auto"/>
                <w:sz w:val="18"/>
                <w:szCs w:val="20"/>
                <w:lang w:eastAsia="es-CO"/>
              </w:rPr>
              <w:t>5</w:t>
            </w:r>
          </w:p>
        </w:tc>
        <w:tc>
          <w:tcPr>
            <w:tcW w:w="2127"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Intranet</w:t>
            </w:r>
          </w:p>
        </w:tc>
        <w:tc>
          <w:tcPr>
            <w:tcW w:w="3935"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Sistema de información para la publicación de contenidos Web.</w:t>
            </w:r>
          </w:p>
        </w:tc>
        <w:tc>
          <w:tcPr>
            <w:tcW w:w="2018"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Arq: Web</w:t>
            </w:r>
            <w:r w:rsidRPr="00FD14B5">
              <w:rPr>
                <w:rFonts w:ascii="Arial" w:hAnsi="Arial" w:cs="Arial"/>
                <w:color w:val="auto"/>
                <w:sz w:val="18"/>
                <w:szCs w:val="20"/>
                <w:lang w:eastAsia="es-CO"/>
              </w:rPr>
              <w:br/>
              <w:t>Lenguaje: Java J2EE/JEE</w:t>
            </w:r>
            <w:r w:rsidRPr="00FD14B5">
              <w:rPr>
                <w:rFonts w:ascii="Arial" w:hAnsi="Arial" w:cs="Arial"/>
                <w:color w:val="auto"/>
                <w:sz w:val="18"/>
                <w:szCs w:val="20"/>
                <w:lang w:eastAsia="es-CO"/>
              </w:rPr>
              <w:br/>
              <w:t>BD: ORACLE</w:t>
            </w:r>
          </w:p>
        </w:tc>
      </w:tr>
      <w:tr w:rsidR="00FD14B5" w:rsidRPr="00FD14B5" w:rsidTr="00B85448">
        <w:trPr>
          <w:trHeight w:val="1576"/>
        </w:trPr>
        <w:tc>
          <w:tcPr>
            <w:cnfStyle w:val="001000000000" w:firstRow="0" w:lastRow="0" w:firstColumn="1" w:lastColumn="0" w:oddVBand="0" w:evenVBand="0" w:oddHBand="0" w:evenHBand="0" w:firstRowFirstColumn="0" w:firstRowLastColumn="0" w:lastRowFirstColumn="0" w:lastRowLastColumn="0"/>
            <w:tcW w:w="600" w:type="dxa"/>
            <w:shd w:val="clear" w:color="auto" w:fill="auto"/>
            <w:noWrap/>
            <w:hideMark/>
          </w:tcPr>
          <w:p w:rsidR="00FD14B5" w:rsidRPr="00FD14B5" w:rsidRDefault="00FD14B5" w:rsidP="00A73E59">
            <w:pPr>
              <w:jc w:val="both"/>
              <w:rPr>
                <w:rFonts w:ascii="Arial" w:hAnsi="Arial" w:cs="Arial"/>
                <w:color w:val="auto"/>
                <w:sz w:val="18"/>
                <w:szCs w:val="20"/>
                <w:lang w:eastAsia="es-CO"/>
              </w:rPr>
            </w:pPr>
            <w:r w:rsidRPr="00FD14B5">
              <w:rPr>
                <w:rFonts w:ascii="Arial" w:hAnsi="Arial" w:cs="Arial"/>
                <w:color w:val="auto"/>
                <w:sz w:val="18"/>
                <w:szCs w:val="20"/>
                <w:lang w:eastAsia="es-CO"/>
              </w:rPr>
              <w:t>6</w:t>
            </w:r>
          </w:p>
        </w:tc>
        <w:tc>
          <w:tcPr>
            <w:tcW w:w="2127"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Servicios en Línea de Valorización</w:t>
            </w:r>
          </w:p>
        </w:tc>
        <w:tc>
          <w:tcPr>
            <w:tcW w:w="3935"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Permite la autogestión de los servicios en Línea de Valorización: Pago de la Contribución, Estado de Cuenta, Consultar/Registrar Solicitud de Devolución, Validación de Paz y Salvos, Generar Certificado Estado de Cuenta (Paz y Salvo), Chat de Valorización</w:t>
            </w:r>
          </w:p>
        </w:tc>
        <w:tc>
          <w:tcPr>
            <w:tcW w:w="2018"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Arq: Web</w:t>
            </w:r>
            <w:r w:rsidRPr="00FD14B5">
              <w:rPr>
                <w:rFonts w:ascii="Arial" w:hAnsi="Arial" w:cs="Arial"/>
                <w:color w:val="auto"/>
                <w:sz w:val="18"/>
                <w:szCs w:val="20"/>
                <w:lang w:eastAsia="es-CO"/>
              </w:rPr>
              <w:br/>
              <w:t>Lenguaje: Weblogic ORACLE</w:t>
            </w:r>
            <w:r w:rsidRPr="00FD14B5">
              <w:rPr>
                <w:rFonts w:ascii="Arial" w:hAnsi="Arial" w:cs="Arial"/>
                <w:color w:val="auto"/>
                <w:sz w:val="18"/>
                <w:szCs w:val="20"/>
                <w:lang w:eastAsia="es-CO"/>
              </w:rPr>
              <w:br/>
              <w:t>BD: ORACLE</w:t>
            </w:r>
          </w:p>
        </w:tc>
      </w:tr>
    </w:tbl>
    <w:p w:rsidR="00FD14B5" w:rsidRPr="00FD14B5" w:rsidRDefault="00FD14B5" w:rsidP="00A73E59">
      <w:pPr>
        <w:spacing w:line="276" w:lineRule="auto"/>
        <w:jc w:val="both"/>
        <w:rPr>
          <w:rFonts w:ascii="Arial" w:hAnsi="Arial" w:cs="Arial"/>
          <w:b/>
        </w:rPr>
      </w:pPr>
    </w:p>
    <w:p w:rsidR="00FD14B5" w:rsidRPr="00FD14B5" w:rsidRDefault="00FD14B5" w:rsidP="00DC2174">
      <w:pPr>
        <w:pStyle w:val="Descripcin"/>
        <w:keepNext/>
        <w:spacing w:after="0"/>
        <w:ind w:firstLine="708"/>
        <w:rPr>
          <w:rFonts w:ascii="Arial" w:hAnsi="Arial" w:cs="Arial"/>
          <w:color w:val="auto"/>
        </w:rPr>
      </w:pPr>
      <w:bookmarkStart w:id="221" w:name="_Toc27665420"/>
      <w:r w:rsidRPr="00FD14B5">
        <w:rPr>
          <w:rFonts w:ascii="Arial" w:hAnsi="Arial" w:cs="Arial"/>
          <w:color w:val="auto"/>
        </w:rPr>
        <w:lastRenderedPageBreak/>
        <w:t>Sistemas de información de direccionamiento</w:t>
      </w:r>
      <w:bookmarkEnd w:id="221"/>
    </w:p>
    <w:tbl>
      <w:tblPr>
        <w:tblStyle w:val="Tabladecuadrcula6concolores1"/>
        <w:tblW w:w="8625" w:type="dxa"/>
        <w:jc w:val="center"/>
        <w:tblLook w:val="04A0" w:firstRow="1" w:lastRow="0" w:firstColumn="1" w:lastColumn="0" w:noHBand="0" w:noVBand="1"/>
      </w:tblPr>
      <w:tblGrid>
        <w:gridCol w:w="636"/>
        <w:gridCol w:w="2127"/>
        <w:gridCol w:w="3368"/>
        <w:gridCol w:w="2494"/>
      </w:tblGrid>
      <w:tr w:rsidR="00FD14B5" w:rsidRPr="00FD14B5" w:rsidTr="00B85448">
        <w:trPr>
          <w:cnfStyle w:val="100000000000" w:firstRow="1" w:lastRow="0" w:firstColumn="0" w:lastColumn="0" w:oddVBand="0" w:evenVBand="0" w:oddHBand="0" w:evenHBand="0" w:firstRowFirstColumn="0" w:firstRowLastColumn="0" w:lastRowFirstColumn="0" w:lastRowLastColumn="0"/>
          <w:trHeight w:val="416"/>
          <w:tblHeader/>
          <w:jc w:val="center"/>
        </w:trPr>
        <w:tc>
          <w:tcPr>
            <w:cnfStyle w:val="001000000000" w:firstRow="0" w:lastRow="0" w:firstColumn="1" w:lastColumn="0" w:oddVBand="0" w:evenVBand="0" w:oddHBand="0" w:evenHBand="0" w:firstRowFirstColumn="0" w:firstRowLastColumn="0" w:lastRowFirstColumn="0" w:lastRowLastColumn="0"/>
            <w:tcW w:w="636" w:type="dxa"/>
            <w:shd w:val="clear" w:color="auto" w:fill="BDD6EE" w:themeFill="accent1" w:themeFillTint="66"/>
            <w:noWrap/>
            <w:vAlign w:val="center"/>
            <w:hideMark/>
          </w:tcPr>
          <w:p w:rsidR="00FD14B5" w:rsidRPr="00FD14B5" w:rsidRDefault="00FD14B5" w:rsidP="00A73E59">
            <w:pPr>
              <w:jc w:val="both"/>
              <w:rPr>
                <w:rFonts w:ascii="Arial" w:eastAsia="Times New Roman" w:hAnsi="Arial" w:cs="Arial"/>
                <w:color w:val="auto"/>
                <w:sz w:val="18"/>
                <w:szCs w:val="20"/>
                <w:lang w:eastAsia="es-CO"/>
              </w:rPr>
            </w:pPr>
            <w:r w:rsidRPr="00FD14B5">
              <w:rPr>
                <w:rFonts w:ascii="Arial" w:hAnsi="Arial" w:cs="Arial"/>
                <w:bCs w:val="0"/>
                <w:color w:val="auto"/>
                <w:sz w:val="18"/>
                <w:szCs w:val="20"/>
                <w:lang w:eastAsia="es-CO"/>
              </w:rPr>
              <w:t>Id</w:t>
            </w:r>
          </w:p>
        </w:tc>
        <w:tc>
          <w:tcPr>
            <w:tcW w:w="2127" w:type="dxa"/>
            <w:shd w:val="clear" w:color="auto" w:fill="BDD6EE" w:themeFill="accent1" w:themeFillTint="66"/>
            <w:noWrap/>
            <w:vAlign w:val="center"/>
            <w:hideMark/>
          </w:tcPr>
          <w:p w:rsidR="00FD14B5" w:rsidRPr="00FD14B5" w:rsidRDefault="00FD14B5" w:rsidP="00A73E59">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Nombre</w:t>
            </w:r>
          </w:p>
        </w:tc>
        <w:tc>
          <w:tcPr>
            <w:tcW w:w="3368" w:type="dxa"/>
            <w:shd w:val="clear" w:color="auto" w:fill="BDD6EE" w:themeFill="accent1" w:themeFillTint="66"/>
            <w:noWrap/>
            <w:vAlign w:val="center"/>
            <w:hideMark/>
          </w:tcPr>
          <w:p w:rsidR="00FD14B5" w:rsidRPr="00FD14B5" w:rsidRDefault="00FD14B5" w:rsidP="00A73E59">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Descripción Técnica</w:t>
            </w:r>
          </w:p>
        </w:tc>
        <w:tc>
          <w:tcPr>
            <w:tcW w:w="2494" w:type="dxa"/>
            <w:shd w:val="clear" w:color="auto" w:fill="BDD6EE" w:themeFill="accent1" w:themeFillTint="66"/>
            <w:noWrap/>
            <w:vAlign w:val="center"/>
            <w:hideMark/>
          </w:tcPr>
          <w:p w:rsidR="00FD14B5" w:rsidRPr="00FD14B5" w:rsidRDefault="00FD14B5" w:rsidP="00A73E59">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Plataforma</w:t>
            </w:r>
          </w:p>
        </w:tc>
      </w:tr>
      <w:tr w:rsidR="00FD14B5" w:rsidRPr="00FD14B5" w:rsidTr="00B85448">
        <w:trPr>
          <w:cnfStyle w:val="000000100000" w:firstRow="0" w:lastRow="0" w:firstColumn="0" w:lastColumn="0" w:oddVBand="0" w:evenVBand="0" w:oddHBand="1" w:evenHBand="0" w:firstRowFirstColumn="0" w:firstRowLastColumn="0" w:lastRowFirstColumn="0" w:lastRowLastColumn="0"/>
          <w:trHeight w:val="670"/>
          <w:jc w:val="center"/>
        </w:trPr>
        <w:tc>
          <w:tcPr>
            <w:cnfStyle w:val="001000000000" w:firstRow="0" w:lastRow="0" w:firstColumn="1" w:lastColumn="0" w:oddVBand="0" w:evenVBand="0" w:oddHBand="0" w:evenHBand="0" w:firstRowFirstColumn="0" w:firstRowLastColumn="0" w:lastRowFirstColumn="0" w:lastRowLastColumn="0"/>
            <w:tcW w:w="636" w:type="dxa"/>
            <w:shd w:val="clear" w:color="auto" w:fill="auto"/>
            <w:noWrap/>
            <w:hideMark/>
          </w:tcPr>
          <w:p w:rsidR="00FD14B5" w:rsidRPr="00FD14B5" w:rsidRDefault="00FD14B5" w:rsidP="00A73E59">
            <w:pPr>
              <w:jc w:val="both"/>
              <w:rPr>
                <w:rFonts w:ascii="Arial" w:hAnsi="Arial" w:cs="Arial"/>
                <w:color w:val="auto"/>
                <w:sz w:val="18"/>
                <w:szCs w:val="20"/>
                <w:lang w:eastAsia="es-CO"/>
              </w:rPr>
            </w:pPr>
            <w:r w:rsidRPr="00FD14B5">
              <w:rPr>
                <w:rFonts w:ascii="Arial" w:hAnsi="Arial" w:cs="Arial"/>
                <w:color w:val="auto"/>
                <w:sz w:val="18"/>
                <w:szCs w:val="20"/>
                <w:lang w:eastAsia="es-CO"/>
              </w:rPr>
              <w:t>1</w:t>
            </w:r>
          </w:p>
        </w:tc>
        <w:tc>
          <w:tcPr>
            <w:tcW w:w="2127"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LIMESURVEY - Sistema de Encuestas</w:t>
            </w:r>
          </w:p>
        </w:tc>
        <w:tc>
          <w:tcPr>
            <w:tcW w:w="3368"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Sistema de Encuestas</w:t>
            </w:r>
          </w:p>
        </w:tc>
        <w:tc>
          <w:tcPr>
            <w:tcW w:w="2494"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Arq.: Web</w:t>
            </w:r>
            <w:r w:rsidRPr="00FD14B5">
              <w:rPr>
                <w:rFonts w:ascii="Arial" w:hAnsi="Arial" w:cs="Arial"/>
                <w:color w:val="auto"/>
                <w:sz w:val="18"/>
                <w:szCs w:val="20"/>
                <w:lang w:eastAsia="es-CO"/>
              </w:rPr>
              <w:br/>
              <w:t>Lenguaje: PHP</w:t>
            </w:r>
            <w:r w:rsidRPr="00FD14B5">
              <w:rPr>
                <w:rFonts w:ascii="Arial" w:hAnsi="Arial" w:cs="Arial"/>
                <w:color w:val="auto"/>
                <w:sz w:val="18"/>
                <w:szCs w:val="20"/>
                <w:lang w:eastAsia="es-CO"/>
              </w:rPr>
              <w:br/>
              <w:t>DB: Postgres</w:t>
            </w:r>
          </w:p>
        </w:tc>
      </w:tr>
      <w:tr w:rsidR="00FD14B5" w:rsidRPr="00370591" w:rsidTr="00B85448">
        <w:trPr>
          <w:trHeight w:val="842"/>
          <w:jc w:val="center"/>
        </w:trPr>
        <w:tc>
          <w:tcPr>
            <w:cnfStyle w:val="001000000000" w:firstRow="0" w:lastRow="0" w:firstColumn="1" w:lastColumn="0" w:oddVBand="0" w:evenVBand="0" w:oddHBand="0" w:evenHBand="0" w:firstRowFirstColumn="0" w:firstRowLastColumn="0" w:lastRowFirstColumn="0" w:lastRowLastColumn="0"/>
            <w:tcW w:w="636" w:type="dxa"/>
            <w:shd w:val="clear" w:color="auto" w:fill="auto"/>
            <w:noWrap/>
            <w:hideMark/>
          </w:tcPr>
          <w:p w:rsidR="00FD14B5" w:rsidRPr="00FD14B5" w:rsidRDefault="00FD14B5" w:rsidP="00A73E59">
            <w:pPr>
              <w:jc w:val="both"/>
              <w:rPr>
                <w:rFonts w:ascii="Arial" w:hAnsi="Arial" w:cs="Arial"/>
                <w:color w:val="auto"/>
                <w:sz w:val="18"/>
                <w:szCs w:val="20"/>
                <w:lang w:eastAsia="es-CO"/>
              </w:rPr>
            </w:pPr>
            <w:r w:rsidRPr="00FD14B5">
              <w:rPr>
                <w:rFonts w:ascii="Arial" w:hAnsi="Arial" w:cs="Arial"/>
                <w:color w:val="auto"/>
                <w:sz w:val="18"/>
                <w:szCs w:val="20"/>
                <w:lang w:eastAsia="es-CO"/>
              </w:rPr>
              <w:t>2</w:t>
            </w:r>
          </w:p>
        </w:tc>
        <w:tc>
          <w:tcPr>
            <w:tcW w:w="2127"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CHIE - Sistemas de Apoyo la Gestión Administrativa</w:t>
            </w:r>
          </w:p>
        </w:tc>
        <w:tc>
          <w:tcPr>
            <w:tcW w:w="3368"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Sistemas de Apoyo la Gestión:</w:t>
            </w:r>
            <w:r w:rsidRPr="00FD14B5">
              <w:rPr>
                <w:rFonts w:ascii="Arial" w:hAnsi="Arial" w:cs="Arial"/>
                <w:color w:val="auto"/>
                <w:sz w:val="18"/>
                <w:szCs w:val="20"/>
                <w:lang w:eastAsia="es-CO"/>
              </w:rPr>
              <w:br/>
              <w:t xml:space="preserve">Gestión de planes de mejoramiento </w:t>
            </w:r>
          </w:p>
        </w:tc>
        <w:tc>
          <w:tcPr>
            <w:tcW w:w="2494"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20"/>
                <w:lang w:val="en-US" w:eastAsia="es-CO"/>
              </w:rPr>
            </w:pPr>
            <w:r w:rsidRPr="00FD14B5">
              <w:rPr>
                <w:rFonts w:ascii="Arial" w:hAnsi="Arial" w:cs="Arial"/>
                <w:color w:val="auto"/>
                <w:sz w:val="18"/>
                <w:szCs w:val="20"/>
                <w:lang w:val="en-US" w:eastAsia="es-CO"/>
              </w:rPr>
              <w:t>Arq.: Web</w:t>
            </w:r>
            <w:r w:rsidRPr="00FD14B5">
              <w:rPr>
                <w:rFonts w:ascii="Arial" w:hAnsi="Arial" w:cs="Arial"/>
                <w:color w:val="auto"/>
                <w:sz w:val="18"/>
                <w:szCs w:val="20"/>
                <w:lang w:val="en-US" w:eastAsia="es-CO"/>
              </w:rPr>
              <w:br/>
              <w:t>Lenguaje Python / framework OpenERP</w:t>
            </w:r>
            <w:r w:rsidRPr="00FD14B5">
              <w:rPr>
                <w:rFonts w:ascii="Arial" w:hAnsi="Arial" w:cs="Arial"/>
                <w:color w:val="auto"/>
                <w:sz w:val="18"/>
                <w:szCs w:val="20"/>
                <w:lang w:val="en-US" w:eastAsia="es-CO"/>
              </w:rPr>
              <w:br/>
              <w:t>BD: Postgres</w:t>
            </w:r>
          </w:p>
        </w:tc>
      </w:tr>
      <w:tr w:rsidR="00FD14B5" w:rsidRPr="00370591" w:rsidTr="00B85448">
        <w:trPr>
          <w:cnfStyle w:val="000000100000" w:firstRow="0" w:lastRow="0" w:firstColumn="0" w:lastColumn="0" w:oddVBand="0" w:evenVBand="0" w:oddHBand="1" w:evenHBand="0" w:firstRowFirstColumn="0" w:firstRowLastColumn="0" w:lastRowFirstColumn="0" w:lastRowLastColumn="0"/>
          <w:trHeight w:val="837"/>
          <w:jc w:val="center"/>
        </w:trPr>
        <w:tc>
          <w:tcPr>
            <w:cnfStyle w:val="001000000000" w:firstRow="0" w:lastRow="0" w:firstColumn="1" w:lastColumn="0" w:oddVBand="0" w:evenVBand="0" w:oddHBand="0" w:evenHBand="0" w:firstRowFirstColumn="0" w:firstRowLastColumn="0" w:lastRowFirstColumn="0" w:lastRowLastColumn="0"/>
            <w:tcW w:w="636" w:type="dxa"/>
            <w:shd w:val="clear" w:color="auto" w:fill="auto"/>
            <w:noWrap/>
            <w:hideMark/>
          </w:tcPr>
          <w:p w:rsidR="00FD14B5" w:rsidRPr="00FD14B5" w:rsidRDefault="00FD14B5" w:rsidP="00A73E59">
            <w:pPr>
              <w:jc w:val="both"/>
              <w:rPr>
                <w:rFonts w:ascii="Arial" w:hAnsi="Arial" w:cs="Arial"/>
                <w:color w:val="auto"/>
                <w:sz w:val="18"/>
                <w:szCs w:val="20"/>
                <w:lang w:eastAsia="es-CO"/>
              </w:rPr>
            </w:pPr>
            <w:r w:rsidRPr="00FD14B5">
              <w:rPr>
                <w:rFonts w:ascii="Arial" w:hAnsi="Arial" w:cs="Arial"/>
                <w:color w:val="auto"/>
                <w:sz w:val="18"/>
                <w:szCs w:val="20"/>
                <w:lang w:eastAsia="es-CO"/>
              </w:rPr>
              <w:t>3</w:t>
            </w:r>
          </w:p>
        </w:tc>
        <w:tc>
          <w:tcPr>
            <w:tcW w:w="2127"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SUE</w:t>
            </w:r>
          </w:p>
        </w:tc>
        <w:tc>
          <w:tcPr>
            <w:tcW w:w="3368"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Registro del plan distrital de desarrollo</w:t>
            </w:r>
          </w:p>
        </w:tc>
        <w:tc>
          <w:tcPr>
            <w:tcW w:w="2494"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20"/>
                <w:lang w:val="en-US" w:eastAsia="es-CO"/>
              </w:rPr>
            </w:pPr>
            <w:r w:rsidRPr="00FD14B5">
              <w:rPr>
                <w:rFonts w:ascii="Arial" w:hAnsi="Arial" w:cs="Arial"/>
                <w:color w:val="auto"/>
                <w:sz w:val="18"/>
                <w:szCs w:val="20"/>
                <w:lang w:val="en-US" w:eastAsia="es-CO"/>
              </w:rPr>
              <w:t>Arq.: Web</w:t>
            </w:r>
            <w:r w:rsidRPr="00FD14B5">
              <w:rPr>
                <w:rFonts w:ascii="Arial" w:hAnsi="Arial" w:cs="Arial"/>
                <w:color w:val="auto"/>
                <w:sz w:val="18"/>
                <w:szCs w:val="20"/>
                <w:lang w:val="en-US" w:eastAsia="es-CO"/>
              </w:rPr>
              <w:br/>
              <w:t>Lenguaje Python / framework OpenERP</w:t>
            </w:r>
            <w:r w:rsidRPr="00FD14B5">
              <w:rPr>
                <w:rFonts w:ascii="Arial" w:hAnsi="Arial" w:cs="Arial"/>
                <w:color w:val="auto"/>
                <w:sz w:val="18"/>
                <w:szCs w:val="20"/>
                <w:lang w:val="en-US" w:eastAsia="es-CO"/>
              </w:rPr>
              <w:br/>
              <w:t>BD: Postgres</w:t>
            </w:r>
          </w:p>
        </w:tc>
      </w:tr>
      <w:tr w:rsidR="00FD14B5" w:rsidRPr="00370591" w:rsidTr="00B85448">
        <w:trPr>
          <w:trHeight w:val="822"/>
          <w:jc w:val="center"/>
        </w:trPr>
        <w:tc>
          <w:tcPr>
            <w:cnfStyle w:val="001000000000" w:firstRow="0" w:lastRow="0" w:firstColumn="1" w:lastColumn="0" w:oddVBand="0" w:evenVBand="0" w:oddHBand="0" w:evenHBand="0" w:firstRowFirstColumn="0" w:firstRowLastColumn="0" w:lastRowFirstColumn="0" w:lastRowLastColumn="0"/>
            <w:tcW w:w="636" w:type="dxa"/>
            <w:shd w:val="clear" w:color="auto" w:fill="auto"/>
            <w:noWrap/>
            <w:hideMark/>
          </w:tcPr>
          <w:p w:rsidR="00FD14B5" w:rsidRPr="00FD14B5" w:rsidRDefault="00FD14B5" w:rsidP="00A73E59">
            <w:pPr>
              <w:jc w:val="both"/>
              <w:rPr>
                <w:rFonts w:ascii="Arial" w:hAnsi="Arial" w:cs="Arial"/>
                <w:color w:val="auto"/>
                <w:sz w:val="18"/>
                <w:szCs w:val="20"/>
                <w:lang w:eastAsia="es-CO"/>
              </w:rPr>
            </w:pPr>
            <w:r w:rsidRPr="00FD14B5">
              <w:rPr>
                <w:rFonts w:ascii="Arial" w:hAnsi="Arial" w:cs="Arial"/>
                <w:color w:val="auto"/>
                <w:sz w:val="18"/>
                <w:szCs w:val="20"/>
                <w:lang w:eastAsia="es-CO"/>
              </w:rPr>
              <w:t>4</w:t>
            </w:r>
          </w:p>
        </w:tc>
        <w:tc>
          <w:tcPr>
            <w:tcW w:w="2127"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SUE</w:t>
            </w:r>
          </w:p>
        </w:tc>
        <w:tc>
          <w:tcPr>
            <w:tcW w:w="3368"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Gestión del mapa de procesos, indicadores de Gestión</w:t>
            </w:r>
          </w:p>
        </w:tc>
        <w:tc>
          <w:tcPr>
            <w:tcW w:w="2494" w:type="dxa"/>
            <w:shd w:val="clear" w:color="auto" w:fill="auto"/>
            <w:hideMark/>
          </w:tcPr>
          <w:p w:rsidR="00FD14B5" w:rsidRPr="00FD14B5" w:rsidRDefault="00FD14B5" w:rsidP="00A73E59">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20"/>
                <w:lang w:val="en-US" w:eastAsia="es-CO"/>
              </w:rPr>
            </w:pPr>
            <w:r w:rsidRPr="00FD14B5">
              <w:rPr>
                <w:rFonts w:ascii="Arial" w:hAnsi="Arial" w:cs="Arial"/>
                <w:color w:val="auto"/>
                <w:sz w:val="18"/>
                <w:szCs w:val="20"/>
                <w:lang w:val="en-US" w:eastAsia="es-CO"/>
              </w:rPr>
              <w:t>Arq.: Web</w:t>
            </w:r>
            <w:r w:rsidRPr="00FD14B5">
              <w:rPr>
                <w:rFonts w:ascii="Arial" w:hAnsi="Arial" w:cs="Arial"/>
                <w:color w:val="auto"/>
                <w:sz w:val="18"/>
                <w:szCs w:val="20"/>
                <w:lang w:val="en-US" w:eastAsia="es-CO"/>
              </w:rPr>
              <w:br/>
              <w:t>Lenguaje Python / framework OpenERP</w:t>
            </w:r>
            <w:r w:rsidRPr="00FD14B5">
              <w:rPr>
                <w:rFonts w:ascii="Arial" w:hAnsi="Arial" w:cs="Arial"/>
                <w:color w:val="auto"/>
                <w:sz w:val="18"/>
                <w:szCs w:val="20"/>
                <w:lang w:val="en-US" w:eastAsia="es-CO"/>
              </w:rPr>
              <w:br/>
              <w:t>BD: Postgres</w:t>
            </w:r>
          </w:p>
        </w:tc>
      </w:tr>
      <w:tr w:rsidR="00FD14B5" w:rsidRPr="00370591" w:rsidTr="00B85448">
        <w:trPr>
          <w:cnfStyle w:val="000000100000" w:firstRow="0" w:lastRow="0" w:firstColumn="0" w:lastColumn="0" w:oddVBand="0" w:evenVBand="0" w:oddHBand="1" w:evenHBand="0" w:firstRowFirstColumn="0" w:firstRowLastColumn="0" w:lastRowFirstColumn="0" w:lastRowLastColumn="0"/>
          <w:trHeight w:val="846"/>
          <w:jc w:val="center"/>
        </w:trPr>
        <w:tc>
          <w:tcPr>
            <w:cnfStyle w:val="001000000000" w:firstRow="0" w:lastRow="0" w:firstColumn="1" w:lastColumn="0" w:oddVBand="0" w:evenVBand="0" w:oddHBand="0" w:evenHBand="0" w:firstRowFirstColumn="0" w:firstRowLastColumn="0" w:lastRowFirstColumn="0" w:lastRowLastColumn="0"/>
            <w:tcW w:w="636" w:type="dxa"/>
            <w:shd w:val="clear" w:color="auto" w:fill="auto"/>
            <w:noWrap/>
            <w:hideMark/>
          </w:tcPr>
          <w:p w:rsidR="00FD14B5" w:rsidRPr="00FD14B5" w:rsidRDefault="00FD14B5" w:rsidP="00A73E59">
            <w:pPr>
              <w:jc w:val="both"/>
              <w:rPr>
                <w:rFonts w:ascii="Arial" w:hAnsi="Arial" w:cs="Arial"/>
                <w:color w:val="auto"/>
                <w:sz w:val="18"/>
                <w:szCs w:val="20"/>
                <w:lang w:eastAsia="es-CO"/>
              </w:rPr>
            </w:pPr>
            <w:r w:rsidRPr="00FD14B5">
              <w:rPr>
                <w:rFonts w:ascii="Arial" w:hAnsi="Arial" w:cs="Arial"/>
                <w:color w:val="auto"/>
                <w:sz w:val="18"/>
                <w:szCs w:val="20"/>
                <w:lang w:eastAsia="es-CO"/>
              </w:rPr>
              <w:t>5</w:t>
            </w:r>
          </w:p>
        </w:tc>
        <w:tc>
          <w:tcPr>
            <w:tcW w:w="2127"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SUE</w:t>
            </w:r>
          </w:p>
        </w:tc>
        <w:tc>
          <w:tcPr>
            <w:tcW w:w="3368"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20"/>
                <w:lang w:eastAsia="es-CO"/>
              </w:rPr>
            </w:pPr>
            <w:r w:rsidRPr="00FD14B5">
              <w:rPr>
                <w:rFonts w:ascii="Arial" w:hAnsi="Arial" w:cs="Arial"/>
                <w:color w:val="auto"/>
                <w:sz w:val="18"/>
                <w:szCs w:val="20"/>
                <w:lang w:eastAsia="es-CO"/>
              </w:rPr>
              <w:t>Gestión de Planes de Acción.</w:t>
            </w:r>
          </w:p>
        </w:tc>
        <w:tc>
          <w:tcPr>
            <w:tcW w:w="2494" w:type="dxa"/>
            <w:shd w:val="clear" w:color="auto" w:fill="auto"/>
            <w:hideMark/>
          </w:tcPr>
          <w:p w:rsidR="00FD14B5" w:rsidRPr="00FD14B5" w:rsidRDefault="00FD14B5" w:rsidP="00A73E59">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20"/>
                <w:lang w:val="en-US" w:eastAsia="es-CO"/>
              </w:rPr>
            </w:pPr>
            <w:r w:rsidRPr="00FD14B5">
              <w:rPr>
                <w:rFonts w:ascii="Arial" w:hAnsi="Arial" w:cs="Arial"/>
                <w:color w:val="auto"/>
                <w:sz w:val="18"/>
                <w:szCs w:val="20"/>
                <w:lang w:val="en-US" w:eastAsia="es-CO"/>
              </w:rPr>
              <w:t>Arq.: Web</w:t>
            </w:r>
            <w:r w:rsidRPr="00FD14B5">
              <w:rPr>
                <w:rFonts w:ascii="Arial" w:hAnsi="Arial" w:cs="Arial"/>
                <w:color w:val="auto"/>
                <w:sz w:val="18"/>
                <w:szCs w:val="20"/>
                <w:lang w:val="en-US" w:eastAsia="es-CO"/>
              </w:rPr>
              <w:br/>
              <w:t>Lenguaje Python / framework OpenERP</w:t>
            </w:r>
            <w:r w:rsidRPr="00FD14B5">
              <w:rPr>
                <w:rFonts w:ascii="Arial" w:hAnsi="Arial" w:cs="Arial"/>
                <w:color w:val="auto"/>
                <w:sz w:val="18"/>
                <w:szCs w:val="20"/>
                <w:lang w:val="en-US" w:eastAsia="es-CO"/>
              </w:rPr>
              <w:br/>
              <w:t>BD: Postgres</w:t>
            </w:r>
          </w:p>
        </w:tc>
      </w:tr>
    </w:tbl>
    <w:p w:rsidR="00FD14B5" w:rsidRDefault="00FD14B5" w:rsidP="00A73E59">
      <w:pPr>
        <w:pStyle w:val="Prrafodelista"/>
        <w:spacing w:line="276" w:lineRule="auto"/>
        <w:jc w:val="both"/>
        <w:rPr>
          <w:rFonts w:cs="Arial"/>
          <w:szCs w:val="24"/>
          <w:lang w:val="en-US"/>
        </w:rPr>
      </w:pPr>
    </w:p>
    <w:p w:rsidR="00FC323E" w:rsidRDefault="00FC323E" w:rsidP="00A73E59">
      <w:pPr>
        <w:spacing w:line="276" w:lineRule="auto"/>
        <w:jc w:val="both"/>
        <w:rPr>
          <w:rFonts w:ascii="Arial" w:hAnsi="Arial" w:cs="Arial"/>
          <w:sz w:val="24"/>
          <w:szCs w:val="24"/>
          <w:lang w:val="en-US"/>
        </w:rPr>
      </w:pPr>
    </w:p>
    <w:p w:rsidR="00DB3E2A" w:rsidRDefault="00DB3E2A" w:rsidP="00A73E59">
      <w:pPr>
        <w:spacing w:line="276" w:lineRule="auto"/>
        <w:jc w:val="both"/>
        <w:rPr>
          <w:rFonts w:ascii="Arial" w:hAnsi="Arial" w:cs="Arial"/>
          <w:sz w:val="24"/>
          <w:szCs w:val="24"/>
          <w:lang w:val="en-US"/>
        </w:rPr>
      </w:pPr>
    </w:p>
    <w:p w:rsidR="00F67BCE" w:rsidRPr="00E91986" w:rsidRDefault="00F67BCE" w:rsidP="00E91986">
      <w:pPr>
        <w:pStyle w:val="Ttulo3"/>
        <w:keepNext w:val="0"/>
        <w:keepLines w:val="0"/>
        <w:spacing w:before="0" w:line="276" w:lineRule="auto"/>
        <w:jc w:val="center"/>
        <w:rPr>
          <w:rFonts w:ascii="Arial" w:hAnsi="Arial" w:cs="Arial"/>
          <w:b/>
          <w:color w:val="auto"/>
        </w:rPr>
      </w:pPr>
      <w:bookmarkStart w:id="222" w:name="_Toc30774654"/>
      <w:r w:rsidRPr="00E91986">
        <w:rPr>
          <w:rFonts w:ascii="Arial" w:hAnsi="Arial" w:cs="Arial"/>
          <w:b/>
          <w:color w:val="auto"/>
        </w:rPr>
        <w:t>CONCLUSIÓN</w:t>
      </w:r>
      <w:bookmarkEnd w:id="222"/>
    </w:p>
    <w:p w:rsidR="00F67BCE" w:rsidRDefault="00F67BCE" w:rsidP="00F67BCE">
      <w:pPr>
        <w:autoSpaceDE w:val="0"/>
        <w:autoSpaceDN w:val="0"/>
        <w:adjustRightInd w:val="0"/>
        <w:spacing w:after="0" w:line="240" w:lineRule="auto"/>
        <w:jc w:val="center"/>
        <w:rPr>
          <w:rFonts w:ascii="Arial" w:hAnsi="Arial" w:cs="Arial"/>
          <w:b/>
          <w:bCs/>
          <w:color w:val="000000"/>
        </w:rPr>
      </w:pPr>
    </w:p>
    <w:p w:rsidR="00F67BCE" w:rsidRDefault="00F67BCE" w:rsidP="00F67BCE">
      <w:pPr>
        <w:autoSpaceDE w:val="0"/>
        <w:autoSpaceDN w:val="0"/>
        <w:adjustRightInd w:val="0"/>
        <w:spacing w:after="0" w:line="240" w:lineRule="auto"/>
        <w:jc w:val="both"/>
        <w:rPr>
          <w:rFonts w:ascii="Arial" w:hAnsi="Arial" w:cs="Arial"/>
          <w:bCs/>
          <w:color w:val="000000"/>
        </w:rPr>
      </w:pPr>
      <w:r w:rsidRPr="00F67BCE">
        <w:rPr>
          <w:rFonts w:ascii="Arial" w:hAnsi="Arial" w:cs="Arial"/>
          <w:bCs/>
          <w:color w:val="000000"/>
        </w:rPr>
        <w:t>La Entidad pone a disposición de sus grupos de valor el Informe de gestión que tiene por objeto dar cuenta de las actividades estratégicas, de ejecución y dirección realizada durante la</w:t>
      </w:r>
      <w:r w:rsidR="0060454E">
        <w:rPr>
          <w:rFonts w:ascii="Arial" w:hAnsi="Arial" w:cs="Arial"/>
          <w:bCs/>
          <w:color w:val="000000"/>
        </w:rPr>
        <w:t>s</w:t>
      </w:r>
      <w:r w:rsidRPr="00F67BCE">
        <w:rPr>
          <w:rFonts w:ascii="Arial" w:hAnsi="Arial" w:cs="Arial"/>
          <w:bCs/>
          <w:color w:val="000000"/>
        </w:rPr>
        <w:t xml:space="preserve"> vigencia</w:t>
      </w:r>
      <w:r w:rsidR="0060454E">
        <w:rPr>
          <w:rFonts w:ascii="Arial" w:hAnsi="Arial" w:cs="Arial"/>
          <w:bCs/>
          <w:color w:val="000000"/>
        </w:rPr>
        <w:t>s</w:t>
      </w:r>
      <w:r w:rsidRPr="00F67BCE">
        <w:rPr>
          <w:rFonts w:ascii="Arial" w:hAnsi="Arial" w:cs="Arial"/>
          <w:bCs/>
          <w:color w:val="000000"/>
        </w:rPr>
        <w:t xml:space="preserve"> 201</w:t>
      </w:r>
      <w:r w:rsidR="0060454E">
        <w:rPr>
          <w:rFonts w:ascii="Arial" w:hAnsi="Arial" w:cs="Arial"/>
          <w:bCs/>
          <w:color w:val="000000"/>
        </w:rPr>
        <w:t>6 - 2019</w:t>
      </w:r>
      <w:r w:rsidRPr="00F67BCE">
        <w:rPr>
          <w:rFonts w:ascii="Arial" w:hAnsi="Arial" w:cs="Arial"/>
          <w:bCs/>
          <w:color w:val="000000"/>
        </w:rPr>
        <w:t>.</w:t>
      </w:r>
    </w:p>
    <w:p w:rsidR="0060454E" w:rsidRPr="00F67BCE" w:rsidRDefault="0060454E" w:rsidP="00F67BCE">
      <w:pPr>
        <w:autoSpaceDE w:val="0"/>
        <w:autoSpaceDN w:val="0"/>
        <w:adjustRightInd w:val="0"/>
        <w:spacing w:after="0" w:line="240" w:lineRule="auto"/>
        <w:jc w:val="both"/>
        <w:rPr>
          <w:rFonts w:ascii="Arial" w:hAnsi="Arial" w:cs="Arial"/>
          <w:bCs/>
          <w:color w:val="000000"/>
        </w:rPr>
      </w:pPr>
    </w:p>
    <w:p w:rsidR="00F67BCE" w:rsidRPr="00F67BCE" w:rsidRDefault="00F67BCE" w:rsidP="00F67BCE">
      <w:pPr>
        <w:autoSpaceDE w:val="0"/>
        <w:autoSpaceDN w:val="0"/>
        <w:adjustRightInd w:val="0"/>
        <w:spacing w:after="0" w:line="240" w:lineRule="auto"/>
        <w:jc w:val="both"/>
        <w:rPr>
          <w:rFonts w:ascii="Arial" w:hAnsi="Arial" w:cs="Arial"/>
          <w:bCs/>
          <w:color w:val="000000"/>
        </w:rPr>
      </w:pPr>
      <w:r w:rsidRPr="00F67BCE">
        <w:rPr>
          <w:rFonts w:ascii="Arial" w:hAnsi="Arial" w:cs="Arial"/>
          <w:bCs/>
          <w:color w:val="000000"/>
        </w:rPr>
        <w:t>Así mismo, esta publicación es un insumo fundamental que permite llevar a cabo seguimiento y evaluación a la misión de la Entidad por parte de los diferentes organismos de control, ciudadanos en general y organismos de control político de la Ciudad, cumpliendo de esta manera con el compromiso de brindar transparencia y acceso a la información de las actuaciones realizadas para el cumplimiento de los fines misionales del Instituto.</w:t>
      </w:r>
    </w:p>
    <w:p w:rsidR="00F67BCE" w:rsidRPr="00F67BCE" w:rsidRDefault="00F67BCE" w:rsidP="00F67BCE">
      <w:pPr>
        <w:autoSpaceDE w:val="0"/>
        <w:autoSpaceDN w:val="0"/>
        <w:adjustRightInd w:val="0"/>
        <w:spacing w:after="0" w:line="240" w:lineRule="auto"/>
        <w:jc w:val="both"/>
        <w:rPr>
          <w:rFonts w:ascii="Arial" w:hAnsi="Arial" w:cs="Arial"/>
          <w:bCs/>
          <w:color w:val="000000"/>
        </w:rPr>
      </w:pPr>
    </w:p>
    <w:p w:rsidR="00F67BCE" w:rsidRPr="00F67BCE" w:rsidRDefault="00F67BCE" w:rsidP="00F67BCE">
      <w:pPr>
        <w:autoSpaceDE w:val="0"/>
        <w:autoSpaceDN w:val="0"/>
        <w:adjustRightInd w:val="0"/>
        <w:spacing w:after="0" w:line="240" w:lineRule="auto"/>
        <w:jc w:val="both"/>
        <w:rPr>
          <w:rFonts w:ascii="Arial" w:hAnsi="Arial" w:cs="Arial"/>
          <w:bCs/>
          <w:color w:val="000000"/>
        </w:rPr>
      </w:pPr>
      <w:r w:rsidRPr="00F67BCE">
        <w:rPr>
          <w:rFonts w:ascii="Arial" w:hAnsi="Arial" w:cs="Arial"/>
          <w:bCs/>
          <w:color w:val="000000"/>
        </w:rPr>
        <w:t>En este sentido la Entidad se encuentra a disposición de las partes interesadas para aclarar o ampliar cualquier información que se requiera para garantizar una adecuada rendición de cuentas a la ciudadanía en general.</w:t>
      </w:r>
    </w:p>
    <w:p w:rsidR="00F67BCE" w:rsidRPr="00F67BCE" w:rsidRDefault="00F67BCE" w:rsidP="00F67BCE">
      <w:pPr>
        <w:autoSpaceDE w:val="0"/>
        <w:autoSpaceDN w:val="0"/>
        <w:adjustRightInd w:val="0"/>
        <w:spacing w:after="0" w:line="240" w:lineRule="auto"/>
        <w:jc w:val="both"/>
        <w:rPr>
          <w:rFonts w:ascii="Arial" w:hAnsi="Arial" w:cs="Arial"/>
          <w:b/>
          <w:bCs/>
          <w:color w:val="000000"/>
        </w:rPr>
      </w:pPr>
    </w:p>
    <w:p w:rsidR="00A94DE2" w:rsidRPr="00F67BCE" w:rsidRDefault="00F67BCE" w:rsidP="00F67BCE">
      <w:pPr>
        <w:jc w:val="both"/>
        <w:rPr>
          <w:rFonts w:ascii="Arial" w:hAnsi="Arial" w:cs="Arial"/>
          <w:b/>
          <w:sz w:val="24"/>
          <w:szCs w:val="24"/>
        </w:rPr>
      </w:pPr>
      <w:r w:rsidRPr="00F67BCE">
        <w:rPr>
          <w:rFonts w:ascii="Arial" w:hAnsi="Arial" w:cs="Arial"/>
          <w:color w:val="000000"/>
        </w:rPr>
        <w:t xml:space="preserve">PUBLICACIÓN PORTAL WEB </w:t>
      </w:r>
      <w:r w:rsidRPr="00F67BCE">
        <w:rPr>
          <w:rFonts w:ascii="Arial" w:hAnsi="Arial" w:cs="Arial"/>
          <w:color w:val="0000FF"/>
        </w:rPr>
        <w:t>WWW.IDU.GOV.CO</w:t>
      </w:r>
      <w:r w:rsidRPr="00F67BCE">
        <w:rPr>
          <w:rFonts w:ascii="Arial" w:hAnsi="Arial" w:cs="Arial"/>
          <w:color w:val="000000"/>
        </w:rPr>
        <w:t>: Enero de 20</w:t>
      </w:r>
      <w:r w:rsidR="0060454E">
        <w:rPr>
          <w:rFonts w:ascii="Arial" w:hAnsi="Arial" w:cs="Arial"/>
          <w:color w:val="000000"/>
        </w:rPr>
        <w:t>20</w:t>
      </w:r>
    </w:p>
    <w:sectPr w:rsidR="00A94DE2" w:rsidRPr="00F67BCE">
      <w:footerReference w:type="default" r:id="rId5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F05C5" w:rsidRDefault="00EF05C5" w:rsidP="00E803A1">
      <w:pPr>
        <w:spacing w:after="0" w:line="240" w:lineRule="auto"/>
      </w:pPr>
      <w:r>
        <w:separator/>
      </w:r>
    </w:p>
  </w:endnote>
  <w:endnote w:type="continuationSeparator" w:id="0">
    <w:p w:rsidR="00EF05C5" w:rsidRDefault="00EF05C5" w:rsidP="00E803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Noto Sans Symbols">
    <w:altName w:val="Times New Roman"/>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utura Md BT">
    <w:altName w:val="Lucida Sans Unicode"/>
    <w:charset w:val="00"/>
    <w:family w:val="swiss"/>
    <w:pitch w:val="variable"/>
    <w:sig w:usb0="00000087" w:usb1="00000000" w:usb2="00000000" w:usb3="00000000" w:csb0="0000001B"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EFF" w:usb1="C0007843" w:usb2="00000009" w:usb3="00000000" w:csb0="000001FF" w:csb1="00000000"/>
  </w:font>
  <w:font w:name="ヒラギノ角ゴ Pro W3">
    <w:altName w:val="Times New Roman"/>
    <w:charset w:val="00"/>
    <w:family w:val="roman"/>
    <w:pitch w:val="default"/>
  </w:font>
  <w:font w:name="Droid Sans Fallback">
    <w:altName w:val="Times New Roman"/>
    <w:panose1 w:val="00000000000000000000"/>
    <w:charset w:val="00"/>
    <w:family w:val="roman"/>
    <w:notTrueType/>
    <w:pitch w:val="default"/>
  </w:font>
  <w:font w:name="Liberation Serif">
    <w:altName w:val="Times New Roman"/>
    <w:charset w:val="00"/>
    <w:family w:val="roman"/>
    <w:pitch w:val="variable"/>
    <w:sig w:usb0="E0000AFF" w:usb1="500078FF" w:usb2="00000021" w:usb3="00000000" w:csb0="000001BF" w:csb1="00000000"/>
  </w:font>
  <w:font w:name="Mangal">
    <w:panose1 w:val="00000400000000000000"/>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Optima">
    <w:charset w:val="00"/>
    <w:family w:val="swiss"/>
    <w:pitch w:val="variable"/>
    <w:sig w:usb0="00000003" w:usb1="00000000" w:usb2="00000000" w:usb3="00000000" w:csb0="00000001" w:csb1="00000000"/>
  </w:font>
  <w:font w:name="Swis721 Md BT">
    <w:altName w:val="Tahoma"/>
    <w:charset w:val="00"/>
    <w:family w:val="swiss"/>
    <w:pitch w:val="variable"/>
    <w:sig w:usb0="00000087" w:usb1="00000000" w:usb2="00000000" w:usb3="00000000" w:csb0="0000001B" w:csb1="00000000"/>
  </w:font>
  <w:font w:name="Times New Roman Bold">
    <w:panose1 w:val="00000000000000000000"/>
    <w:charset w:val="00"/>
    <w:family w:val="roman"/>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MS ??">
    <w:panose1 w:val="00000000000000000000"/>
    <w:charset w:val="80"/>
    <w:family w:val="auto"/>
    <w:notTrueType/>
    <w:pitch w:val="variable"/>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7993339"/>
      <w:docPartObj>
        <w:docPartGallery w:val="Page Numbers (Bottom of Page)"/>
        <w:docPartUnique/>
      </w:docPartObj>
    </w:sdtPr>
    <w:sdtEndPr>
      <w:rPr>
        <w:sz w:val="16"/>
        <w:szCs w:val="16"/>
      </w:rPr>
    </w:sdtEndPr>
    <w:sdtContent>
      <w:p w:rsidR="00001F39" w:rsidRPr="00F15586" w:rsidRDefault="00001F39">
        <w:pPr>
          <w:pStyle w:val="Piedepgina"/>
          <w:jc w:val="right"/>
          <w:rPr>
            <w:sz w:val="16"/>
            <w:szCs w:val="16"/>
          </w:rPr>
        </w:pPr>
        <w:r w:rsidRPr="00F15586">
          <w:rPr>
            <w:sz w:val="16"/>
            <w:szCs w:val="16"/>
          </w:rPr>
          <w:fldChar w:fldCharType="begin"/>
        </w:r>
        <w:r w:rsidRPr="00F15586">
          <w:rPr>
            <w:sz w:val="16"/>
            <w:szCs w:val="16"/>
          </w:rPr>
          <w:instrText>PAGE   \* MERGEFORMAT</w:instrText>
        </w:r>
        <w:r w:rsidRPr="00F15586">
          <w:rPr>
            <w:sz w:val="16"/>
            <w:szCs w:val="16"/>
          </w:rPr>
          <w:fldChar w:fldCharType="separate"/>
        </w:r>
        <w:r w:rsidR="00D74D9B" w:rsidRPr="00D74D9B">
          <w:rPr>
            <w:noProof/>
            <w:sz w:val="16"/>
            <w:szCs w:val="16"/>
            <w:lang w:val="es-ES"/>
          </w:rPr>
          <w:t>10</w:t>
        </w:r>
        <w:r w:rsidRPr="00F15586">
          <w:rPr>
            <w:sz w:val="16"/>
            <w:szCs w:val="16"/>
          </w:rPr>
          <w:fldChar w:fldCharType="end"/>
        </w:r>
        <w:r>
          <w:rPr>
            <w:sz w:val="16"/>
            <w:szCs w:val="16"/>
          </w:rPr>
          <w:t xml:space="preserve">  </w:t>
        </w:r>
        <w:r w:rsidRPr="00770534">
          <w:rPr>
            <w:noProof/>
            <w:sz w:val="16"/>
            <w:szCs w:val="16"/>
            <w:lang w:eastAsia="es-CO"/>
          </w:rPr>
          <w:drawing>
            <wp:inline distT="0" distB="0" distL="0" distR="0">
              <wp:extent cx="695742" cy="534522"/>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2820" cy="547643"/>
                      </a:xfrm>
                      <a:prstGeom prst="rect">
                        <a:avLst/>
                      </a:prstGeom>
                      <a:noFill/>
                      <a:ln>
                        <a:noFill/>
                      </a:ln>
                    </pic:spPr>
                  </pic:pic>
                </a:graphicData>
              </a:graphic>
            </wp:inline>
          </w:drawing>
        </w:r>
      </w:p>
    </w:sdtContent>
  </w:sdt>
  <w:p w:rsidR="00001F39" w:rsidRDefault="00001F3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F05C5" w:rsidRDefault="00EF05C5" w:rsidP="00E803A1">
      <w:pPr>
        <w:spacing w:after="0" w:line="240" w:lineRule="auto"/>
      </w:pPr>
      <w:r>
        <w:separator/>
      </w:r>
    </w:p>
  </w:footnote>
  <w:footnote w:type="continuationSeparator" w:id="0">
    <w:p w:rsidR="00EF05C5" w:rsidRDefault="00EF05C5" w:rsidP="00E803A1">
      <w:pPr>
        <w:spacing w:after="0" w:line="240" w:lineRule="auto"/>
      </w:pPr>
      <w:r>
        <w:continuationSeparator/>
      </w:r>
    </w:p>
  </w:footnote>
  <w:footnote w:id="1">
    <w:p w:rsidR="00001F39" w:rsidRPr="00960CB7" w:rsidRDefault="00001F39" w:rsidP="000B597A">
      <w:pPr>
        <w:shd w:val="clear" w:color="auto" w:fill="FFFFFF"/>
        <w:spacing w:line="240" w:lineRule="auto"/>
        <w:rPr>
          <w:rFonts w:ascii="Times New Roman" w:hAnsi="Times New Roman" w:cs="Times New Roman"/>
          <w:sz w:val="14"/>
          <w:szCs w:val="20"/>
          <w:lang w:val="es-ES"/>
        </w:rPr>
      </w:pPr>
      <w:r w:rsidRPr="00960CB7">
        <w:rPr>
          <w:rStyle w:val="Refdenotaalpie"/>
        </w:rPr>
        <w:footnoteRef/>
      </w:r>
      <w:r w:rsidRPr="00960CB7">
        <w:t xml:space="preserve"> </w:t>
      </w:r>
      <w:r w:rsidRPr="00960CB7">
        <w:rPr>
          <w:sz w:val="18"/>
        </w:rPr>
        <w:t xml:space="preserve">Las competencias duras estuvieron centradas en trabajar las funciones y responsabilidades desde el ámbito legal. Para esto se profundizó en los siguientes temas: marco normativo, procedimiento para imposición de sanciones, responsabilidad del supervisor, Manual de Contratación e Interventoría, entre otros. </w:t>
      </w:r>
    </w:p>
  </w:footnote>
  <w:footnote w:id="2">
    <w:p w:rsidR="00001F39" w:rsidRPr="00960CB7" w:rsidRDefault="00001F39" w:rsidP="000B597A">
      <w:pPr>
        <w:shd w:val="clear" w:color="auto" w:fill="FFFFFF"/>
        <w:spacing w:line="240" w:lineRule="auto"/>
        <w:rPr>
          <w:sz w:val="18"/>
        </w:rPr>
      </w:pPr>
      <w:r w:rsidRPr="00960CB7">
        <w:rPr>
          <w:rStyle w:val="Refdenotaalpie"/>
          <w:sz w:val="18"/>
        </w:rPr>
        <w:footnoteRef/>
      </w:r>
      <w:r w:rsidRPr="00960CB7">
        <w:rPr>
          <w:sz w:val="18"/>
        </w:rPr>
        <w:t xml:space="preserve"> Las competencias blandas, se desarrollaron en torno a dos temáticas principales: i) la importancia de una correcta comunicación tanto hacia el contratista como con los entes de control; ii) identificación de problemas y manejo de conflictos para un correcto ejercicio de supervisión. </w:t>
      </w:r>
    </w:p>
    <w:p w:rsidR="00001F39" w:rsidRPr="00960CB7" w:rsidRDefault="00001F39" w:rsidP="000B597A">
      <w:pPr>
        <w:pStyle w:val="Textonotapie"/>
        <w:rPr>
          <w:sz w:val="16"/>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D21AC76A"/>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1B34D3"/>
    <w:multiLevelType w:val="hybridMultilevel"/>
    <w:tmpl w:val="9E8859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02A7F64"/>
    <w:multiLevelType w:val="multilevel"/>
    <w:tmpl w:val="DEDAF93C"/>
    <w:lvl w:ilvl="0">
      <w:start w:val="8"/>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0586CEA"/>
    <w:multiLevelType w:val="multilevel"/>
    <w:tmpl w:val="0C0A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 w15:restartNumberingAfterBreak="0">
    <w:nsid w:val="011000F7"/>
    <w:multiLevelType w:val="hybridMultilevel"/>
    <w:tmpl w:val="E2D8186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 w15:restartNumberingAfterBreak="0">
    <w:nsid w:val="06A81CD2"/>
    <w:multiLevelType w:val="multilevel"/>
    <w:tmpl w:val="DBB08118"/>
    <w:lvl w:ilvl="0">
      <w:start w:val="4"/>
      <w:numFmt w:val="decimal"/>
      <w:lvlText w:val="%1."/>
      <w:lvlJc w:val="left"/>
      <w:pPr>
        <w:ind w:left="360" w:hanging="360"/>
      </w:pPr>
      <w:rPr>
        <w:rFonts w:hint="default"/>
      </w:rPr>
    </w:lvl>
    <w:lvl w:ilvl="1">
      <w:start w:val="1"/>
      <w:numFmt w:val="decimal"/>
      <w:lvlText w:val="%1.%2."/>
      <w:lvlJc w:val="left"/>
      <w:pPr>
        <w:ind w:left="2148" w:hanging="72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364" w:hanging="108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580" w:hanging="144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796" w:hanging="1800"/>
      </w:pPr>
      <w:rPr>
        <w:rFonts w:hint="default"/>
      </w:rPr>
    </w:lvl>
    <w:lvl w:ilvl="8">
      <w:start w:val="1"/>
      <w:numFmt w:val="decimal"/>
      <w:lvlText w:val="%1.%2.%3.%4.%5.%6.%7.%8.%9."/>
      <w:lvlJc w:val="left"/>
      <w:pPr>
        <w:ind w:left="13224" w:hanging="1800"/>
      </w:pPr>
      <w:rPr>
        <w:rFonts w:hint="default"/>
      </w:rPr>
    </w:lvl>
  </w:abstractNum>
  <w:abstractNum w:abstractNumId="6" w15:restartNumberingAfterBreak="0">
    <w:nsid w:val="08E86E99"/>
    <w:multiLevelType w:val="hybridMultilevel"/>
    <w:tmpl w:val="468493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09843E7E"/>
    <w:multiLevelType w:val="hybridMultilevel"/>
    <w:tmpl w:val="5CA0FA4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0A95181A"/>
    <w:multiLevelType w:val="multilevel"/>
    <w:tmpl w:val="993E8836"/>
    <w:lvl w:ilvl="0">
      <w:start w:val="9"/>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0D176784"/>
    <w:multiLevelType w:val="multilevel"/>
    <w:tmpl w:val="33AA8864"/>
    <w:lvl w:ilvl="0">
      <w:start w:val="1"/>
      <w:numFmt w:val="decimal"/>
      <w:pStyle w:val="TablaParteI"/>
      <w:lvlText w:val="Tabla No. %1."/>
      <w:lvlJc w:val="left"/>
      <w:pPr>
        <w:tabs>
          <w:tab w:val="num" w:pos="1080"/>
        </w:tabs>
        <w:ind w:left="737" w:hanging="737"/>
      </w:pPr>
      <w:rPr>
        <w:rFonts w:ascii="Century Gothic" w:hAnsi="Century Gothic" w:hint="default"/>
        <w:b/>
        <w:i w:val="0"/>
        <w:caps w:val="0"/>
        <w:sz w:val="17"/>
      </w:rPr>
    </w:lvl>
    <w:lvl w:ilvl="1">
      <w:start w:val="1"/>
      <w:numFmt w:val="decimal"/>
      <w:lvlText w:val="%1.%2"/>
      <w:lvlJc w:val="left"/>
      <w:pPr>
        <w:tabs>
          <w:tab w:val="num" w:pos="737"/>
        </w:tabs>
        <w:ind w:left="737" w:hanging="737"/>
      </w:pPr>
      <w:rPr>
        <w:rFonts w:ascii="Arial" w:hAnsi="Arial" w:hint="default"/>
        <w:b/>
        <w:i w:val="0"/>
        <w:sz w:val="20"/>
      </w:rPr>
    </w:lvl>
    <w:lvl w:ilvl="2">
      <w:start w:val="1"/>
      <w:numFmt w:val="decimal"/>
      <w:lvlText w:val="%1.%2.%3"/>
      <w:lvlJc w:val="left"/>
      <w:pPr>
        <w:tabs>
          <w:tab w:val="num" w:pos="720"/>
        </w:tabs>
        <w:ind w:left="720" w:hanging="720"/>
      </w:pPr>
      <w:rPr>
        <w:rFonts w:ascii="Arial" w:hAnsi="Arial" w:hint="default"/>
        <w:b/>
        <w:i w:val="0"/>
        <w:sz w:val="20"/>
      </w:rPr>
    </w:lvl>
    <w:lvl w:ilvl="3">
      <w:start w:val="1"/>
      <w:numFmt w:val="decimal"/>
      <w:lvlText w:val="%1.%2.%3.%4"/>
      <w:lvlJc w:val="left"/>
      <w:pPr>
        <w:tabs>
          <w:tab w:val="num" w:pos="864"/>
        </w:tabs>
        <w:ind w:left="864" w:hanging="864"/>
      </w:pPr>
      <w:rPr>
        <w:rFonts w:ascii="Arial" w:hAnsi="Arial" w:hint="default"/>
        <w:b/>
        <w:i w:val="0"/>
        <w:sz w:val="24"/>
      </w:rPr>
    </w:lvl>
    <w:lvl w:ilvl="4">
      <w:start w:val="1"/>
      <w:numFmt w:val="decimal"/>
      <w:lvlText w:val="%1.%2.%3.%4.%5"/>
      <w:lvlJc w:val="left"/>
      <w:pPr>
        <w:tabs>
          <w:tab w:val="num" w:pos="1008"/>
        </w:tabs>
        <w:ind w:left="1008" w:hanging="1008"/>
      </w:pPr>
      <w:rPr>
        <w:rFonts w:ascii="Arial" w:hAnsi="Arial" w:hint="default"/>
        <w:b/>
        <w:i w:val="0"/>
        <w:sz w:val="22"/>
      </w:r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0" w15:restartNumberingAfterBreak="0">
    <w:nsid w:val="0D8A206B"/>
    <w:multiLevelType w:val="hybridMultilevel"/>
    <w:tmpl w:val="BA8AEABA"/>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1" w15:restartNumberingAfterBreak="0">
    <w:nsid w:val="10234F73"/>
    <w:multiLevelType w:val="multilevel"/>
    <w:tmpl w:val="80524BF4"/>
    <w:lvl w:ilvl="0">
      <w:start w:val="3"/>
      <w:numFmt w:val="decimal"/>
      <w:lvlText w:val="%1."/>
      <w:lvlJc w:val="left"/>
      <w:pPr>
        <w:ind w:left="525" w:hanging="525"/>
      </w:pPr>
      <w:rPr>
        <w:rFonts w:hint="default"/>
        <w:b/>
      </w:rPr>
    </w:lvl>
    <w:lvl w:ilvl="1">
      <w:start w:val="4"/>
      <w:numFmt w:val="decimal"/>
      <w:lvlText w:val="%1.%2."/>
      <w:lvlJc w:val="left"/>
      <w:pPr>
        <w:ind w:left="525" w:hanging="52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2" w15:restartNumberingAfterBreak="0">
    <w:nsid w:val="11B21FD4"/>
    <w:multiLevelType w:val="hybridMultilevel"/>
    <w:tmpl w:val="18E0BA8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3" w15:restartNumberingAfterBreak="0">
    <w:nsid w:val="12D51924"/>
    <w:multiLevelType w:val="multilevel"/>
    <w:tmpl w:val="0C0A001D"/>
    <w:styleLink w:val="Estilo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16113879"/>
    <w:multiLevelType w:val="multilevel"/>
    <w:tmpl w:val="95F0A428"/>
    <w:lvl w:ilvl="0">
      <w:start w:val="1"/>
      <w:numFmt w:val="decimal"/>
      <w:pStyle w:val="Ttulo2"/>
      <w:lvlText w:val="%1."/>
      <w:lvlJc w:val="left"/>
      <w:pPr>
        <w:ind w:left="1428" w:hanging="360"/>
      </w:pPr>
      <w:rPr>
        <w:rFonts w:ascii="Arial" w:hAnsi="Arial" w:hint="default"/>
        <w:sz w:val="24"/>
        <w:szCs w:val="24"/>
      </w:rPr>
    </w:lvl>
    <w:lvl w:ilvl="1">
      <w:start w:val="1"/>
      <w:numFmt w:val="decimal"/>
      <w:isLgl/>
      <w:lvlText w:val="%1.%2"/>
      <w:lvlJc w:val="left"/>
      <w:pPr>
        <w:ind w:left="1428" w:hanging="360"/>
      </w:pPr>
      <w:rPr>
        <w:rFonts w:hint="default"/>
      </w:rPr>
    </w:lvl>
    <w:lvl w:ilvl="2">
      <w:start w:val="1"/>
      <w:numFmt w:val="decimal"/>
      <w:isLgl/>
      <w:lvlText w:val="%1.%2.%3"/>
      <w:lvlJc w:val="left"/>
      <w:pPr>
        <w:ind w:left="1788" w:hanging="720"/>
      </w:pPr>
      <w:rPr>
        <w:rFonts w:hint="default"/>
        <w:b/>
      </w:rPr>
    </w:lvl>
    <w:lvl w:ilvl="3">
      <w:start w:val="1"/>
      <w:numFmt w:val="decimal"/>
      <w:isLgl/>
      <w:lvlText w:val="%1.%2.%3.%4"/>
      <w:lvlJc w:val="left"/>
      <w:pPr>
        <w:ind w:left="2148" w:hanging="108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508" w:hanging="144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868" w:hanging="1800"/>
      </w:pPr>
      <w:rPr>
        <w:rFonts w:hint="default"/>
      </w:rPr>
    </w:lvl>
    <w:lvl w:ilvl="8">
      <w:start w:val="1"/>
      <w:numFmt w:val="decimal"/>
      <w:isLgl/>
      <w:lvlText w:val="%1.%2.%3.%4.%5.%6.%7.%8.%9"/>
      <w:lvlJc w:val="left"/>
      <w:pPr>
        <w:ind w:left="2868" w:hanging="1800"/>
      </w:pPr>
      <w:rPr>
        <w:rFonts w:hint="default"/>
      </w:rPr>
    </w:lvl>
  </w:abstractNum>
  <w:abstractNum w:abstractNumId="15" w15:restartNumberingAfterBreak="0">
    <w:nsid w:val="1893682F"/>
    <w:multiLevelType w:val="hybridMultilevel"/>
    <w:tmpl w:val="64407BDE"/>
    <w:lvl w:ilvl="0" w:tplc="41B2BA12">
      <w:start w:val="1"/>
      <w:numFmt w:val="decimal"/>
      <w:lvlText w:val="%1."/>
      <w:lvlJc w:val="left"/>
      <w:pPr>
        <w:ind w:left="720" w:hanging="360"/>
      </w:pPr>
      <w:rPr>
        <w:rFonts w:ascii="Arial" w:hAnsi="Arial" w:hint="default"/>
        <w:sz w:val="24"/>
      </w:rPr>
    </w:lvl>
    <w:lvl w:ilvl="1" w:tplc="240A0001">
      <w:start w:val="1"/>
      <w:numFmt w:val="bullet"/>
      <w:lvlText w:val=""/>
      <w:lvlJc w:val="left"/>
      <w:pPr>
        <w:ind w:left="1440" w:hanging="360"/>
      </w:pPr>
      <w:rPr>
        <w:rFonts w:ascii="Symbol" w:hAnsi="Symbol" w:hint="default"/>
        <w:sz w:val="24"/>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18D02B6C"/>
    <w:multiLevelType w:val="hybridMultilevel"/>
    <w:tmpl w:val="01A43316"/>
    <w:lvl w:ilvl="0" w:tplc="240A0001">
      <w:start w:val="1"/>
      <w:numFmt w:val="bullet"/>
      <w:lvlText w:val=""/>
      <w:lvlJc w:val="left"/>
      <w:pPr>
        <w:ind w:left="1080" w:hanging="360"/>
      </w:pPr>
      <w:rPr>
        <w:rFonts w:ascii="Symbol" w:hAnsi="Symbol" w:hint="default"/>
      </w:rPr>
    </w:lvl>
    <w:lvl w:ilvl="1" w:tplc="0C0A0003">
      <w:start w:val="1"/>
      <w:numFmt w:val="bullet"/>
      <w:lvlText w:val="o"/>
      <w:lvlJc w:val="left"/>
      <w:pPr>
        <w:ind w:left="1800" w:hanging="360"/>
      </w:pPr>
      <w:rPr>
        <w:rFonts w:ascii="Courier New" w:hAnsi="Courier New" w:cs="Courier New" w:hint="default"/>
      </w:rPr>
    </w:lvl>
    <w:lvl w:ilvl="2" w:tplc="0C0A0005">
      <w:start w:val="1"/>
      <w:numFmt w:val="bullet"/>
      <w:lvlText w:val=""/>
      <w:lvlJc w:val="left"/>
      <w:pPr>
        <w:ind w:left="2520" w:hanging="360"/>
      </w:pPr>
      <w:rPr>
        <w:rFonts w:ascii="Wingdings" w:hAnsi="Wingdings" w:hint="default"/>
      </w:rPr>
    </w:lvl>
    <w:lvl w:ilvl="3" w:tplc="0C0A0001">
      <w:start w:val="1"/>
      <w:numFmt w:val="bullet"/>
      <w:lvlText w:val=""/>
      <w:lvlJc w:val="left"/>
      <w:pPr>
        <w:ind w:left="3240" w:hanging="360"/>
      </w:pPr>
      <w:rPr>
        <w:rFonts w:ascii="Symbol" w:hAnsi="Symbol" w:hint="default"/>
      </w:rPr>
    </w:lvl>
    <w:lvl w:ilvl="4" w:tplc="0C0A0003">
      <w:start w:val="1"/>
      <w:numFmt w:val="bullet"/>
      <w:lvlText w:val="o"/>
      <w:lvlJc w:val="left"/>
      <w:pPr>
        <w:ind w:left="3960" w:hanging="360"/>
      </w:pPr>
      <w:rPr>
        <w:rFonts w:ascii="Courier New" w:hAnsi="Courier New" w:cs="Courier New" w:hint="default"/>
      </w:rPr>
    </w:lvl>
    <w:lvl w:ilvl="5" w:tplc="0C0A0005">
      <w:start w:val="1"/>
      <w:numFmt w:val="bullet"/>
      <w:lvlText w:val=""/>
      <w:lvlJc w:val="left"/>
      <w:pPr>
        <w:ind w:left="4680" w:hanging="360"/>
      </w:pPr>
      <w:rPr>
        <w:rFonts w:ascii="Wingdings" w:hAnsi="Wingdings" w:hint="default"/>
      </w:rPr>
    </w:lvl>
    <w:lvl w:ilvl="6" w:tplc="0C0A0001">
      <w:start w:val="1"/>
      <w:numFmt w:val="bullet"/>
      <w:lvlText w:val=""/>
      <w:lvlJc w:val="left"/>
      <w:pPr>
        <w:ind w:left="5400" w:hanging="360"/>
      </w:pPr>
      <w:rPr>
        <w:rFonts w:ascii="Symbol" w:hAnsi="Symbol" w:hint="default"/>
      </w:rPr>
    </w:lvl>
    <w:lvl w:ilvl="7" w:tplc="0C0A0003">
      <w:start w:val="1"/>
      <w:numFmt w:val="bullet"/>
      <w:lvlText w:val="o"/>
      <w:lvlJc w:val="left"/>
      <w:pPr>
        <w:ind w:left="6120" w:hanging="360"/>
      </w:pPr>
      <w:rPr>
        <w:rFonts w:ascii="Courier New" w:hAnsi="Courier New" w:cs="Courier New" w:hint="default"/>
      </w:rPr>
    </w:lvl>
    <w:lvl w:ilvl="8" w:tplc="0C0A0005">
      <w:start w:val="1"/>
      <w:numFmt w:val="bullet"/>
      <w:lvlText w:val=""/>
      <w:lvlJc w:val="left"/>
      <w:pPr>
        <w:ind w:left="6840" w:hanging="360"/>
      </w:pPr>
      <w:rPr>
        <w:rFonts w:ascii="Wingdings" w:hAnsi="Wingdings" w:hint="default"/>
      </w:rPr>
    </w:lvl>
  </w:abstractNum>
  <w:abstractNum w:abstractNumId="17" w15:restartNumberingAfterBreak="0">
    <w:nsid w:val="222E0652"/>
    <w:multiLevelType w:val="multilevel"/>
    <w:tmpl w:val="5CB4E41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25697474"/>
    <w:multiLevelType w:val="hybridMultilevel"/>
    <w:tmpl w:val="B37068F4"/>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27FC288B"/>
    <w:multiLevelType w:val="multilevel"/>
    <w:tmpl w:val="240AD4E2"/>
    <w:lvl w:ilvl="0">
      <w:start w:val="5"/>
      <w:numFmt w:val="decimal"/>
      <w:lvlText w:val="%1."/>
      <w:lvlJc w:val="left"/>
      <w:pPr>
        <w:tabs>
          <w:tab w:val="num" w:pos="390"/>
        </w:tabs>
        <w:ind w:left="390" w:hanging="390"/>
      </w:pPr>
      <w:rPr>
        <w:rFonts w:hint="default"/>
      </w:rPr>
    </w:lvl>
    <w:lvl w:ilvl="1">
      <w:start w:val="1"/>
      <w:numFmt w:val="decimal"/>
      <w:pStyle w:val="Titulo2C"/>
      <w:lvlText w:val="%1.%2."/>
      <w:lvlJc w:val="left"/>
      <w:pPr>
        <w:tabs>
          <w:tab w:val="num" w:pos="390"/>
        </w:tabs>
        <w:ind w:left="390" w:hanging="39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0" w15:restartNumberingAfterBreak="0">
    <w:nsid w:val="2AC172C7"/>
    <w:multiLevelType w:val="hybridMultilevel"/>
    <w:tmpl w:val="1682C27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2B7024C5"/>
    <w:multiLevelType w:val="multilevel"/>
    <w:tmpl w:val="BD68B5F2"/>
    <w:lvl w:ilvl="0">
      <w:start w:val="2"/>
      <w:numFmt w:val="decimal"/>
      <w:lvlText w:val="%1."/>
      <w:lvlJc w:val="left"/>
      <w:pPr>
        <w:ind w:left="390" w:hanging="39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22" w15:restartNumberingAfterBreak="0">
    <w:nsid w:val="2BAE6E3A"/>
    <w:multiLevelType w:val="hybridMultilevel"/>
    <w:tmpl w:val="EA60F27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2F0D2F1D"/>
    <w:multiLevelType w:val="multilevel"/>
    <w:tmpl w:val="15C20410"/>
    <w:lvl w:ilvl="0">
      <w:start w:val="1"/>
      <w:numFmt w:val="decimal"/>
      <w:pStyle w:val="Titulos-1"/>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4" w15:restartNumberingAfterBreak="0">
    <w:nsid w:val="30062464"/>
    <w:multiLevelType w:val="hybridMultilevel"/>
    <w:tmpl w:val="6CCE77C4"/>
    <w:lvl w:ilvl="0" w:tplc="240A0001">
      <w:start w:val="1"/>
      <w:numFmt w:val="bullet"/>
      <w:lvlText w:val=""/>
      <w:lvlJc w:val="left"/>
      <w:pPr>
        <w:ind w:left="360" w:hanging="360"/>
      </w:pPr>
      <w:rPr>
        <w:rFonts w:ascii="Symbol" w:hAnsi="Symbol" w:hint="default"/>
        <w:sz w:val="18"/>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25" w15:restartNumberingAfterBreak="0">
    <w:nsid w:val="30834AA4"/>
    <w:multiLevelType w:val="multilevel"/>
    <w:tmpl w:val="90BAAF68"/>
    <w:lvl w:ilvl="0">
      <w:start w:val="8"/>
      <w:numFmt w:val="decimal"/>
      <w:lvlText w:val="%1."/>
      <w:lvlJc w:val="left"/>
      <w:pPr>
        <w:ind w:left="540" w:hanging="54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31222DC5"/>
    <w:multiLevelType w:val="hybridMultilevel"/>
    <w:tmpl w:val="26420ED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3306318A"/>
    <w:multiLevelType w:val="hybridMultilevel"/>
    <w:tmpl w:val="79DC63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34B1213E"/>
    <w:multiLevelType w:val="multilevel"/>
    <w:tmpl w:val="0B4E0648"/>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35FD788F"/>
    <w:multiLevelType w:val="hybridMultilevel"/>
    <w:tmpl w:val="15582388"/>
    <w:lvl w:ilvl="0" w:tplc="240A0017">
      <w:start w:val="1"/>
      <w:numFmt w:val="lowerLetter"/>
      <w:lvlText w:val="%1)"/>
      <w:lvlJc w:val="left"/>
      <w:pPr>
        <w:ind w:left="720" w:hanging="360"/>
      </w:pPr>
      <w:rPr>
        <w:rFonts w:hint="default"/>
      </w:rPr>
    </w:lvl>
    <w:lvl w:ilvl="1" w:tplc="88966F4E">
      <w:start w:val="1"/>
      <w:numFmt w:val="decimal"/>
      <w:lvlText w:val="%2."/>
      <w:lvlJc w:val="left"/>
      <w:pPr>
        <w:ind w:left="1440" w:hanging="360"/>
      </w:pPr>
      <w:rPr>
        <w:rFonts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15:restartNumberingAfterBreak="0">
    <w:nsid w:val="37527475"/>
    <w:multiLevelType w:val="hybridMultilevel"/>
    <w:tmpl w:val="01F46A38"/>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396D592B"/>
    <w:multiLevelType w:val="multilevel"/>
    <w:tmpl w:val="0AEC6388"/>
    <w:lvl w:ilvl="0">
      <w:start w:val="1"/>
      <w:numFmt w:val="upperRoman"/>
      <w:pStyle w:val="Ttulo1"/>
      <w:lvlText w:val="%1."/>
      <w:lvlJc w:val="left"/>
      <w:pPr>
        <w:ind w:left="1428" w:hanging="360"/>
      </w:pPr>
      <w:rPr>
        <w:rFonts w:hint="default"/>
      </w:rPr>
    </w:lvl>
    <w:lvl w:ilvl="1">
      <w:start w:val="3"/>
      <w:numFmt w:val="decimal"/>
      <w:isLgl/>
      <w:lvlText w:val="%1.%2."/>
      <w:lvlJc w:val="left"/>
      <w:pPr>
        <w:ind w:left="1788" w:hanging="72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2148" w:hanging="108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508" w:hanging="144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868" w:hanging="1800"/>
      </w:pPr>
      <w:rPr>
        <w:rFonts w:hint="default"/>
      </w:rPr>
    </w:lvl>
    <w:lvl w:ilvl="8">
      <w:start w:val="1"/>
      <w:numFmt w:val="decimal"/>
      <w:isLgl/>
      <w:lvlText w:val="%1.%2.%3.%4.%5.%6.%7.%8.%9."/>
      <w:lvlJc w:val="left"/>
      <w:pPr>
        <w:ind w:left="3228" w:hanging="2160"/>
      </w:pPr>
      <w:rPr>
        <w:rFonts w:hint="default"/>
      </w:rPr>
    </w:lvl>
  </w:abstractNum>
  <w:abstractNum w:abstractNumId="32" w15:restartNumberingAfterBreak="0">
    <w:nsid w:val="3F490406"/>
    <w:multiLevelType w:val="hybridMultilevel"/>
    <w:tmpl w:val="0FEE651A"/>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3" w15:restartNumberingAfterBreak="0">
    <w:nsid w:val="48787A18"/>
    <w:multiLevelType w:val="hybridMultilevel"/>
    <w:tmpl w:val="91B43B7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4" w15:restartNumberingAfterBreak="0">
    <w:nsid w:val="4A6661C6"/>
    <w:multiLevelType w:val="hybridMultilevel"/>
    <w:tmpl w:val="31FAB8D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4A8F16F7"/>
    <w:multiLevelType w:val="hybridMultilevel"/>
    <w:tmpl w:val="5600B858"/>
    <w:lvl w:ilvl="0" w:tplc="6E60CFC4">
      <w:start w:val="1"/>
      <w:numFmt w:val="bullet"/>
      <w:lvlText w:val=""/>
      <w:lvlJc w:val="left"/>
      <w:pPr>
        <w:ind w:left="720" w:hanging="360"/>
      </w:pPr>
      <w:rPr>
        <w:rFonts w:ascii="Symbol" w:hAnsi="Symbol" w:hint="default"/>
        <w:color w:val="auto"/>
        <w:sz w:val="26"/>
        <w:szCs w:val="26"/>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50D70300"/>
    <w:multiLevelType w:val="multilevel"/>
    <w:tmpl w:val="82D48A18"/>
    <w:lvl w:ilvl="0">
      <w:start w:val="5"/>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53191C87"/>
    <w:multiLevelType w:val="hybridMultilevel"/>
    <w:tmpl w:val="2130725E"/>
    <w:lvl w:ilvl="0" w:tplc="240A0001">
      <w:start w:val="1"/>
      <w:numFmt w:val="bullet"/>
      <w:lvlText w:val=""/>
      <w:lvlJc w:val="left"/>
      <w:pPr>
        <w:ind w:left="1004" w:hanging="360"/>
      </w:pPr>
      <w:rPr>
        <w:rFonts w:ascii="Symbol" w:hAnsi="Symbol" w:hint="default"/>
      </w:rPr>
    </w:lvl>
    <w:lvl w:ilvl="1" w:tplc="240A0003" w:tentative="1">
      <w:start w:val="1"/>
      <w:numFmt w:val="bullet"/>
      <w:lvlText w:val="o"/>
      <w:lvlJc w:val="left"/>
      <w:pPr>
        <w:ind w:left="1724" w:hanging="360"/>
      </w:pPr>
      <w:rPr>
        <w:rFonts w:ascii="Courier New" w:hAnsi="Courier New" w:cs="Courier New" w:hint="default"/>
      </w:rPr>
    </w:lvl>
    <w:lvl w:ilvl="2" w:tplc="240A0005" w:tentative="1">
      <w:start w:val="1"/>
      <w:numFmt w:val="bullet"/>
      <w:lvlText w:val=""/>
      <w:lvlJc w:val="left"/>
      <w:pPr>
        <w:ind w:left="2444" w:hanging="360"/>
      </w:pPr>
      <w:rPr>
        <w:rFonts w:ascii="Wingdings" w:hAnsi="Wingdings" w:hint="default"/>
      </w:rPr>
    </w:lvl>
    <w:lvl w:ilvl="3" w:tplc="240A0001" w:tentative="1">
      <w:start w:val="1"/>
      <w:numFmt w:val="bullet"/>
      <w:lvlText w:val=""/>
      <w:lvlJc w:val="left"/>
      <w:pPr>
        <w:ind w:left="3164" w:hanging="360"/>
      </w:pPr>
      <w:rPr>
        <w:rFonts w:ascii="Symbol" w:hAnsi="Symbol" w:hint="default"/>
      </w:rPr>
    </w:lvl>
    <w:lvl w:ilvl="4" w:tplc="240A0003" w:tentative="1">
      <w:start w:val="1"/>
      <w:numFmt w:val="bullet"/>
      <w:lvlText w:val="o"/>
      <w:lvlJc w:val="left"/>
      <w:pPr>
        <w:ind w:left="3884" w:hanging="360"/>
      </w:pPr>
      <w:rPr>
        <w:rFonts w:ascii="Courier New" w:hAnsi="Courier New" w:cs="Courier New" w:hint="default"/>
      </w:rPr>
    </w:lvl>
    <w:lvl w:ilvl="5" w:tplc="240A0005" w:tentative="1">
      <w:start w:val="1"/>
      <w:numFmt w:val="bullet"/>
      <w:lvlText w:val=""/>
      <w:lvlJc w:val="left"/>
      <w:pPr>
        <w:ind w:left="4604" w:hanging="360"/>
      </w:pPr>
      <w:rPr>
        <w:rFonts w:ascii="Wingdings" w:hAnsi="Wingdings" w:hint="default"/>
      </w:rPr>
    </w:lvl>
    <w:lvl w:ilvl="6" w:tplc="240A0001" w:tentative="1">
      <w:start w:val="1"/>
      <w:numFmt w:val="bullet"/>
      <w:lvlText w:val=""/>
      <w:lvlJc w:val="left"/>
      <w:pPr>
        <w:ind w:left="5324" w:hanging="360"/>
      </w:pPr>
      <w:rPr>
        <w:rFonts w:ascii="Symbol" w:hAnsi="Symbol" w:hint="default"/>
      </w:rPr>
    </w:lvl>
    <w:lvl w:ilvl="7" w:tplc="240A0003" w:tentative="1">
      <w:start w:val="1"/>
      <w:numFmt w:val="bullet"/>
      <w:lvlText w:val="o"/>
      <w:lvlJc w:val="left"/>
      <w:pPr>
        <w:ind w:left="6044" w:hanging="360"/>
      </w:pPr>
      <w:rPr>
        <w:rFonts w:ascii="Courier New" w:hAnsi="Courier New" w:cs="Courier New" w:hint="default"/>
      </w:rPr>
    </w:lvl>
    <w:lvl w:ilvl="8" w:tplc="240A0005" w:tentative="1">
      <w:start w:val="1"/>
      <w:numFmt w:val="bullet"/>
      <w:lvlText w:val=""/>
      <w:lvlJc w:val="left"/>
      <w:pPr>
        <w:ind w:left="6764" w:hanging="360"/>
      </w:pPr>
      <w:rPr>
        <w:rFonts w:ascii="Wingdings" w:hAnsi="Wingdings" w:hint="default"/>
      </w:rPr>
    </w:lvl>
  </w:abstractNum>
  <w:abstractNum w:abstractNumId="38" w15:restartNumberingAfterBreak="0">
    <w:nsid w:val="547A1076"/>
    <w:multiLevelType w:val="multilevel"/>
    <w:tmpl w:val="8A242AA0"/>
    <w:lvl w:ilvl="0">
      <w:start w:val="1"/>
      <w:numFmt w:val="decimal"/>
      <w:lvlText w:val="%1."/>
      <w:lvlJc w:val="left"/>
      <w:pPr>
        <w:ind w:left="390" w:hanging="390"/>
      </w:pPr>
      <w:rPr>
        <w:rFonts w:hint="default"/>
      </w:rPr>
    </w:lvl>
    <w:lvl w:ilvl="1">
      <w:start w:val="1"/>
      <w:numFmt w:val="decimal"/>
      <w:lvlText w:val="%1.%2."/>
      <w:lvlJc w:val="left"/>
      <w:pPr>
        <w:ind w:left="1866" w:hanging="720"/>
      </w:pPr>
      <w:rPr>
        <w:rFonts w:hint="default"/>
      </w:rPr>
    </w:lvl>
    <w:lvl w:ilvl="2">
      <w:start w:val="1"/>
      <w:numFmt w:val="decimal"/>
      <w:lvlText w:val="%1.%2.%3."/>
      <w:lvlJc w:val="left"/>
      <w:pPr>
        <w:ind w:left="3012" w:hanging="720"/>
      </w:pPr>
      <w:rPr>
        <w:rFonts w:hint="default"/>
      </w:rPr>
    </w:lvl>
    <w:lvl w:ilvl="3">
      <w:start w:val="1"/>
      <w:numFmt w:val="decimal"/>
      <w:lvlText w:val="%1.%2.%3.%4."/>
      <w:lvlJc w:val="left"/>
      <w:pPr>
        <w:ind w:left="4518" w:hanging="1080"/>
      </w:pPr>
      <w:rPr>
        <w:rFonts w:hint="default"/>
      </w:rPr>
    </w:lvl>
    <w:lvl w:ilvl="4">
      <w:start w:val="1"/>
      <w:numFmt w:val="decimal"/>
      <w:lvlText w:val="%1.%2.%3.%4.%5."/>
      <w:lvlJc w:val="left"/>
      <w:pPr>
        <w:ind w:left="5664" w:hanging="1080"/>
      </w:pPr>
      <w:rPr>
        <w:rFonts w:hint="default"/>
      </w:rPr>
    </w:lvl>
    <w:lvl w:ilvl="5">
      <w:start w:val="1"/>
      <w:numFmt w:val="decimal"/>
      <w:lvlText w:val="%1.%2.%3.%4.%5.%6."/>
      <w:lvlJc w:val="left"/>
      <w:pPr>
        <w:ind w:left="7170" w:hanging="1440"/>
      </w:pPr>
      <w:rPr>
        <w:rFonts w:hint="default"/>
      </w:rPr>
    </w:lvl>
    <w:lvl w:ilvl="6">
      <w:start w:val="1"/>
      <w:numFmt w:val="decimal"/>
      <w:lvlText w:val="%1.%2.%3.%4.%5.%6.%7."/>
      <w:lvlJc w:val="left"/>
      <w:pPr>
        <w:ind w:left="8316" w:hanging="1440"/>
      </w:pPr>
      <w:rPr>
        <w:rFonts w:hint="default"/>
      </w:rPr>
    </w:lvl>
    <w:lvl w:ilvl="7">
      <w:start w:val="1"/>
      <w:numFmt w:val="decimal"/>
      <w:lvlText w:val="%1.%2.%3.%4.%5.%6.%7.%8."/>
      <w:lvlJc w:val="left"/>
      <w:pPr>
        <w:ind w:left="9822" w:hanging="1800"/>
      </w:pPr>
      <w:rPr>
        <w:rFonts w:hint="default"/>
      </w:rPr>
    </w:lvl>
    <w:lvl w:ilvl="8">
      <w:start w:val="1"/>
      <w:numFmt w:val="decimal"/>
      <w:lvlText w:val="%1.%2.%3.%4.%5.%6.%7.%8.%9."/>
      <w:lvlJc w:val="left"/>
      <w:pPr>
        <w:ind w:left="11328" w:hanging="2160"/>
      </w:pPr>
      <w:rPr>
        <w:rFonts w:hint="default"/>
      </w:rPr>
    </w:lvl>
  </w:abstractNum>
  <w:abstractNum w:abstractNumId="39" w15:restartNumberingAfterBreak="0">
    <w:nsid w:val="5AF82F9C"/>
    <w:multiLevelType w:val="hybridMultilevel"/>
    <w:tmpl w:val="8B8AD0D4"/>
    <w:lvl w:ilvl="0" w:tplc="6E60CFC4">
      <w:start w:val="1"/>
      <w:numFmt w:val="bullet"/>
      <w:lvlText w:val=""/>
      <w:lvlJc w:val="left"/>
      <w:pPr>
        <w:ind w:left="720" w:hanging="360"/>
      </w:pPr>
      <w:rPr>
        <w:rFonts w:ascii="Symbol" w:hAnsi="Symbol" w:hint="default"/>
        <w:color w:val="auto"/>
        <w:sz w:val="26"/>
        <w:szCs w:val="26"/>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5CA45950"/>
    <w:multiLevelType w:val="multilevel"/>
    <w:tmpl w:val="5A56FFD2"/>
    <w:lvl w:ilvl="0">
      <w:start w:val="8"/>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5D92003B"/>
    <w:multiLevelType w:val="hybridMultilevel"/>
    <w:tmpl w:val="0D829AC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62D26E42"/>
    <w:multiLevelType w:val="hybridMultilevel"/>
    <w:tmpl w:val="4E602B9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63626037"/>
    <w:multiLevelType w:val="hybridMultilevel"/>
    <w:tmpl w:val="5EB6CF48"/>
    <w:lvl w:ilvl="0" w:tplc="FFFFFFFF">
      <w:start w:val="1"/>
      <w:numFmt w:val="decimal"/>
      <w:pStyle w:val="Titulo1C"/>
      <w:lvlText w:val="%1."/>
      <w:lvlJc w:val="left"/>
      <w:pPr>
        <w:tabs>
          <w:tab w:val="num" w:pos="720"/>
        </w:tabs>
        <w:ind w:left="720" w:hanging="360"/>
      </w:pPr>
      <w:rPr>
        <w:rFonts w:hint="default"/>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44" w15:restartNumberingAfterBreak="0">
    <w:nsid w:val="64321AB2"/>
    <w:multiLevelType w:val="multilevel"/>
    <w:tmpl w:val="96A48A08"/>
    <w:lvl w:ilvl="0">
      <w:start w:val="1"/>
      <w:numFmt w:val="decimal"/>
      <w:pStyle w:val="Modelo"/>
      <w:lvlText w:val="%1."/>
      <w:lvlJc w:val="left"/>
      <w:pPr>
        <w:ind w:left="1065" w:hanging="705"/>
      </w:pPr>
    </w:lvl>
    <w:lvl w:ilvl="1">
      <w:start w:val="1"/>
      <w:numFmt w:val="decimal"/>
      <w:pStyle w:val="Modelo2"/>
      <w:isLgl/>
      <w:lvlText w:val="%1.%2"/>
      <w:lvlJc w:val="left"/>
      <w:pPr>
        <w:ind w:left="1065" w:hanging="705"/>
      </w:pPr>
    </w:lvl>
    <w:lvl w:ilvl="2">
      <w:start w:val="1"/>
      <w:numFmt w:val="decimal"/>
      <w:pStyle w:val="Modelo3"/>
      <w:isLgl/>
      <w:lvlText w:val="%1.%2.%3"/>
      <w:lvlJc w:val="left"/>
      <w:pPr>
        <w:ind w:left="1080" w:hanging="720"/>
      </w:pPr>
    </w:lvl>
    <w:lvl w:ilvl="3">
      <w:start w:val="1"/>
      <w:numFmt w:val="decimal"/>
      <w:pStyle w:val="Modelo4"/>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1800" w:hanging="1440"/>
      </w:pPr>
    </w:lvl>
  </w:abstractNum>
  <w:abstractNum w:abstractNumId="45" w15:restartNumberingAfterBreak="0">
    <w:nsid w:val="65D021AB"/>
    <w:multiLevelType w:val="multilevel"/>
    <w:tmpl w:val="A94A2FE4"/>
    <w:lvl w:ilvl="0">
      <w:start w:val="1"/>
      <w:numFmt w:val="bullet"/>
      <w:lvlText w:val="●"/>
      <w:lvlJc w:val="left"/>
      <w:pPr>
        <w:ind w:left="1572" w:hanging="360"/>
      </w:pPr>
      <w:rPr>
        <w:rFonts w:ascii="Noto Sans Symbols" w:eastAsia="Noto Sans Symbols" w:hAnsi="Noto Sans Symbols" w:cs="Noto Sans Symbols"/>
      </w:rPr>
    </w:lvl>
    <w:lvl w:ilvl="1">
      <w:start w:val="1"/>
      <w:numFmt w:val="bullet"/>
      <w:lvlText w:val="o"/>
      <w:lvlJc w:val="left"/>
      <w:pPr>
        <w:ind w:left="6881" w:hanging="360"/>
      </w:pPr>
      <w:rPr>
        <w:rFonts w:ascii="Courier New" w:eastAsia="Courier New" w:hAnsi="Courier New" w:cs="Courier New"/>
      </w:rPr>
    </w:lvl>
    <w:lvl w:ilvl="2">
      <w:start w:val="1"/>
      <w:numFmt w:val="bullet"/>
      <w:lvlText w:val="▪"/>
      <w:lvlJc w:val="left"/>
      <w:pPr>
        <w:ind w:left="3012" w:hanging="360"/>
      </w:pPr>
      <w:rPr>
        <w:rFonts w:ascii="Noto Sans Symbols" w:eastAsia="Noto Sans Symbols" w:hAnsi="Noto Sans Symbols" w:cs="Noto Sans Symbols"/>
      </w:rPr>
    </w:lvl>
    <w:lvl w:ilvl="3">
      <w:start w:val="1"/>
      <w:numFmt w:val="bullet"/>
      <w:lvlText w:val="●"/>
      <w:lvlJc w:val="left"/>
      <w:pPr>
        <w:ind w:left="3732" w:hanging="360"/>
      </w:pPr>
      <w:rPr>
        <w:rFonts w:ascii="Noto Sans Symbols" w:eastAsia="Noto Sans Symbols" w:hAnsi="Noto Sans Symbols" w:cs="Noto Sans Symbols"/>
      </w:rPr>
    </w:lvl>
    <w:lvl w:ilvl="4">
      <w:start w:val="1"/>
      <w:numFmt w:val="bullet"/>
      <w:lvlText w:val="o"/>
      <w:lvlJc w:val="left"/>
      <w:pPr>
        <w:ind w:left="4452" w:hanging="360"/>
      </w:pPr>
      <w:rPr>
        <w:rFonts w:ascii="Courier New" w:eastAsia="Courier New" w:hAnsi="Courier New" w:cs="Courier New"/>
      </w:rPr>
    </w:lvl>
    <w:lvl w:ilvl="5">
      <w:start w:val="1"/>
      <w:numFmt w:val="bullet"/>
      <w:lvlText w:val="▪"/>
      <w:lvlJc w:val="left"/>
      <w:pPr>
        <w:ind w:left="5172" w:hanging="360"/>
      </w:pPr>
      <w:rPr>
        <w:rFonts w:ascii="Noto Sans Symbols" w:eastAsia="Noto Sans Symbols" w:hAnsi="Noto Sans Symbols" w:cs="Noto Sans Symbols"/>
      </w:rPr>
    </w:lvl>
    <w:lvl w:ilvl="6">
      <w:start w:val="1"/>
      <w:numFmt w:val="bullet"/>
      <w:lvlText w:val="●"/>
      <w:lvlJc w:val="left"/>
      <w:pPr>
        <w:ind w:left="5892" w:hanging="360"/>
      </w:pPr>
      <w:rPr>
        <w:rFonts w:ascii="Noto Sans Symbols" w:eastAsia="Noto Sans Symbols" w:hAnsi="Noto Sans Symbols" w:cs="Noto Sans Symbols"/>
      </w:rPr>
    </w:lvl>
    <w:lvl w:ilvl="7">
      <w:start w:val="1"/>
      <w:numFmt w:val="bullet"/>
      <w:lvlText w:val="o"/>
      <w:lvlJc w:val="left"/>
      <w:pPr>
        <w:ind w:left="6612" w:hanging="360"/>
      </w:pPr>
      <w:rPr>
        <w:rFonts w:ascii="Courier New" w:eastAsia="Courier New" w:hAnsi="Courier New" w:cs="Courier New"/>
      </w:rPr>
    </w:lvl>
    <w:lvl w:ilvl="8">
      <w:start w:val="1"/>
      <w:numFmt w:val="bullet"/>
      <w:lvlText w:val="▪"/>
      <w:lvlJc w:val="left"/>
      <w:pPr>
        <w:ind w:left="7332" w:hanging="360"/>
      </w:pPr>
      <w:rPr>
        <w:rFonts w:ascii="Noto Sans Symbols" w:eastAsia="Noto Sans Symbols" w:hAnsi="Noto Sans Symbols" w:cs="Noto Sans Symbols"/>
      </w:rPr>
    </w:lvl>
  </w:abstractNum>
  <w:abstractNum w:abstractNumId="46" w15:restartNumberingAfterBreak="0">
    <w:nsid w:val="65E43930"/>
    <w:multiLevelType w:val="hybridMultilevel"/>
    <w:tmpl w:val="632ADE98"/>
    <w:lvl w:ilvl="0" w:tplc="240A0001">
      <w:start w:val="1"/>
      <w:numFmt w:val="bullet"/>
      <w:lvlText w:val=""/>
      <w:lvlJc w:val="left"/>
      <w:pPr>
        <w:tabs>
          <w:tab w:val="num" w:pos="720"/>
        </w:tabs>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6AC42F80"/>
    <w:multiLevelType w:val="multilevel"/>
    <w:tmpl w:val="06D0CBAE"/>
    <w:lvl w:ilvl="0">
      <w:start w:val="8"/>
      <w:numFmt w:val="decimal"/>
      <w:lvlText w:val="%1."/>
      <w:lvlJc w:val="left"/>
      <w:pPr>
        <w:ind w:left="585" w:hanging="585"/>
      </w:pPr>
      <w:rPr>
        <w:rFonts w:hint="default"/>
      </w:rPr>
    </w:lvl>
    <w:lvl w:ilvl="1">
      <w:start w:val="2"/>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8" w15:restartNumberingAfterBreak="0">
    <w:nsid w:val="6B672ADA"/>
    <w:multiLevelType w:val="hybridMultilevel"/>
    <w:tmpl w:val="3426ED4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9" w15:restartNumberingAfterBreak="0">
    <w:nsid w:val="6CA83354"/>
    <w:multiLevelType w:val="hybridMultilevel"/>
    <w:tmpl w:val="AFFE28D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0" w15:restartNumberingAfterBreak="0">
    <w:nsid w:val="6D383C38"/>
    <w:multiLevelType w:val="hybridMultilevel"/>
    <w:tmpl w:val="6AF6BFD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1" w15:restartNumberingAfterBreak="0">
    <w:nsid w:val="6F7A73E1"/>
    <w:multiLevelType w:val="hybridMultilevel"/>
    <w:tmpl w:val="FF40C82A"/>
    <w:lvl w:ilvl="0" w:tplc="240A0017">
      <w:start w:val="1"/>
      <w:numFmt w:val="lowerLetter"/>
      <w:lvlText w:val="%1)"/>
      <w:lvlJc w:val="left"/>
      <w:pPr>
        <w:ind w:left="720" w:hanging="360"/>
      </w:pPr>
      <w:rPr>
        <w:rFonts w:hint="default"/>
      </w:rPr>
    </w:lvl>
    <w:lvl w:ilvl="1" w:tplc="240A0019">
      <w:start w:val="1"/>
      <w:numFmt w:val="lowerLetter"/>
      <w:lvlText w:val="%2."/>
      <w:lvlJc w:val="left"/>
      <w:pPr>
        <w:ind w:left="1440" w:hanging="360"/>
      </w:pPr>
    </w:lvl>
    <w:lvl w:ilvl="2" w:tplc="A97C89D0">
      <w:start w:val="7"/>
      <w:numFmt w:val="bullet"/>
      <w:lvlText w:val="-"/>
      <w:lvlJc w:val="left"/>
      <w:pPr>
        <w:ind w:left="2340" w:hanging="360"/>
      </w:pPr>
      <w:rPr>
        <w:rFonts w:ascii="Arial" w:eastAsia="SimSun" w:hAnsi="Arial" w:cs="Arial" w:hint="default"/>
      </w:r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2" w15:restartNumberingAfterBreak="0">
    <w:nsid w:val="706778AA"/>
    <w:multiLevelType w:val="hybridMultilevel"/>
    <w:tmpl w:val="34FCF8CA"/>
    <w:lvl w:ilvl="0" w:tplc="83EEE03E">
      <w:start w:val="1"/>
      <w:numFmt w:val="upperRoman"/>
      <w:pStyle w:val="Ttulo"/>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3" w15:restartNumberingAfterBreak="0">
    <w:nsid w:val="752F4E06"/>
    <w:multiLevelType w:val="hybridMultilevel"/>
    <w:tmpl w:val="240E9AE0"/>
    <w:lvl w:ilvl="0" w:tplc="240A000F">
      <w:start w:val="1"/>
      <w:numFmt w:val="decimal"/>
      <w:lvlText w:val="%1."/>
      <w:lvlJc w:val="left"/>
      <w:pPr>
        <w:ind w:left="1287" w:hanging="360"/>
      </w:pPr>
    </w:lvl>
    <w:lvl w:ilvl="1" w:tplc="240A0019">
      <w:start w:val="1"/>
      <w:numFmt w:val="lowerLetter"/>
      <w:lvlText w:val="%2."/>
      <w:lvlJc w:val="left"/>
      <w:pPr>
        <w:ind w:left="2007" w:hanging="360"/>
      </w:pPr>
    </w:lvl>
    <w:lvl w:ilvl="2" w:tplc="240A001B">
      <w:start w:val="1"/>
      <w:numFmt w:val="lowerRoman"/>
      <w:lvlText w:val="%3."/>
      <w:lvlJc w:val="right"/>
      <w:pPr>
        <w:ind w:left="2727" w:hanging="180"/>
      </w:pPr>
    </w:lvl>
    <w:lvl w:ilvl="3" w:tplc="240A000F">
      <w:start w:val="1"/>
      <w:numFmt w:val="decimal"/>
      <w:lvlText w:val="%4."/>
      <w:lvlJc w:val="left"/>
      <w:pPr>
        <w:ind w:left="3447" w:hanging="360"/>
      </w:pPr>
    </w:lvl>
    <w:lvl w:ilvl="4" w:tplc="240A0019">
      <w:start w:val="1"/>
      <w:numFmt w:val="lowerLetter"/>
      <w:lvlText w:val="%5."/>
      <w:lvlJc w:val="left"/>
      <w:pPr>
        <w:ind w:left="4167" w:hanging="360"/>
      </w:pPr>
    </w:lvl>
    <w:lvl w:ilvl="5" w:tplc="240A001B">
      <w:start w:val="1"/>
      <w:numFmt w:val="lowerRoman"/>
      <w:lvlText w:val="%6."/>
      <w:lvlJc w:val="right"/>
      <w:pPr>
        <w:ind w:left="4887" w:hanging="180"/>
      </w:pPr>
    </w:lvl>
    <w:lvl w:ilvl="6" w:tplc="240A000F">
      <w:start w:val="1"/>
      <w:numFmt w:val="decimal"/>
      <w:lvlText w:val="%7."/>
      <w:lvlJc w:val="left"/>
      <w:pPr>
        <w:ind w:left="5607" w:hanging="360"/>
      </w:pPr>
    </w:lvl>
    <w:lvl w:ilvl="7" w:tplc="240A0019">
      <w:start w:val="1"/>
      <w:numFmt w:val="lowerLetter"/>
      <w:lvlText w:val="%8."/>
      <w:lvlJc w:val="left"/>
      <w:pPr>
        <w:ind w:left="6327" w:hanging="360"/>
      </w:pPr>
    </w:lvl>
    <w:lvl w:ilvl="8" w:tplc="240A001B">
      <w:start w:val="1"/>
      <w:numFmt w:val="lowerRoman"/>
      <w:lvlText w:val="%9."/>
      <w:lvlJc w:val="right"/>
      <w:pPr>
        <w:ind w:left="7047" w:hanging="180"/>
      </w:pPr>
    </w:lvl>
  </w:abstractNum>
  <w:abstractNum w:abstractNumId="54" w15:restartNumberingAfterBreak="0">
    <w:nsid w:val="75BB6180"/>
    <w:multiLevelType w:val="hybridMultilevel"/>
    <w:tmpl w:val="90A237AE"/>
    <w:lvl w:ilvl="0" w:tplc="6E60CFC4">
      <w:start w:val="1"/>
      <w:numFmt w:val="bullet"/>
      <w:lvlText w:val=""/>
      <w:lvlJc w:val="left"/>
      <w:pPr>
        <w:ind w:left="720" w:hanging="360"/>
      </w:pPr>
      <w:rPr>
        <w:rFonts w:ascii="Symbol" w:hAnsi="Symbol" w:hint="default"/>
        <w:color w:val="auto"/>
        <w:sz w:val="26"/>
        <w:szCs w:val="26"/>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5" w15:restartNumberingAfterBreak="0">
    <w:nsid w:val="79A33C19"/>
    <w:multiLevelType w:val="hybridMultilevel"/>
    <w:tmpl w:val="B7221244"/>
    <w:lvl w:ilvl="0" w:tplc="240A0001">
      <w:start w:val="1"/>
      <w:numFmt w:val="bullet"/>
      <w:lvlText w:val=""/>
      <w:lvlJc w:val="left"/>
      <w:pPr>
        <w:ind w:left="1821" w:hanging="360"/>
      </w:pPr>
      <w:rPr>
        <w:rFonts w:ascii="Symbol" w:hAnsi="Symbol" w:hint="default"/>
        <w:sz w:val="24"/>
      </w:rPr>
    </w:lvl>
    <w:lvl w:ilvl="1" w:tplc="240A0003">
      <w:start w:val="1"/>
      <w:numFmt w:val="bullet"/>
      <w:lvlText w:val="o"/>
      <w:lvlJc w:val="left"/>
      <w:pPr>
        <w:ind w:left="2475" w:hanging="360"/>
      </w:pPr>
      <w:rPr>
        <w:rFonts w:ascii="Courier New" w:hAnsi="Courier New" w:cs="Courier New" w:hint="default"/>
      </w:rPr>
    </w:lvl>
    <w:lvl w:ilvl="2" w:tplc="240A0005">
      <w:start w:val="1"/>
      <w:numFmt w:val="bullet"/>
      <w:lvlText w:val=""/>
      <w:lvlJc w:val="left"/>
      <w:pPr>
        <w:ind w:left="3195" w:hanging="360"/>
      </w:pPr>
      <w:rPr>
        <w:rFonts w:ascii="Wingdings" w:hAnsi="Wingdings" w:hint="default"/>
      </w:rPr>
    </w:lvl>
    <w:lvl w:ilvl="3" w:tplc="240A0001">
      <w:start w:val="1"/>
      <w:numFmt w:val="bullet"/>
      <w:lvlText w:val=""/>
      <w:lvlJc w:val="left"/>
      <w:pPr>
        <w:ind w:left="3915" w:hanging="360"/>
      </w:pPr>
      <w:rPr>
        <w:rFonts w:ascii="Symbol" w:hAnsi="Symbol" w:hint="default"/>
      </w:rPr>
    </w:lvl>
    <w:lvl w:ilvl="4" w:tplc="240A0003">
      <w:start w:val="1"/>
      <w:numFmt w:val="bullet"/>
      <w:lvlText w:val="o"/>
      <w:lvlJc w:val="left"/>
      <w:pPr>
        <w:ind w:left="4635" w:hanging="360"/>
      </w:pPr>
      <w:rPr>
        <w:rFonts w:ascii="Courier New" w:hAnsi="Courier New" w:cs="Courier New" w:hint="default"/>
      </w:rPr>
    </w:lvl>
    <w:lvl w:ilvl="5" w:tplc="240A0005">
      <w:start w:val="1"/>
      <w:numFmt w:val="bullet"/>
      <w:lvlText w:val=""/>
      <w:lvlJc w:val="left"/>
      <w:pPr>
        <w:ind w:left="5355" w:hanging="360"/>
      </w:pPr>
      <w:rPr>
        <w:rFonts w:ascii="Wingdings" w:hAnsi="Wingdings" w:hint="default"/>
      </w:rPr>
    </w:lvl>
    <w:lvl w:ilvl="6" w:tplc="240A0001">
      <w:start w:val="1"/>
      <w:numFmt w:val="bullet"/>
      <w:lvlText w:val=""/>
      <w:lvlJc w:val="left"/>
      <w:pPr>
        <w:ind w:left="6075" w:hanging="360"/>
      </w:pPr>
      <w:rPr>
        <w:rFonts w:ascii="Symbol" w:hAnsi="Symbol" w:hint="default"/>
      </w:rPr>
    </w:lvl>
    <w:lvl w:ilvl="7" w:tplc="240A0003">
      <w:start w:val="1"/>
      <w:numFmt w:val="bullet"/>
      <w:lvlText w:val="o"/>
      <w:lvlJc w:val="left"/>
      <w:pPr>
        <w:ind w:left="6795" w:hanging="360"/>
      </w:pPr>
      <w:rPr>
        <w:rFonts w:ascii="Courier New" w:hAnsi="Courier New" w:cs="Courier New" w:hint="default"/>
      </w:rPr>
    </w:lvl>
    <w:lvl w:ilvl="8" w:tplc="240A0005">
      <w:start w:val="1"/>
      <w:numFmt w:val="bullet"/>
      <w:lvlText w:val=""/>
      <w:lvlJc w:val="left"/>
      <w:pPr>
        <w:ind w:left="7515" w:hanging="360"/>
      </w:pPr>
      <w:rPr>
        <w:rFonts w:ascii="Wingdings" w:hAnsi="Wingdings" w:hint="default"/>
      </w:rPr>
    </w:lvl>
  </w:abstractNum>
  <w:abstractNum w:abstractNumId="56" w15:restartNumberingAfterBreak="0">
    <w:nsid w:val="7F5704EC"/>
    <w:multiLevelType w:val="hybridMultilevel"/>
    <w:tmpl w:val="AA8C646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56"/>
  </w:num>
  <w:num w:numId="2">
    <w:abstractNumId w:val="34"/>
  </w:num>
  <w:num w:numId="3">
    <w:abstractNumId w:val="14"/>
  </w:num>
  <w:num w:numId="4">
    <w:abstractNumId w:val="41"/>
  </w:num>
  <w:num w:numId="5">
    <w:abstractNumId w:val="17"/>
  </w:num>
  <w:num w:numId="6">
    <w:abstractNumId w:val="28"/>
  </w:num>
  <w:num w:numId="7">
    <w:abstractNumId w:val="29"/>
  </w:num>
  <w:num w:numId="8">
    <w:abstractNumId w:val="30"/>
  </w:num>
  <w:num w:numId="9">
    <w:abstractNumId w:val="16"/>
  </w:num>
  <w:num w:numId="10">
    <w:abstractNumId w:val="49"/>
  </w:num>
  <w:num w:numId="11">
    <w:abstractNumId w:val="4"/>
  </w:num>
  <w:num w:numId="12">
    <w:abstractNumId w:val="10"/>
  </w:num>
  <w:num w:numId="13">
    <w:abstractNumId w:val="11"/>
  </w:num>
  <w:num w:numId="14">
    <w:abstractNumId w:val="20"/>
  </w:num>
  <w:num w:numId="15">
    <w:abstractNumId w:val="45"/>
  </w:num>
  <w:num w:numId="16">
    <w:abstractNumId w:val="26"/>
  </w:num>
  <w:num w:numId="17">
    <w:abstractNumId w:val="48"/>
  </w:num>
  <w:num w:numId="18">
    <w:abstractNumId w:val="22"/>
  </w:num>
  <w:num w:numId="19">
    <w:abstractNumId w:val="37"/>
  </w:num>
  <w:num w:numId="20">
    <w:abstractNumId w:val="21"/>
  </w:num>
  <w:num w:numId="21">
    <w:abstractNumId w:val="15"/>
  </w:num>
  <w:num w:numId="22">
    <w:abstractNumId w:val="5"/>
  </w:num>
  <w:num w:numId="23">
    <w:abstractNumId w:val="52"/>
  </w:num>
  <w:num w:numId="24">
    <w:abstractNumId w:val="31"/>
  </w:num>
  <w:num w:numId="25">
    <w:abstractNumId w:val="19"/>
    <w:lvlOverride w:ilvl="0">
      <w:startOverride w:val="4"/>
    </w:lvlOverride>
    <w:lvlOverride w:ilvl="1">
      <w:startOverride w:val="1"/>
    </w:lvlOverride>
  </w:num>
  <w:num w:numId="26">
    <w:abstractNumId w:val="6"/>
  </w:num>
  <w:num w:numId="27">
    <w:abstractNumId w:val="32"/>
  </w:num>
  <w:num w:numId="28">
    <w:abstractNumId w:val="42"/>
  </w:num>
  <w:num w:numId="29">
    <w:abstractNumId w:val="50"/>
  </w:num>
  <w:num w:numId="30">
    <w:abstractNumId w:val="12"/>
  </w:num>
  <w:num w:numId="31">
    <w:abstractNumId w:val="24"/>
  </w:num>
  <w:num w:numId="32">
    <w:abstractNumId w:val="54"/>
  </w:num>
  <w:num w:numId="33">
    <w:abstractNumId w:val="39"/>
  </w:num>
  <w:num w:numId="34">
    <w:abstractNumId w:val="35"/>
  </w:num>
  <w:num w:numId="35">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7"/>
  </w:num>
  <w:num w:numId="37">
    <w:abstractNumId w:val="33"/>
  </w:num>
  <w:num w:numId="38">
    <w:abstractNumId w:val="53"/>
  </w:num>
  <w:num w:numId="39">
    <w:abstractNumId w:val="7"/>
  </w:num>
  <w:num w:numId="40">
    <w:abstractNumId w:val="1"/>
  </w:num>
  <w:num w:numId="41">
    <w:abstractNumId w:val="0"/>
  </w:num>
  <w:num w:numId="42">
    <w:abstractNumId w:val="23"/>
  </w:num>
  <w:num w:numId="43">
    <w:abstractNumId w:val="3"/>
  </w:num>
  <w:num w:numId="44">
    <w:abstractNumId w:val="13"/>
  </w:num>
  <w:num w:numId="45">
    <w:abstractNumId w:val="46"/>
  </w:num>
  <w:num w:numId="46">
    <w:abstractNumId w:val="18"/>
  </w:num>
  <w:num w:numId="47">
    <w:abstractNumId w:val="51"/>
  </w:num>
  <w:num w:numId="48">
    <w:abstractNumId w:val="9"/>
  </w:num>
  <w:num w:numId="49">
    <w:abstractNumId w:val="43"/>
  </w:num>
  <w:num w:numId="50">
    <w:abstractNumId w:val="55"/>
  </w:num>
  <w:num w:numId="51">
    <w:abstractNumId w:val="36"/>
  </w:num>
  <w:num w:numId="52">
    <w:abstractNumId w:val="2"/>
  </w:num>
  <w:num w:numId="53">
    <w:abstractNumId w:val="40"/>
  </w:num>
  <w:num w:numId="54">
    <w:abstractNumId w:val="47"/>
  </w:num>
  <w:num w:numId="55">
    <w:abstractNumId w:val="25"/>
  </w:num>
  <w:num w:numId="56">
    <w:abstractNumId w:val="8"/>
  </w:num>
  <w:num w:numId="57">
    <w:abstractNumId w:val="38"/>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0635"/>
    <w:rsid w:val="00001F39"/>
    <w:rsid w:val="000061E8"/>
    <w:rsid w:val="00066636"/>
    <w:rsid w:val="00072018"/>
    <w:rsid w:val="00082799"/>
    <w:rsid w:val="00093160"/>
    <w:rsid w:val="000B597A"/>
    <w:rsid w:val="000C7C46"/>
    <w:rsid w:val="0010182A"/>
    <w:rsid w:val="00101946"/>
    <w:rsid w:val="00101AB3"/>
    <w:rsid w:val="00110CF4"/>
    <w:rsid w:val="0011592F"/>
    <w:rsid w:val="001333A5"/>
    <w:rsid w:val="001402BD"/>
    <w:rsid w:val="00170F13"/>
    <w:rsid w:val="00172DF8"/>
    <w:rsid w:val="00184C9F"/>
    <w:rsid w:val="00193E2E"/>
    <w:rsid w:val="00194618"/>
    <w:rsid w:val="0019641F"/>
    <w:rsid w:val="001A5C49"/>
    <w:rsid w:val="001A7B1A"/>
    <w:rsid w:val="001B522E"/>
    <w:rsid w:val="001C2615"/>
    <w:rsid w:val="001D3837"/>
    <w:rsid w:val="001F0A3A"/>
    <w:rsid w:val="001F2135"/>
    <w:rsid w:val="00202903"/>
    <w:rsid w:val="00244EF9"/>
    <w:rsid w:val="00245C51"/>
    <w:rsid w:val="002876A1"/>
    <w:rsid w:val="00290226"/>
    <w:rsid w:val="002934A7"/>
    <w:rsid w:val="002A03B0"/>
    <w:rsid w:val="002B2F2E"/>
    <w:rsid w:val="002B4C96"/>
    <w:rsid w:val="002C205D"/>
    <w:rsid w:val="002C505A"/>
    <w:rsid w:val="002D104F"/>
    <w:rsid w:val="002D2502"/>
    <w:rsid w:val="002E1DFD"/>
    <w:rsid w:val="003202FB"/>
    <w:rsid w:val="00337B1D"/>
    <w:rsid w:val="00342647"/>
    <w:rsid w:val="003440B6"/>
    <w:rsid w:val="003516F3"/>
    <w:rsid w:val="00370591"/>
    <w:rsid w:val="003A3A63"/>
    <w:rsid w:val="003B01CD"/>
    <w:rsid w:val="003D08ED"/>
    <w:rsid w:val="003D7026"/>
    <w:rsid w:val="004001AB"/>
    <w:rsid w:val="0041344F"/>
    <w:rsid w:val="00425579"/>
    <w:rsid w:val="004365AA"/>
    <w:rsid w:val="00436C46"/>
    <w:rsid w:val="00453B9A"/>
    <w:rsid w:val="004663CF"/>
    <w:rsid w:val="0047565B"/>
    <w:rsid w:val="00480635"/>
    <w:rsid w:val="00485071"/>
    <w:rsid w:val="004876DC"/>
    <w:rsid w:val="00492D12"/>
    <w:rsid w:val="004939F1"/>
    <w:rsid w:val="004B40A4"/>
    <w:rsid w:val="004C32DC"/>
    <w:rsid w:val="004C5B8E"/>
    <w:rsid w:val="004D5C2C"/>
    <w:rsid w:val="004E1BEC"/>
    <w:rsid w:val="004F32DB"/>
    <w:rsid w:val="00500CAF"/>
    <w:rsid w:val="005019AD"/>
    <w:rsid w:val="0051573F"/>
    <w:rsid w:val="00516B96"/>
    <w:rsid w:val="00520108"/>
    <w:rsid w:val="005208E2"/>
    <w:rsid w:val="0053582F"/>
    <w:rsid w:val="00551731"/>
    <w:rsid w:val="0055205B"/>
    <w:rsid w:val="00555563"/>
    <w:rsid w:val="005627E2"/>
    <w:rsid w:val="00572E8D"/>
    <w:rsid w:val="005908B8"/>
    <w:rsid w:val="00595F27"/>
    <w:rsid w:val="00596172"/>
    <w:rsid w:val="005B71EE"/>
    <w:rsid w:val="005E3DEE"/>
    <w:rsid w:val="005E6F45"/>
    <w:rsid w:val="0060218B"/>
    <w:rsid w:val="0060454E"/>
    <w:rsid w:val="00607048"/>
    <w:rsid w:val="00617111"/>
    <w:rsid w:val="0062711D"/>
    <w:rsid w:val="006376FD"/>
    <w:rsid w:val="0064251C"/>
    <w:rsid w:val="00651D94"/>
    <w:rsid w:val="00656F35"/>
    <w:rsid w:val="00657D61"/>
    <w:rsid w:val="006600F3"/>
    <w:rsid w:val="00690B3C"/>
    <w:rsid w:val="00695450"/>
    <w:rsid w:val="006A7A45"/>
    <w:rsid w:val="006B06C6"/>
    <w:rsid w:val="006B1822"/>
    <w:rsid w:val="006D5E5B"/>
    <w:rsid w:val="006D6219"/>
    <w:rsid w:val="006F090F"/>
    <w:rsid w:val="00710E10"/>
    <w:rsid w:val="00712F4A"/>
    <w:rsid w:val="007135CB"/>
    <w:rsid w:val="00714162"/>
    <w:rsid w:val="00742E04"/>
    <w:rsid w:val="00747194"/>
    <w:rsid w:val="00751CBA"/>
    <w:rsid w:val="00757DB5"/>
    <w:rsid w:val="00770534"/>
    <w:rsid w:val="00774E50"/>
    <w:rsid w:val="00786649"/>
    <w:rsid w:val="007B16B7"/>
    <w:rsid w:val="007C1B71"/>
    <w:rsid w:val="007D4345"/>
    <w:rsid w:val="007D6A51"/>
    <w:rsid w:val="007E08C5"/>
    <w:rsid w:val="007F07B1"/>
    <w:rsid w:val="00803CD3"/>
    <w:rsid w:val="00807895"/>
    <w:rsid w:val="008266C0"/>
    <w:rsid w:val="008340E7"/>
    <w:rsid w:val="0083470B"/>
    <w:rsid w:val="0084149C"/>
    <w:rsid w:val="0084513B"/>
    <w:rsid w:val="00871909"/>
    <w:rsid w:val="00871F8F"/>
    <w:rsid w:val="00872137"/>
    <w:rsid w:val="00881FD0"/>
    <w:rsid w:val="008B63B7"/>
    <w:rsid w:val="008C48CA"/>
    <w:rsid w:val="008C70CC"/>
    <w:rsid w:val="008F1065"/>
    <w:rsid w:val="008F4174"/>
    <w:rsid w:val="009041C4"/>
    <w:rsid w:val="00912C1D"/>
    <w:rsid w:val="009163C4"/>
    <w:rsid w:val="009309AC"/>
    <w:rsid w:val="00955527"/>
    <w:rsid w:val="00984857"/>
    <w:rsid w:val="0098614D"/>
    <w:rsid w:val="00987B1A"/>
    <w:rsid w:val="0099053F"/>
    <w:rsid w:val="00996687"/>
    <w:rsid w:val="009A336E"/>
    <w:rsid w:val="009B7992"/>
    <w:rsid w:val="009D177D"/>
    <w:rsid w:val="009D5F69"/>
    <w:rsid w:val="009E3FD6"/>
    <w:rsid w:val="009F272A"/>
    <w:rsid w:val="00A0720B"/>
    <w:rsid w:val="00A07803"/>
    <w:rsid w:val="00A101A0"/>
    <w:rsid w:val="00A20D15"/>
    <w:rsid w:val="00A44A6B"/>
    <w:rsid w:val="00A46657"/>
    <w:rsid w:val="00A46760"/>
    <w:rsid w:val="00A47F75"/>
    <w:rsid w:val="00A524C6"/>
    <w:rsid w:val="00A530C1"/>
    <w:rsid w:val="00A6180B"/>
    <w:rsid w:val="00A72F94"/>
    <w:rsid w:val="00A73E59"/>
    <w:rsid w:val="00A7458F"/>
    <w:rsid w:val="00A85ED4"/>
    <w:rsid w:val="00A85FE3"/>
    <w:rsid w:val="00A8609C"/>
    <w:rsid w:val="00A94DE2"/>
    <w:rsid w:val="00AA333D"/>
    <w:rsid w:val="00AB0983"/>
    <w:rsid w:val="00AC1430"/>
    <w:rsid w:val="00AC30EC"/>
    <w:rsid w:val="00AC355F"/>
    <w:rsid w:val="00AD5DB8"/>
    <w:rsid w:val="00AE0EB1"/>
    <w:rsid w:val="00AE5095"/>
    <w:rsid w:val="00AE707F"/>
    <w:rsid w:val="00AF20B7"/>
    <w:rsid w:val="00AF75AF"/>
    <w:rsid w:val="00B4007F"/>
    <w:rsid w:val="00B43907"/>
    <w:rsid w:val="00B649C1"/>
    <w:rsid w:val="00B85448"/>
    <w:rsid w:val="00BD0E63"/>
    <w:rsid w:val="00BE3ECC"/>
    <w:rsid w:val="00BE56D6"/>
    <w:rsid w:val="00C00F56"/>
    <w:rsid w:val="00C00F5A"/>
    <w:rsid w:val="00C52F8A"/>
    <w:rsid w:val="00C67A64"/>
    <w:rsid w:val="00C720BD"/>
    <w:rsid w:val="00C7589D"/>
    <w:rsid w:val="00C76F26"/>
    <w:rsid w:val="00C93DC7"/>
    <w:rsid w:val="00CB1E1C"/>
    <w:rsid w:val="00CC5248"/>
    <w:rsid w:val="00CC680B"/>
    <w:rsid w:val="00CD0C2C"/>
    <w:rsid w:val="00CE4B27"/>
    <w:rsid w:val="00CE6939"/>
    <w:rsid w:val="00D006B9"/>
    <w:rsid w:val="00D0183B"/>
    <w:rsid w:val="00D32760"/>
    <w:rsid w:val="00D35238"/>
    <w:rsid w:val="00D4191D"/>
    <w:rsid w:val="00D56EBD"/>
    <w:rsid w:val="00D724FC"/>
    <w:rsid w:val="00D74D9B"/>
    <w:rsid w:val="00DB3A6B"/>
    <w:rsid w:val="00DB3E2A"/>
    <w:rsid w:val="00DC2174"/>
    <w:rsid w:val="00DD6DA8"/>
    <w:rsid w:val="00E11CE0"/>
    <w:rsid w:val="00E13B8C"/>
    <w:rsid w:val="00E13CED"/>
    <w:rsid w:val="00E179D8"/>
    <w:rsid w:val="00E42389"/>
    <w:rsid w:val="00E423EA"/>
    <w:rsid w:val="00E521F8"/>
    <w:rsid w:val="00E76D30"/>
    <w:rsid w:val="00E803A1"/>
    <w:rsid w:val="00E91986"/>
    <w:rsid w:val="00E957C1"/>
    <w:rsid w:val="00EA580B"/>
    <w:rsid w:val="00EB1141"/>
    <w:rsid w:val="00EB2667"/>
    <w:rsid w:val="00EE00F3"/>
    <w:rsid w:val="00EF05C5"/>
    <w:rsid w:val="00F15586"/>
    <w:rsid w:val="00F168ED"/>
    <w:rsid w:val="00F35F4D"/>
    <w:rsid w:val="00F6002B"/>
    <w:rsid w:val="00F67BCE"/>
    <w:rsid w:val="00F87749"/>
    <w:rsid w:val="00FB61B1"/>
    <w:rsid w:val="00FC0367"/>
    <w:rsid w:val="00FC323E"/>
    <w:rsid w:val="00FD14B5"/>
    <w:rsid w:val="00FD5944"/>
    <w:rsid w:val="00FF0D20"/>
    <w:rsid w:val="00FF1E27"/>
    <w:rsid w:val="00FF466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7B3D71"/>
  <w15:chartTrackingRefBased/>
  <w15:docId w15:val="{196178E7-44D5-4D9C-8B1A-D298B97EA4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iPriority="0" w:unhideWhenUsed="1"/>
    <w:lsdException w:name="Table Web 2" w:semiHidden="1" w:uiPriority="0" w:unhideWhenUsed="1"/>
    <w:lsdException w:name="Table Web 3" w:semiHidden="1" w:unhideWhenUsed="1"/>
    <w:lsdException w:name="Balloon Text" w:semiHidden="1"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aliases w:val="Título 1-BCN,Edgar 1,1 ghost,g,1. Título 1,Título 1A,massive,Título 11,Titre principal (1)"/>
    <w:basedOn w:val="Normal"/>
    <w:next w:val="Normal"/>
    <w:link w:val="Ttulo1Car"/>
    <w:qFormat/>
    <w:rsid w:val="00AC30EC"/>
    <w:pPr>
      <w:keepNext/>
      <w:numPr>
        <w:numId w:val="24"/>
      </w:numPr>
      <w:tabs>
        <w:tab w:val="left" w:pos="284"/>
      </w:tabs>
      <w:autoSpaceDE w:val="0"/>
      <w:autoSpaceDN w:val="0"/>
      <w:adjustRightInd w:val="0"/>
      <w:spacing w:after="0" w:line="360" w:lineRule="auto"/>
      <w:contextualSpacing/>
      <w:outlineLvl w:val="0"/>
    </w:pPr>
    <w:rPr>
      <w:rFonts w:ascii="Arial" w:hAnsi="Arial" w:cs="Arial"/>
      <w:b/>
      <w:bCs/>
      <w:noProof/>
      <w:sz w:val="28"/>
      <w:szCs w:val="24"/>
    </w:rPr>
  </w:style>
  <w:style w:type="paragraph" w:styleId="Ttulo2">
    <w:name w:val="heading 2"/>
    <w:aliases w:val="Título 2 DTS,Edgar 2,Título 2 -BCN,título 2,2 headline,h,morcheba Car,morcheba,titulo 11"/>
    <w:basedOn w:val="Normal"/>
    <w:next w:val="Normal"/>
    <w:link w:val="Ttulo2Car"/>
    <w:unhideWhenUsed/>
    <w:qFormat/>
    <w:rsid w:val="00D56EBD"/>
    <w:pPr>
      <w:numPr>
        <w:numId w:val="3"/>
      </w:numPr>
      <w:spacing w:after="0" w:line="360" w:lineRule="auto"/>
      <w:outlineLvl w:val="1"/>
    </w:pPr>
    <w:rPr>
      <w:rFonts w:ascii="Arial" w:hAnsi="Arial" w:cs="Arial"/>
      <w:b/>
      <w:sz w:val="28"/>
    </w:rPr>
  </w:style>
  <w:style w:type="paragraph" w:styleId="Ttulo3">
    <w:name w:val="heading 3"/>
    <w:basedOn w:val="Normal"/>
    <w:next w:val="Normal"/>
    <w:link w:val="Ttulo3Car"/>
    <w:unhideWhenUsed/>
    <w:qFormat/>
    <w:rsid w:val="00D56EB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nhideWhenUsed/>
    <w:qFormat/>
    <w:rsid w:val="0062711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aliases w:val="Título 5-BCN"/>
    <w:basedOn w:val="Normal"/>
    <w:next w:val="Normal"/>
    <w:link w:val="Ttulo5Car"/>
    <w:qFormat/>
    <w:rsid w:val="00AC30EC"/>
    <w:pPr>
      <w:tabs>
        <w:tab w:val="num" w:pos="1008"/>
      </w:tabs>
      <w:spacing w:before="240" w:after="60" w:line="240" w:lineRule="auto"/>
      <w:ind w:left="1008" w:hanging="1008"/>
      <w:jc w:val="both"/>
      <w:outlineLvl w:val="4"/>
    </w:pPr>
    <w:rPr>
      <w:rFonts w:ascii="Arial" w:eastAsia="Times New Roman" w:hAnsi="Arial" w:cs="Times New Roman"/>
      <w:szCs w:val="20"/>
      <w:lang w:val="es-ES" w:eastAsia="es-ES"/>
    </w:rPr>
  </w:style>
  <w:style w:type="paragraph" w:styleId="Ttulo6">
    <w:name w:val="heading 6"/>
    <w:aliases w:val="Título 6-BCN"/>
    <w:basedOn w:val="Normal"/>
    <w:next w:val="Normal"/>
    <w:link w:val="Ttulo6Car"/>
    <w:qFormat/>
    <w:rsid w:val="00AC30EC"/>
    <w:pPr>
      <w:tabs>
        <w:tab w:val="num" w:pos="1152"/>
      </w:tabs>
      <w:spacing w:before="240" w:after="60" w:line="240" w:lineRule="auto"/>
      <w:ind w:left="1152" w:hanging="1152"/>
      <w:jc w:val="both"/>
      <w:outlineLvl w:val="5"/>
    </w:pPr>
    <w:rPr>
      <w:rFonts w:ascii="Arial" w:eastAsia="Times New Roman" w:hAnsi="Arial" w:cs="Times New Roman"/>
      <w:i/>
      <w:szCs w:val="20"/>
      <w:lang w:val="es-ES" w:eastAsia="es-ES"/>
    </w:rPr>
  </w:style>
  <w:style w:type="paragraph" w:styleId="Ttulo7">
    <w:name w:val="heading 7"/>
    <w:basedOn w:val="Normal"/>
    <w:next w:val="Normal"/>
    <w:link w:val="Ttulo7Car"/>
    <w:uiPriority w:val="99"/>
    <w:qFormat/>
    <w:rsid w:val="00AC30EC"/>
    <w:pPr>
      <w:tabs>
        <w:tab w:val="num" w:pos="1296"/>
      </w:tabs>
      <w:spacing w:before="240" w:after="60" w:line="240" w:lineRule="auto"/>
      <w:ind w:left="1296" w:hanging="1296"/>
      <w:jc w:val="both"/>
      <w:outlineLvl w:val="6"/>
    </w:pPr>
    <w:rPr>
      <w:rFonts w:ascii="Arial" w:eastAsia="Times New Roman" w:hAnsi="Arial" w:cs="Times New Roman"/>
      <w:szCs w:val="20"/>
      <w:lang w:val="es-ES" w:eastAsia="es-ES"/>
    </w:rPr>
  </w:style>
  <w:style w:type="paragraph" w:styleId="Ttulo8">
    <w:name w:val="heading 8"/>
    <w:basedOn w:val="Normal"/>
    <w:next w:val="Normal"/>
    <w:link w:val="Ttulo8Car"/>
    <w:uiPriority w:val="99"/>
    <w:qFormat/>
    <w:rsid w:val="00AC30EC"/>
    <w:pPr>
      <w:tabs>
        <w:tab w:val="num" w:pos="1440"/>
      </w:tabs>
      <w:spacing w:before="240" w:after="60" w:line="240" w:lineRule="auto"/>
      <w:ind w:left="1440" w:hanging="1440"/>
      <w:jc w:val="both"/>
      <w:outlineLvl w:val="7"/>
    </w:pPr>
    <w:rPr>
      <w:rFonts w:ascii="Arial" w:eastAsia="Times New Roman" w:hAnsi="Arial" w:cs="Times New Roman"/>
      <w:i/>
      <w:szCs w:val="20"/>
      <w:lang w:val="es-ES" w:eastAsia="es-ES"/>
    </w:rPr>
  </w:style>
  <w:style w:type="paragraph" w:styleId="Ttulo9">
    <w:name w:val="heading 9"/>
    <w:basedOn w:val="Normal"/>
    <w:next w:val="Normal"/>
    <w:link w:val="Ttulo9Car"/>
    <w:uiPriority w:val="99"/>
    <w:qFormat/>
    <w:rsid w:val="00AC30EC"/>
    <w:pPr>
      <w:tabs>
        <w:tab w:val="num" w:pos="1584"/>
      </w:tabs>
      <w:spacing w:before="240" w:after="60" w:line="240" w:lineRule="auto"/>
      <w:ind w:left="1584" w:hanging="1584"/>
      <w:jc w:val="both"/>
      <w:outlineLvl w:val="8"/>
    </w:pPr>
    <w:rPr>
      <w:rFonts w:ascii="Arial" w:eastAsia="Times New Roman" w:hAnsi="Arial" w:cs="Times New Roman"/>
      <w:b/>
      <w:i/>
      <w:sz w:val="18"/>
      <w:szCs w:val="20"/>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Bolita,Párrafo de lista3,BOLA,Párrafo de lista21,titulo 5,BOLADEF,Ha,List Paragraph_0,Párrafo de lista4,Párrafo de lista5,items,LISTA,Párrafo de lista1,Párrafo de lista2,Resume Title,Bullet List,FooterText,numbered,List Paragraph1,lp1"/>
    <w:basedOn w:val="Normal"/>
    <w:link w:val="PrrafodelistaCar"/>
    <w:uiPriority w:val="99"/>
    <w:qFormat/>
    <w:rsid w:val="007D4345"/>
    <w:pPr>
      <w:ind w:left="720"/>
      <w:contextualSpacing/>
    </w:pPr>
  </w:style>
  <w:style w:type="paragraph" w:styleId="Descripcin">
    <w:name w:val="caption"/>
    <w:aliases w:val="Car1,T,Tablas,Caption Char,Caption Char Car,Epígrafe Car Car Car Car Car Car Car Car Car Car Car,Char Car Car Car,Epígrafe1, Char Car Car Car,Figs y tabs,Fotos,Fotografía,Plano,FOTOGRAFIA,Car Car Car Car Car,A,D,Tabla,Descripción1"/>
    <w:basedOn w:val="Normal"/>
    <w:next w:val="Normal"/>
    <w:link w:val="DescripcinCar"/>
    <w:uiPriority w:val="35"/>
    <w:unhideWhenUsed/>
    <w:qFormat/>
    <w:rsid w:val="00607048"/>
    <w:pPr>
      <w:spacing w:after="200" w:line="240" w:lineRule="auto"/>
      <w:jc w:val="both"/>
    </w:pPr>
    <w:rPr>
      <w:rFonts w:ascii="Century Gothic" w:eastAsia="Calibri" w:hAnsi="Century Gothic" w:cs="Times New Roman"/>
      <w:iCs/>
      <w:color w:val="44546A" w:themeColor="text2"/>
      <w:sz w:val="18"/>
      <w:szCs w:val="18"/>
    </w:rPr>
  </w:style>
  <w:style w:type="character" w:customStyle="1" w:styleId="PrrafodelistaCar">
    <w:name w:val="Párrafo de lista Car"/>
    <w:aliases w:val="Bolita Car,Párrafo de lista3 Car,BOLA Car,Párrafo de lista21 Car,titulo 5 Car,BOLADEF Car,Ha Car,List Paragraph_0 Car,Párrafo de lista4 Car,Párrafo de lista5 Car,items Car,LISTA Car,Párrafo de lista1 Car,Párrafo de lista2 Car"/>
    <w:link w:val="Prrafodelista"/>
    <w:uiPriority w:val="34"/>
    <w:qFormat/>
    <w:locked/>
    <w:rsid w:val="00607048"/>
  </w:style>
  <w:style w:type="table" w:customStyle="1" w:styleId="Tabladecuadrcula4-nfasis11">
    <w:name w:val="Tabla de cuadrícula 4 - Énfasis 11"/>
    <w:basedOn w:val="Tablanormal"/>
    <w:uiPriority w:val="49"/>
    <w:rsid w:val="00607048"/>
    <w:pPr>
      <w:spacing w:after="0" w:line="240" w:lineRule="auto"/>
    </w:pPr>
    <w:rPr>
      <w:rFonts w:eastAsiaTheme="minorEastAsia"/>
      <w:sz w:val="24"/>
      <w:szCs w:val="24"/>
      <w:lang w:val="es-ES_tradnl" w:eastAsia="es-ES"/>
    </w:rPr>
    <w:tblPr>
      <w:tblStyleRowBandSize w:val="1"/>
      <w:tblStyleColBandSize w:val="1"/>
      <w:tblInd w:w="0" w:type="nil"/>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Ttulo2Car">
    <w:name w:val="Título 2 Car"/>
    <w:aliases w:val="Título 2 DTS Car,Edgar 2 Car,Título 2 -BCN Car,título 2 Car,2 headline Car,h Car,morcheba Car Car,morcheba Car1,titulo 11 Car"/>
    <w:basedOn w:val="Fuentedeprrafopredeter"/>
    <w:link w:val="Ttulo2"/>
    <w:rsid w:val="00D56EBD"/>
    <w:rPr>
      <w:rFonts w:ascii="Arial" w:hAnsi="Arial" w:cs="Arial"/>
      <w:b/>
      <w:sz w:val="28"/>
    </w:rPr>
  </w:style>
  <w:style w:type="character" w:customStyle="1" w:styleId="Ttulo3Car">
    <w:name w:val="Título 3 Car"/>
    <w:basedOn w:val="Fuentedeprrafopredeter"/>
    <w:link w:val="Ttulo3"/>
    <w:rsid w:val="00D56EBD"/>
    <w:rPr>
      <w:rFonts w:asciiTheme="majorHAnsi" w:eastAsiaTheme="majorEastAsia" w:hAnsiTheme="majorHAnsi" w:cstheme="majorBidi"/>
      <w:color w:val="1F4D78" w:themeColor="accent1" w:themeShade="7F"/>
      <w:sz w:val="24"/>
      <w:szCs w:val="24"/>
    </w:rPr>
  </w:style>
  <w:style w:type="character" w:customStyle="1" w:styleId="DescripcinCar">
    <w:name w:val="Descripción Car"/>
    <w:aliases w:val="Car1 Car,T Car,Tablas Car,Caption Char Car1,Caption Char Car Car,Epígrafe Car Car Car Car Car Car Car Car Car Car Car Car,Char Car Car Car Car,Epígrafe1 Car, Char Car Car Car Car,Figs y tabs Car,Fotos Car,Fotografía Car,Plano Car,A Car"/>
    <w:link w:val="Descripcin"/>
    <w:qFormat/>
    <w:locked/>
    <w:rsid w:val="003202FB"/>
    <w:rPr>
      <w:rFonts w:ascii="Century Gothic" w:eastAsia="Calibri" w:hAnsi="Century Gothic" w:cs="Times New Roman"/>
      <w:iCs/>
      <w:color w:val="44546A" w:themeColor="text2"/>
      <w:sz w:val="18"/>
      <w:szCs w:val="18"/>
    </w:rPr>
  </w:style>
  <w:style w:type="character" w:customStyle="1" w:styleId="Ttulo4Car">
    <w:name w:val="Título 4 Car"/>
    <w:basedOn w:val="Fuentedeprrafopredeter"/>
    <w:link w:val="Ttulo4"/>
    <w:rsid w:val="0062711D"/>
    <w:rPr>
      <w:rFonts w:asciiTheme="majorHAnsi" w:eastAsiaTheme="majorEastAsia" w:hAnsiTheme="majorHAnsi" w:cstheme="majorBidi"/>
      <w:i/>
      <w:iCs/>
      <w:color w:val="2E74B5" w:themeColor="accent1" w:themeShade="BF"/>
    </w:rPr>
  </w:style>
  <w:style w:type="character" w:styleId="Hipervnculo">
    <w:name w:val="Hyperlink"/>
    <w:basedOn w:val="Fuentedeprrafopredeter"/>
    <w:uiPriority w:val="99"/>
    <w:unhideWhenUsed/>
    <w:rsid w:val="004001AB"/>
    <w:rPr>
      <w:color w:val="0563C1" w:themeColor="hyperlink"/>
      <w:u w:val="single"/>
    </w:rPr>
  </w:style>
  <w:style w:type="paragraph" w:styleId="Textonotapie">
    <w:name w:val="footnote text"/>
    <w:aliases w:val=" Car,Car,ft,Texto nota pie2,ft1,ft Car Car Car1,Texto nota pie Car2,ft Car Car2,ft Car,ft Car Car,ft Car Car Car,Texto nota pie_mujer,Texto nota pie Car Car,FA Fu,Footnote Text Char Char,Footnote Text1 Char,Footnote Text Char,Ca"/>
    <w:basedOn w:val="Normal"/>
    <w:link w:val="TextonotapieCar"/>
    <w:uiPriority w:val="99"/>
    <w:unhideWhenUsed/>
    <w:qFormat/>
    <w:rsid w:val="00E803A1"/>
    <w:pPr>
      <w:spacing w:after="0" w:line="240" w:lineRule="auto"/>
      <w:jc w:val="both"/>
    </w:pPr>
    <w:rPr>
      <w:rFonts w:ascii="Arial" w:hAnsi="Arial"/>
      <w:sz w:val="20"/>
      <w:szCs w:val="20"/>
    </w:rPr>
  </w:style>
  <w:style w:type="character" w:customStyle="1" w:styleId="TextonotapieCar">
    <w:name w:val="Texto nota pie Car"/>
    <w:aliases w:val=" Car Car,Car Car,ft Car1,Texto nota pie2 Car,ft1 Car,ft Car Car Car1 Car,Texto nota pie Car2 Car,ft Car Car2 Car,ft Car Car1,ft Car Car Car2,ft Car Car Car Car,Texto nota pie_mujer Car,Texto nota pie Car Car Car,FA Fu Car,Ca Car"/>
    <w:basedOn w:val="Fuentedeprrafopredeter"/>
    <w:link w:val="Textonotapie"/>
    <w:uiPriority w:val="99"/>
    <w:rsid w:val="00E803A1"/>
    <w:rPr>
      <w:rFonts w:ascii="Arial" w:hAnsi="Arial"/>
      <w:sz w:val="20"/>
      <w:szCs w:val="20"/>
    </w:rPr>
  </w:style>
  <w:style w:type="character" w:styleId="Refdenotaalpie">
    <w:name w:val="footnote reference"/>
    <w:aliases w:val="Ref. de nota al pie 2,Texto de nota al pie,FC,Pie de Página,referencia nota al pie,Nota de pie,Texto nota al pie,Appel note de bas de page,Ref,de nota al pie,Ref. de nota al pie2,Footnotes refss,BVI fnr,Footnote symbol"/>
    <w:basedOn w:val="Fuentedeprrafopredeter"/>
    <w:uiPriority w:val="99"/>
    <w:unhideWhenUsed/>
    <w:qFormat/>
    <w:rsid w:val="00E803A1"/>
    <w:rPr>
      <w:vertAlign w:val="superscript"/>
    </w:rPr>
  </w:style>
  <w:style w:type="paragraph" w:styleId="NormalWeb">
    <w:name w:val="Normal (Web)"/>
    <w:aliases w:val="Car2 Car Car Car,Car2 Car Car, Car2 Car Car Car, Car2 Car Car,Car Car Car Car Car Car Car Car Car Car,Car Car Car Car Car Car Car Car Car Car Car Car Car,Normal (Web) Car Car"/>
    <w:basedOn w:val="Normal"/>
    <w:link w:val="NormalWebCar"/>
    <w:uiPriority w:val="99"/>
    <w:qFormat/>
    <w:rsid w:val="008F1065"/>
    <w:pPr>
      <w:spacing w:before="100" w:beforeAutospacing="1" w:after="100" w:afterAutospacing="1" w:line="240" w:lineRule="auto"/>
    </w:pPr>
    <w:rPr>
      <w:rFonts w:ascii="Arial" w:eastAsia="Times New Roman" w:hAnsi="Arial" w:cs="Times New Roman"/>
      <w:sz w:val="24"/>
      <w:szCs w:val="24"/>
      <w:lang w:eastAsia="es-ES"/>
    </w:rPr>
  </w:style>
  <w:style w:type="paragraph" w:styleId="Textocomentario">
    <w:name w:val="annotation text"/>
    <w:basedOn w:val="Normal"/>
    <w:link w:val="TextocomentarioCar"/>
    <w:uiPriority w:val="99"/>
    <w:semiHidden/>
    <w:unhideWhenUsed/>
    <w:rsid w:val="008F1065"/>
    <w:pPr>
      <w:spacing w:after="0" w:line="240" w:lineRule="auto"/>
    </w:pPr>
    <w:rPr>
      <w:rFonts w:ascii="Arial" w:eastAsia="Arial" w:hAnsi="Arial" w:cs="Arial"/>
      <w:sz w:val="24"/>
      <w:szCs w:val="24"/>
      <w:lang w:eastAsia="es-ES"/>
    </w:rPr>
  </w:style>
  <w:style w:type="character" w:customStyle="1" w:styleId="TextocomentarioCar">
    <w:name w:val="Texto comentario Car"/>
    <w:basedOn w:val="Fuentedeprrafopredeter"/>
    <w:link w:val="Textocomentario"/>
    <w:uiPriority w:val="99"/>
    <w:semiHidden/>
    <w:rsid w:val="008F1065"/>
    <w:rPr>
      <w:rFonts w:ascii="Arial" w:eastAsia="Arial" w:hAnsi="Arial" w:cs="Arial"/>
      <w:sz w:val="24"/>
      <w:szCs w:val="24"/>
      <w:lang w:eastAsia="es-ES"/>
    </w:rPr>
  </w:style>
  <w:style w:type="character" w:customStyle="1" w:styleId="NormalWebCar">
    <w:name w:val="Normal (Web) Car"/>
    <w:aliases w:val="Car2 Car Car Car Car,Car2 Car Car Car1, Car2 Car Car Car Car, Car2 Car Car Car1,Car Car Car Car Car Car Car Car Car Car Car,Car Car Car Car Car Car Car Car Car Car Car Car Car Car,Normal (Web) Car Car Car"/>
    <w:basedOn w:val="Fuentedeprrafopredeter"/>
    <w:link w:val="NormalWeb"/>
    <w:uiPriority w:val="99"/>
    <w:locked/>
    <w:rsid w:val="008F1065"/>
    <w:rPr>
      <w:rFonts w:ascii="Arial" w:eastAsia="Times New Roman" w:hAnsi="Arial" w:cs="Times New Roman"/>
      <w:sz w:val="24"/>
      <w:szCs w:val="24"/>
      <w:lang w:eastAsia="es-ES"/>
    </w:rPr>
  </w:style>
  <w:style w:type="table" w:styleId="Tablaconcuadrcula">
    <w:name w:val="Table Grid"/>
    <w:basedOn w:val="Tablanormal"/>
    <w:uiPriority w:val="59"/>
    <w:rsid w:val="00690B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0B597A"/>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B597A"/>
    <w:rPr>
      <w:rFonts w:ascii="Segoe UI" w:hAnsi="Segoe UI" w:cs="Segoe UI"/>
      <w:sz w:val="18"/>
      <w:szCs w:val="18"/>
    </w:rPr>
  </w:style>
  <w:style w:type="character" w:customStyle="1" w:styleId="Ttulo1Car">
    <w:name w:val="Título 1 Car"/>
    <w:aliases w:val="Título 1-BCN Car1,Edgar 1 Car1,1 ghost Car1,g Car1,1. Título 1 Car1,Título 1A Car1,massive Car1,Título 11 Car1,Titre principal (1) Car1"/>
    <w:basedOn w:val="Fuentedeprrafopredeter"/>
    <w:link w:val="Ttulo1"/>
    <w:rsid w:val="00AC30EC"/>
    <w:rPr>
      <w:rFonts w:ascii="Arial" w:hAnsi="Arial" w:cs="Arial"/>
      <w:b/>
      <w:bCs/>
      <w:noProof/>
      <w:sz w:val="28"/>
      <w:szCs w:val="24"/>
    </w:rPr>
  </w:style>
  <w:style w:type="character" w:customStyle="1" w:styleId="Ttulo5Car">
    <w:name w:val="Título 5 Car"/>
    <w:aliases w:val="Título 5-BCN Car"/>
    <w:basedOn w:val="Fuentedeprrafopredeter"/>
    <w:link w:val="Ttulo5"/>
    <w:rsid w:val="00AC30EC"/>
    <w:rPr>
      <w:rFonts w:ascii="Arial" w:eastAsia="Times New Roman" w:hAnsi="Arial" w:cs="Times New Roman"/>
      <w:szCs w:val="20"/>
      <w:lang w:val="es-ES" w:eastAsia="es-ES"/>
    </w:rPr>
  </w:style>
  <w:style w:type="character" w:customStyle="1" w:styleId="Ttulo6Car">
    <w:name w:val="Título 6 Car"/>
    <w:aliases w:val="Título 6-BCN Car"/>
    <w:basedOn w:val="Fuentedeprrafopredeter"/>
    <w:link w:val="Ttulo6"/>
    <w:rsid w:val="00AC30EC"/>
    <w:rPr>
      <w:rFonts w:ascii="Arial" w:eastAsia="Times New Roman" w:hAnsi="Arial" w:cs="Times New Roman"/>
      <w:i/>
      <w:szCs w:val="20"/>
      <w:lang w:val="es-ES" w:eastAsia="es-ES"/>
    </w:rPr>
  </w:style>
  <w:style w:type="character" w:customStyle="1" w:styleId="Ttulo7Car">
    <w:name w:val="Título 7 Car"/>
    <w:basedOn w:val="Fuentedeprrafopredeter"/>
    <w:link w:val="Ttulo7"/>
    <w:uiPriority w:val="99"/>
    <w:rsid w:val="00AC30EC"/>
    <w:rPr>
      <w:rFonts w:ascii="Arial" w:eastAsia="Times New Roman" w:hAnsi="Arial" w:cs="Times New Roman"/>
      <w:szCs w:val="20"/>
      <w:lang w:val="es-ES" w:eastAsia="es-ES"/>
    </w:rPr>
  </w:style>
  <w:style w:type="character" w:customStyle="1" w:styleId="Ttulo8Car">
    <w:name w:val="Título 8 Car"/>
    <w:basedOn w:val="Fuentedeprrafopredeter"/>
    <w:link w:val="Ttulo8"/>
    <w:uiPriority w:val="99"/>
    <w:rsid w:val="00AC30EC"/>
    <w:rPr>
      <w:rFonts w:ascii="Arial" w:eastAsia="Times New Roman" w:hAnsi="Arial" w:cs="Times New Roman"/>
      <w:i/>
      <w:szCs w:val="20"/>
      <w:lang w:val="es-ES" w:eastAsia="es-ES"/>
    </w:rPr>
  </w:style>
  <w:style w:type="character" w:customStyle="1" w:styleId="Ttulo9Car">
    <w:name w:val="Título 9 Car"/>
    <w:basedOn w:val="Fuentedeprrafopredeter"/>
    <w:link w:val="Ttulo9"/>
    <w:uiPriority w:val="99"/>
    <w:rsid w:val="00AC30EC"/>
    <w:rPr>
      <w:rFonts w:ascii="Arial" w:eastAsia="Times New Roman" w:hAnsi="Arial" w:cs="Times New Roman"/>
      <w:b/>
      <w:i/>
      <w:sz w:val="18"/>
      <w:szCs w:val="20"/>
      <w:lang w:val="es-ES" w:eastAsia="es-ES"/>
    </w:rPr>
  </w:style>
  <w:style w:type="paragraph" w:styleId="Encabezado">
    <w:name w:val="header"/>
    <w:aliases w:val="Haut de page,Encabezado 2,encabezado,articulo,encabezado Car Car,encabezado Car Car Car Car Car,encabezado Car Car Car Car,Encabezado Car Car Car,Encabezado Car Car,Encabezado Car Car Car Car Car Car,Encabezado Car Car Car Car"/>
    <w:basedOn w:val="Normal"/>
    <w:link w:val="EncabezadoCar"/>
    <w:uiPriority w:val="99"/>
    <w:unhideWhenUsed/>
    <w:rsid w:val="00AC30EC"/>
    <w:pPr>
      <w:tabs>
        <w:tab w:val="center" w:pos="4419"/>
        <w:tab w:val="right" w:pos="8838"/>
      </w:tabs>
      <w:spacing w:after="0" w:line="240" w:lineRule="auto"/>
      <w:jc w:val="both"/>
    </w:pPr>
    <w:rPr>
      <w:rFonts w:ascii="Arial" w:hAnsi="Arial"/>
      <w:sz w:val="24"/>
    </w:rPr>
  </w:style>
  <w:style w:type="character" w:customStyle="1" w:styleId="EncabezadoCar">
    <w:name w:val="Encabezado Car"/>
    <w:aliases w:val="Haut de page Car,Encabezado 2 Car,encabezado Car,articulo Car,encabezado Car Car Car,encabezado Car Car Car Car Car Car,encabezado Car Car Car Car Car1,Encabezado Car Car Car Car1,Encabezado Car Car Car1,Encabezado Car Car Car Car Car"/>
    <w:basedOn w:val="Fuentedeprrafopredeter"/>
    <w:link w:val="Encabezado"/>
    <w:uiPriority w:val="99"/>
    <w:rsid w:val="00AC30EC"/>
    <w:rPr>
      <w:rFonts w:ascii="Arial" w:hAnsi="Arial"/>
      <w:sz w:val="24"/>
    </w:rPr>
  </w:style>
  <w:style w:type="paragraph" w:styleId="Piedepgina">
    <w:name w:val="footer"/>
    <w:basedOn w:val="Normal"/>
    <w:link w:val="PiedepginaCar"/>
    <w:uiPriority w:val="99"/>
    <w:unhideWhenUsed/>
    <w:rsid w:val="00AC30EC"/>
    <w:pPr>
      <w:tabs>
        <w:tab w:val="center" w:pos="4419"/>
        <w:tab w:val="right" w:pos="8838"/>
      </w:tabs>
      <w:spacing w:after="0" w:line="240" w:lineRule="auto"/>
      <w:jc w:val="both"/>
    </w:pPr>
    <w:rPr>
      <w:rFonts w:ascii="Arial" w:hAnsi="Arial"/>
      <w:sz w:val="24"/>
    </w:rPr>
  </w:style>
  <w:style w:type="character" w:customStyle="1" w:styleId="PiedepginaCar">
    <w:name w:val="Pie de página Car"/>
    <w:basedOn w:val="Fuentedeprrafopredeter"/>
    <w:link w:val="Piedepgina"/>
    <w:uiPriority w:val="99"/>
    <w:rsid w:val="00AC30EC"/>
    <w:rPr>
      <w:rFonts w:ascii="Arial" w:hAnsi="Arial"/>
      <w:sz w:val="24"/>
    </w:rPr>
  </w:style>
  <w:style w:type="paragraph" w:styleId="TtuloTDC">
    <w:name w:val="TOC Heading"/>
    <w:basedOn w:val="Ttulo1"/>
    <w:next w:val="Normal"/>
    <w:uiPriority w:val="39"/>
    <w:unhideWhenUsed/>
    <w:qFormat/>
    <w:rsid w:val="00AC30EC"/>
    <w:pPr>
      <w:keepLines/>
      <w:numPr>
        <w:numId w:val="0"/>
      </w:numPr>
      <w:tabs>
        <w:tab w:val="clear" w:pos="284"/>
      </w:tabs>
      <w:autoSpaceDE/>
      <w:autoSpaceDN/>
      <w:adjustRightInd/>
      <w:spacing w:before="480" w:line="276" w:lineRule="auto"/>
      <w:contextualSpacing w:val="0"/>
      <w:outlineLvl w:val="9"/>
    </w:pPr>
    <w:rPr>
      <w:rFonts w:asciiTheme="majorHAnsi" w:eastAsiaTheme="majorEastAsia" w:hAnsiTheme="majorHAnsi" w:cstheme="majorBidi"/>
      <w:noProof w:val="0"/>
      <w:color w:val="2E74B5" w:themeColor="accent1" w:themeShade="BF"/>
      <w:szCs w:val="28"/>
      <w:lang w:eastAsia="es-CO"/>
    </w:rPr>
  </w:style>
  <w:style w:type="paragraph" w:styleId="Ttulo">
    <w:name w:val="Title"/>
    <w:basedOn w:val="Normal"/>
    <w:next w:val="Normal"/>
    <w:link w:val="TtuloCar"/>
    <w:uiPriority w:val="99"/>
    <w:qFormat/>
    <w:rsid w:val="00AC30EC"/>
    <w:pPr>
      <w:numPr>
        <w:numId w:val="23"/>
      </w:numPr>
      <w:spacing w:after="300" w:line="360" w:lineRule="auto"/>
      <w:contextualSpacing/>
      <w:jc w:val="both"/>
    </w:pPr>
    <w:rPr>
      <w:rFonts w:ascii="Arial" w:eastAsiaTheme="majorEastAsia" w:hAnsi="Arial" w:cstheme="majorBidi"/>
      <w:spacing w:val="5"/>
      <w:kern w:val="28"/>
      <w:sz w:val="28"/>
      <w:szCs w:val="52"/>
    </w:rPr>
  </w:style>
  <w:style w:type="character" w:customStyle="1" w:styleId="TtuloCar">
    <w:name w:val="Título Car"/>
    <w:basedOn w:val="Fuentedeprrafopredeter"/>
    <w:link w:val="Ttulo"/>
    <w:uiPriority w:val="99"/>
    <w:rsid w:val="00AC30EC"/>
    <w:rPr>
      <w:rFonts w:ascii="Arial" w:eastAsiaTheme="majorEastAsia" w:hAnsi="Arial" w:cstheme="majorBidi"/>
      <w:spacing w:val="5"/>
      <w:kern w:val="28"/>
      <w:sz w:val="28"/>
      <w:szCs w:val="52"/>
    </w:rPr>
  </w:style>
  <w:style w:type="paragraph" w:styleId="TDC1">
    <w:name w:val="toc 1"/>
    <w:basedOn w:val="Normal"/>
    <w:next w:val="Normal"/>
    <w:autoRedefine/>
    <w:uiPriority w:val="39"/>
    <w:unhideWhenUsed/>
    <w:qFormat/>
    <w:rsid w:val="00AC30EC"/>
    <w:pPr>
      <w:spacing w:after="100" w:line="360" w:lineRule="auto"/>
      <w:jc w:val="both"/>
    </w:pPr>
    <w:rPr>
      <w:rFonts w:ascii="Arial" w:hAnsi="Arial"/>
      <w:sz w:val="24"/>
    </w:rPr>
  </w:style>
  <w:style w:type="paragraph" w:styleId="TDC2">
    <w:name w:val="toc 2"/>
    <w:basedOn w:val="Normal"/>
    <w:next w:val="Normal"/>
    <w:autoRedefine/>
    <w:uiPriority w:val="39"/>
    <w:unhideWhenUsed/>
    <w:qFormat/>
    <w:rsid w:val="001F0A3A"/>
    <w:pPr>
      <w:tabs>
        <w:tab w:val="left" w:pos="880"/>
        <w:tab w:val="right" w:leader="dot" w:pos="8828"/>
      </w:tabs>
      <w:spacing w:after="100" w:line="360" w:lineRule="auto"/>
      <w:ind w:left="240"/>
      <w:jc w:val="both"/>
    </w:pPr>
    <w:rPr>
      <w:rFonts w:ascii="Arial" w:hAnsi="Arial"/>
      <w:b/>
      <w:noProof/>
      <w:sz w:val="24"/>
    </w:rPr>
  </w:style>
  <w:style w:type="paragraph" w:styleId="TDC3">
    <w:name w:val="toc 3"/>
    <w:basedOn w:val="Normal"/>
    <w:next w:val="Normal"/>
    <w:autoRedefine/>
    <w:uiPriority w:val="39"/>
    <w:unhideWhenUsed/>
    <w:qFormat/>
    <w:rsid w:val="00AC30EC"/>
    <w:pPr>
      <w:spacing w:after="100" w:line="360" w:lineRule="auto"/>
      <w:ind w:left="480"/>
      <w:jc w:val="both"/>
    </w:pPr>
    <w:rPr>
      <w:rFonts w:ascii="Arial" w:hAnsi="Arial"/>
      <w:sz w:val="24"/>
    </w:rPr>
  </w:style>
  <w:style w:type="paragraph" w:customStyle="1" w:styleId="Titulo2C">
    <w:name w:val="Titulo 2 C"/>
    <w:basedOn w:val="Normal"/>
    <w:rsid w:val="00AC30EC"/>
    <w:pPr>
      <w:numPr>
        <w:ilvl w:val="1"/>
        <w:numId w:val="25"/>
      </w:numPr>
      <w:spacing w:after="0" w:line="240" w:lineRule="auto"/>
      <w:jc w:val="both"/>
    </w:pPr>
    <w:rPr>
      <w:rFonts w:ascii="Century Gothic" w:eastAsia="Times New Roman" w:hAnsi="Century Gothic" w:cs="Arial"/>
      <w:b/>
      <w:sz w:val="18"/>
      <w:szCs w:val="18"/>
      <w:lang w:val="es-ES" w:eastAsia="es-ES"/>
    </w:rPr>
  </w:style>
  <w:style w:type="paragraph" w:customStyle="1" w:styleId="Titulo3C">
    <w:name w:val="Titulo 3 C"/>
    <w:basedOn w:val="Normal"/>
    <w:rsid w:val="00AC30EC"/>
    <w:pPr>
      <w:tabs>
        <w:tab w:val="num" w:pos="720"/>
      </w:tabs>
      <w:spacing w:after="0" w:line="240" w:lineRule="auto"/>
      <w:ind w:left="720" w:hanging="720"/>
      <w:jc w:val="both"/>
    </w:pPr>
    <w:rPr>
      <w:rFonts w:ascii="Century Gothic" w:eastAsia="Times New Roman" w:hAnsi="Century Gothic" w:cs="Arial"/>
      <w:b/>
      <w:sz w:val="18"/>
      <w:szCs w:val="18"/>
      <w:lang w:val="es-ES" w:eastAsia="es-ES"/>
    </w:rPr>
  </w:style>
  <w:style w:type="paragraph" w:customStyle="1" w:styleId="Titulo4C">
    <w:name w:val="Titulo 4 C"/>
    <w:basedOn w:val="Normal"/>
    <w:rsid w:val="00AC30EC"/>
    <w:pPr>
      <w:tabs>
        <w:tab w:val="num" w:pos="720"/>
      </w:tabs>
      <w:spacing w:after="0" w:line="240" w:lineRule="auto"/>
      <w:ind w:left="720" w:hanging="720"/>
      <w:jc w:val="both"/>
    </w:pPr>
    <w:rPr>
      <w:rFonts w:ascii="Century Gothic" w:eastAsia="Times New Roman" w:hAnsi="Century Gothic" w:cs="Arial"/>
      <w:b/>
      <w:sz w:val="18"/>
      <w:szCs w:val="18"/>
      <w:lang w:val="es-ES" w:eastAsia="es-ES"/>
    </w:rPr>
  </w:style>
  <w:style w:type="paragraph" w:styleId="Tabladeilustraciones">
    <w:name w:val="table of figures"/>
    <w:basedOn w:val="Normal"/>
    <w:next w:val="Normal"/>
    <w:uiPriority w:val="99"/>
    <w:unhideWhenUsed/>
    <w:rsid w:val="00AC30EC"/>
    <w:pPr>
      <w:spacing w:after="0" w:line="360" w:lineRule="auto"/>
      <w:jc w:val="both"/>
    </w:pPr>
    <w:rPr>
      <w:rFonts w:ascii="Arial" w:hAnsi="Arial"/>
      <w:sz w:val="24"/>
    </w:rPr>
  </w:style>
  <w:style w:type="paragraph" w:styleId="Textonotaalfinal">
    <w:name w:val="endnote text"/>
    <w:basedOn w:val="Normal"/>
    <w:link w:val="TextonotaalfinalCar"/>
    <w:uiPriority w:val="99"/>
    <w:semiHidden/>
    <w:unhideWhenUsed/>
    <w:rsid w:val="00AC30EC"/>
    <w:pPr>
      <w:spacing w:after="0" w:line="240" w:lineRule="auto"/>
      <w:jc w:val="both"/>
    </w:pPr>
    <w:rPr>
      <w:rFonts w:ascii="Arial" w:hAnsi="Arial"/>
      <w:sz w:val="20"/>
      <w:szCs w:val="20"/>
    </w:rPr>
  </w:style>
  <w:style w:type="character" w:customStyle="1" w:styleId="TextonotaalfinalCar">
    <w:name w:val="Texto nota al final Car"/>
    <w:basedOn w:val="Fuentedeprrafopredeter"/>
    <w:link w:val="Textonotaalfinal"/>
    <w:uiPriority w:val="99"/>
    <w:semiHidden/>
    <w:rsid w:val="00AC30EC"/>
    <w:rPr>
      <w:rFonts w:ascii="Arial" w:hAnsi="Arial"/>
      <w:sz w:val="20"/>
      <w:szCs w:val="20"/>
    </w:rPr>
  </w:style>
  <w:style w:type="character" w:styleId="Refdenotaalfinal">
    <w:name w:val="endnote reference"/>
    <w:basedOn w:val="Fuentedeprrafopredeter"/>
    <w:uiPriority w:val="99"/>
    <w:semiHidden/>
    <w:unhideWhenUsed/>
    <w:rsid w:val="00AC30EC"/>
    <w:rPr>
      <w:vertAlign w:val="superscript"/>
    </w:rPr>
  </w:style>
  <w:style w:type="table" w:customStyle="1" w:styleId="Tablaconcuadrcula2">
    <w:name w:val="Tabla con cuadrícula2"/>
    <w:basedOn w:val="Tablanormal"/>
    <w:uiPriority w:val="39"/>
    <w:rsid w:val="00AC30EC"/>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nfasis11">
    <w:name w:val="Tabla de cuadrícula 1 clara - Énfasis 11"/>
    <w:basedOn w:val="Tablanormal"/>
    <w:uiPriority w:val="46"/>
    <w:rsid w:val="00AC30EC"/>
    <w:pPr>
      <w:spacing w:after="0" w:line="240" w:lineRule="auto"/>
    </w:pPr>
    <w:tblPr>
      <w:tblStyleRowBandSize w:val="1"/>
      <w:tblStyleColBandSize w:val="1"/>
      <w:tblInd w:w="0" w:type="nil"/>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TDC4">
    <w:name w:val="toc 4"/>
    <w:basedOn w:val="Normal"/>
    <w:next w:val="Normal"/>
    <w:autoRedefine/>
    <w:uiPriority w:val="39"/>
    <w:unhideWhenUsed/>
    <w:rsid w:val="00AC30EC"/>
    <w:pPr>
      <w:spacing w:after="100" w:line="276" w:lineRule="auto"/>
      <w:ind w:left="660"/>
    </w:pPr>
    <w:rPr>
      <w:rFonts w:eastAsiaTheme="minorEastAsia"/>
      <w:lang w:eastAsia="es-CO"/>
    </w:rPr>
  </w:style>
  <w:style w:type="paragraph" w:styleId="TDC5">
    <w:name w:val="toc 5"/>
    <w:basedOn w:val="Normal"/>
    <w:next w:val="Normal"/>
    <w:autoRedefine/>
    <w:uiPriority w:val="39"/>
    <w:unhideWhenUsed/>
    <w:rsid w:val="00AC30EC"/>
    <w:pPr>
      <w:spacing w:after="100" w:line="276" w:lineRule="auto"/>
      <w:ind w:left="880"/>
    </w:pPr>
    <w:rPr>
      <w:rFonts w:eastAsiaTheme="minorEastAsia"/>
      <w:lang w:eastAsia="es-CO"/>
    </w:rPr>
  </w:style>
  <w:style w:type="paragraph" w:styleId="TDC6">
    <w:name w:val="toc 6"/>
    <w:basedOn w:val="Normal"/>
    <w:next w:val="Normal"/>
    <w:autoRedefine/>
    <w:uiPriority w:val="39"/>
    <w:unhideWhenUsed/>
    <w:rsid w:val="00AC30EC"/>
    <w:pPr>
      <w:spacing w:after="100" w:line="276" w:lineRule="auto"/>
      <w:ind w:left="1100"/>
    </w:pPr>
    <w:rPr>
      <w:rFonts w:eastAsiaTheme="minorEastAsia"/>
      <w:lang w:eastAsia="es-CO"/>
    </w:rPr>
  </w:style>
  <w:style w:type="paragraph" w:styleId="TDC7">
    <w:name w:val="toc 7"/>
    <w:basedOn w:val="Normal"/>
    <w:next w:val="Normal"/>
    <w:autoRedefine/>
    <w:uiPriority w:val="39"/>
    <w:unhideWhenUsed/>
    <w:rsid w:val="00AC30EC"/>
    <w:pPr>
      <w:spacing w:after="100" w:line="276" w:lineRule="auto"/>
      <w:ind w:left="1320"/>
    </w:pPr>
    <w:rPr>
      <w:rFonts w:eastAsiaTheme="minorEastAsia"/>
      <w:lang w:eastAsia="es-CO"/>
    </w:rPr>
  </w:style>
  <w:style w:type="paragraph" w:styleId="TDC8">
    <w:name w:val="toc 8"/>
    <w:basedOn w:val="Normal"/>
    <w:next w:val="Normal"/>
    <w:autoRedefine/>
    <w:uiPriority w:val="39"/>
    <w:unhideWhenUsed/>
    <w:rsid w:val="00AC30EC"/>
    <w:pPr>
      <w:spacing w:after="100" w:line="276" w:lineRule="auto"/>
      <w:ind w:left="1540"/>
    </w:pPr>
    <w:rPr>
      <w:rFonts w:eastAsiaTheme="minorEastAsia"/>
      <w:lang w:eastAsia="es-CO"/>
    </w:rPr>
  </w:style>
  <w:style w:type="paragraph" w:styleId="TDC9">
    <w:name w:val="toc 9"/>
    <w:basedOn w:val="Normal"/>
    <w:next w:val="Normal"/>
    <w:autoRedefine/>
    <w:uiPriority w:val="39"/>
    <w:unhideWhenUsed/>
    <w:rsid w:val="00AC30EC"/>
    <w:pPr>
      <w:spacing w:after="100" w:line="276" w:lineRule="auto"/>
      <w:ind w:left="1760"/>
    </w:pPr>
    <w:rPr>
      <w:rFonts w:eastAsiaTheme="minorEastAsia"/>
      <w:lang w:eastAsia="es-CO"/>
    </w:rPr>
  </w:style>
  <w:style w:type="character" w:customStyle="1" w:styleId="TextoindependienteCar1">
    <w:name w:val="Texto independiente Car1"/>
    <w:aliases w:val="bt Car,body text Car,contents Car,body tesx Car"/>
    <w:link w:val="Textoindependiente"/>
    <w:locked/>
    <w:rsid w:val="00AC30EC"/>
    <w:rPr>
      <w:rFonts w:ascii="Futura Md BT" w:hAnsi="Futura Md BT"/>
      <w:sz w:val="24"/>
      <w:szCs w:val="24"/>
    </w:rPr>
  </w:style>
  <w:style w:type="paragraph" w:styleId="Textoindependiente">
    <w:name w:val="Body Text"/>
    <w:aliases w:val="bt,body text,contents,body tesx"/>
    <w:basedOn w:val="Normal"/>
    <w:link w:val="TextoindependienteCar1"/>
    <w:unhideWhenUsed/>
    <w:rsid w:val="00AC30EC"/>
    <w:pPr>
      <w:spacing w:after="0" w:line="240" w:lineRule="auto"/>
      <w:jc w:val="both"/>
    </w:pPr>
    <w:rPr>
      <w:rFonts w:ascii="Futura Md BT" w:hAnsi="Futura Md BT"/>
      <w:sz w:val="24"/>
      <w:szCs w:val="24"/>
    </w:rPr>
  </w:style>
  <w:style w:type="character" w:customStyle="1" w:styleId="TextoindependienteCar">
    <w:name w:val="Texto independiente Car"/>
    <w:aliases w:val="bt Car1,body text Car1,contents Car1,body tesx Car1"/>
    <w:basedOn w:val="Fuentedeprrafopredeter"/>
    <w:rsid w:val="00AC30EC"/>
  </w:style>
  <w:style w:type="paragraph" w:styleId="Textosinformato">
    <w:name w:val="Plain Text"/>
    <w:basedOn w:val="Normal"/>
    <w:link w:val="TextosinformatoCar"/>
    <w:uiPriority w:val="99"/>
    <w:semiHidden/>
    <w:unhideWhenUsed/>
    <w:rsid w:val="00AC30EC"/>
    <w:pPr>
      <w:spacing w:after="0" w:line="240" w:lineRule="auto"/>
    </w:pPr>
    <w:rPr>
      <w:rFonts w:ascii="Calibri" w:eastAsia="Calibri" w:hAnsi="Calibri" w:cs="Times New Roman"/>
      <w:lang w:val="es-ES"/>
    </w:rPr>
  </w:style>
  <w:style w:type="character" w:customStyle="1" w:styleId="TextosinformatoCar">
    <w:name w:val="Texto sin formato Car"/>
    <w:basedOn w:val="Fuentedeprrafopredeter"/>
    <w:link w:val="Textosinformato"/>
    <w:uiPriority w:val="99"/>
    <w:semiHidden/>
    <w:rsid w:val="00AC30EC"/>
    <w:rPr>
      <w:rFonts w:ascii="Calibri" w:eastAsia="Calibri" w:hAnsi="Calibri" w:cs="Times New Roman"/>
      <w:lang w:val="es-ES"/>
    </w:rPr>
  </w:style>
  <w:style w:type="paragraph" w:styleId="Asuntodelcomentario">
    <w:name w:val="annotation subject"/>
    <w:basedOn w:val="Textocomentario"/>
    <w:next w:val="Textocomentario"/>
    <w:link w:val="AsuntodelcomentarioCar"/>
    <w:uiPriority w:val="99"/>
    <w:semiHidden/>
    <w:unhideWhenUsed/>
    <w:rsid w:val="00AC30EC"/>
    <w:rPr>
      <w:rFonts w:ascii="Times New Roman" w:eastAsia="Times New Roman" w:hAnsi="Times New Roman" w:cs="Times New Roman"/>
      <w:b/>
      <w:bCs/>
      <w:sz w:val="20"/>
      <w:szCs w:val="20"/>
      <w:lang w:val="es-ES"/>
    </w:rPr>
  </w:style>
  <w:style w:type="character" w:customStyle="1" w:styleId="AsuntodelcomentarioCar">
    <w:name w:val="Asunto del comentario Car"/>
    <w:basedOn w:val="TextocomentarioCar"/>
    <w:link w:val="Asuntodelcomentario"/>
    <w:uiPriority w:val="99"/>
    <w:semiHidden/>
    <w:rsid w:val="00AC30EC"/>
    <w:rPr>
      <w:rFonts w:ascii="Times New Roman" w:eastAsia="Times New Roman" w:hAnsi="Times New Roman" w:cs="Times New Roman"/>
      <w:b/>
      <w:bCs/>
      <w:sz w:val="20"/>
      <w:szCs w:val="20"/>
      <w:lang w:val="es-ES" w:eastAsia="es-ES"/>
    </w:rPr>
  </w:style>
  <w:style w:type="character" w:customStyle="1" w:styleId="SinespaciadoCar">
    <w:name w:val="Sin espaciado Car"/>
    <w:link w:val="Sinespaciado"/>
    <w:uiPriority w:val="1"/>
    <w:locked/>
    <w:rsid w:val="00AC30EC"/>
    <w:rPr>
      <w:rFonts w:ascii="Calibri" w:hAnsi="Calibri"/>
    </w:rPr>
  </w:style>
  <w:style w:type="paragraph" w:styleId="Sinespaciado">
    <w:name w:val="No Spacing"/>
    <w:link w:val="SinespaciadoCar"/>
    <w:uiPriority w:val="1"/>
    <w:qFormat/>
    <w:rsid w:val="00AC30EC"/>
    <w:pPr>
      <w:spacing w:after="0" w:line="240" w:lineRule="auto"/>
    </w:pPr>
    <w:rPr>
      <w:rFonts w:ascii="Calibri" w:hAnsi="Calibri"/>
    </w:rPr>
  </w:style>
  <w:style w:type="paragraph" w:customStyle="1" w:styleId="CarCar1Car">
    <w:name w:val="Car Car1 Car"/>
    <w:basedOn w:val="Normal"/>
    <w:uiPriority w:val="99"/>
    <w:rsid w:val="00AC30EC"/>
    <w:pPr>
      <w:spacing w:line="240" w:lineRule="exact"/>
    </w:pPr>
    <w:rPr>
      <w:rFonts w:ascii="Verdana" w:eastAsia="Times New Roman" w:hAnsi="Verdana" w:cs="Verdana"/>
      <w:sz w:val="20"/>
      <w:szCs w:val="20"/>
      <w:lang w:val="en-US"/>
    </w:rPr>
  </w:style>
  <w:style w:type="paragraph" w:customStyle="1" w:styleId="Default">
    <w:name w:val="Default"/>
    <w:link w:val="DefaultCar"/>
    <w:qFormat/>
    <w:rsid w:val="00AC30EC"/>
    <w:pPr>
      <w:autoSpaceDE w:val="0"/>
      <w:autoSpaceDN w:val="0"/>
      <w:adjustRightInd w:val="0"/>
      <w:spacing w:after="0" w:line="240" w:lineRule="auto"/>
    </w:pPr>
    <w:rPr>
      <w:rFonts w:ascii="Calibri" w:eastAsia="Calibri" w:hAnsi="Calibri" w:cs="Calibri"/>
      <w:color w:val="000000"/>
      <w:sz w:val="24"/>
      <w:szCs w:val="24"/>
    </w:rPr>
  </w:style>
  <w:style w:type="paragraph" w:customStyle="1" w:styleId="Body1">
    <w:name w:val="Body 1"/>
    <w:rsid w:val="00AC30EC"/>
    <w:pPr>
      <w:spacing w:after="0" w:line="240" w:lineRule="auto"/>
    </w:pPr>
    <w:rPr>
      <w:rFonts w:ascii="Helvetica" w:eastAsia="ヒラギノ角ゴ Pro W3" w:hAnsi="Helvetica" w:cs="Times New Roman"/>
      <w:color w:val="000000"/>
      <w:sz w:val="24"/>
      <w:szCs w:val="20"/>
      <w:lang w:val="en-US" w:eastAsia="es-CO"/>
    </w:rPr>
  </w:style>
  <w:style w:type="paragraph" w:customStyle="1" w:styleId="Predeterminado">
    <w:name w:val="Predeterminado"/>
    <w:rsid w:val="00AC30EC"/>
    <w:pPr>
      <w:tabs>
        <w:tab w:val="left" w:pos="708"/>
      </w:tabs>
      <w:suppressAutoHyphens/>
      <w:spacing w:line="100" w:lineRule="atLeast"/>
    </w:pPr>
    <w:rPr>
      <w:rFonts w:ascii="Arial" w:eastAsia="Droid Sans Fallback" w:hAnsi="Arial" w:cs="Arial"/>
      <w:color w:val="000000"/>
      <w:sz w:val="24"/>
      <w:szCs w:val="24"/>
    </w:rPr>
  </w:style>
  <w:style w:type="paragraph" w:customStyle="1" w:styleId="xl79">
    <w:name w:val="xl79"/>
    <w:basedOn w:val="Normal"/>
    <w:rsid w:val="00AC30EC"/>
    <w:pPr>
      <w:spacing w:before="100" w:beforeAutospacing="1" w:after="100" w:afterAutospacing="1" w:line="240" w:lineRule="auto"/>
    </w:pPr>
    <w:rPr>
      <w:rFonts w:ascii="Arial" w:eastAsia="Times New Roman" w:hAnsi="Arial" w:cs="Arial"/>
      <w:sz w:val="24"/>
      <w:szCs w:val="24"/>
      <w:lang w:eastAsia="es-CO"/>
    </w:rPr>
  </w:style>
  <w:style w:type="paragraph" w:customStyle="1" w:styleId="xl80">
    <w:name w:val="xl80"/>
    <w:basedOn w:val="Normal"/>
    <w:rsid w:val="00AC30EC"/>
    <w:pPr>
      <w:spacing w:before="100" w:beforeAutospacing="1" w:after="100" w:afterAutospacing="1" w:line="240" w:lineRule="auto"/>
      <w:jc w:val="center"/>
    </w:pPr>
    <w:rPr>
      <w:rFonts w:ascii="Times New Roman" w:eastAsia="Times New Roman" w:hAnsi="Times New Roman" w:cs="Times New Roman"/>
      <w:sz w:val="24"/>
      <w:szCs w:val="24"/>
      <w:lang w:eastAsia="es-CO"/>
    </w:rPr>
  </w:style>
  <w:style w:type="paragraph" w:customStyle="1" w:styleId="xl81">
    <w:name w:val="xl81"/>
    <w:basedOn w:val="Normal"/>
    <w:rsid w:val="00AC30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lang w:eastAsia="es-CO"/>
    </w:rPr>
  </w:style>
  <w:style w:type="paragraph" w:customStyle="1" w:styleId="xl82">
    <w:name w:val="xl82"/>
    <w:basedOn w:val="Normal"/>
    <w:rsid w:val="00AC30EC"/>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jc w:val="center"/>
    </w:pPr>
    <w:rPr>
      <w:rFonts w:ascii="Arial" w:eastAsia="Times New Roman" w:hAnsi="Arial" w:cs="Arial"/>
      <w:sz w:val="16"/>
      <w:szCs w:val="16"/>
      <w:lang w:eastAsia="es-CO"/>
    </w:rPr>
  </w:style>
  <w:style w:type="paragraph" w:customStyle="1" w:styleId="xl83">
    <w:name w:val="xl83"/>
    <w:basedOn w:val="Normal"/>
    <w:rsid w:val="00AC30EC"/>
    <w:pPr>
      <w:pBdr>
        <w:top w:val="single" w:sz="4" w:space="0" w:color="auto"/>
        <w:left w:val="single" w:sz="4" w:space="0" w:color="auto"/>
        <w:bottom w:val="single" w:sz="4" w:space="0" w:color="auto"/>
        <w:right w:val="single" w:sz="4" w:space="0" w:color="auto"/>
      </w:pBdr>
      <w:shd w:val="clear" w:color="auto" w:fill="00B0F0"/>
      <w:spacing w:before="100" w:beforeAutospacing="1" w:after="100" w:afterAutospacing="1" w:line="240" w:lineRule="auto"/>
      <w:jc w:val="center"/>
    </w:pPr>
    <w:rPr>
      <w:rFonts w:ascii="Arial" w:eastAsia="Times New Roman" w:hAnsi="Arial" w:cs="Arial"/>
      <w:color w:val="000000"/>
      <w:sz w:val="16"/>
      <w:szCs w:val="16"/>
      <w:lang w:eastAsia="es-CO"/>
    </w:rPr>
  </w:style>
  <w:style w:type="paragraph" w:customStyle="1" w:styleId="xl84">
    <w:name w:val="xl84"/>
    <w:basedOn w:val="Normal"/>
    <w:rsid w:val="00AC30EC"/>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line="240" w:lineRule="auto"/>
      <w:jc w:val="center"/>
    </w:pPr>
    <w:rPr>
      <w:rFonts w:ascii="Arial" w:eastAsia="Times New Roman" w:hAnsi="Arial" w:cs="Arial"/>
      <w:sz w:val="16"/>
      <w:szCs w:val="16"/>
      <w:lang w:eastAsia="es-CO"/>
    </w:rPr>
  </w:style>
  <w:style w:type="paragraph" w:customStyle="1" w:styleId="xl85">
    <w:name w:val="xl85"/>
    <w:basedOn w:val="Normal"/>
    <w:rsid w:val="00AC30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000000"/>
      <w:sz w:val="24"/>
      <w:szCs w:val="24"/>
      <w:lang w:eastAsia="es-CO"/>
    </w:rPr>
  </w:style>
  <w:style w:type="paragraph" w:customStyle="1" w:styleId="xl86">
    <w:name w:val="xl86"/>
    <w:basedOn w:val="Normal"/>
    <w:rsid w:val="00AC30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000000"/>
      <w:sz w:val="24"/>
      <w:szCs w:val="24"/>
      <w:lang w:eastAsia="es-CO"/>
    </w:rPr>
  </w:style>
  <w:style w:type="paragraph" w:customStyle="1" w:styleId="xl87">
    <w:name w:val="xl87"/>
    <w:basedOn w:val="Normal"/>
    <w:rsid w:val="00AC30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Arial" w:eastAsia="Times New Roman" w:hAnsi="Arial" w:cs="Arial"/>
      <w:sz w:val="24"/>
      <w:szCs w:val="24"/>
      <w:lang w:eastAsia="es-CO"/>
    </w:rPr>
  </w:style>
  <w:style w:type="paragraph" w:customStyle="1" w:styleId="xl88">
    <w:name w:val="xl88"/>
    <w:basedOn w:val="Normal"/>
    <w:rsid w:val="00AC30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Verdana" w:eastAsia="Times New Roman" w:hAnsi="Verdana" w:cs="Times New Roman"/>
      <w:color w:val="000000"/>
      <w:sz w:val="18"/>
      <w:szCs w:val="18"/>
      <w:lang w:eastAsia="es-CO"/>
    </w:rPr>
  </w:style>
  <w:style w:type="paragraph" w:customStyle="1" w:styleId="xl89">
    <w:name w:val="xl89"/>
    <w:basedOn w:val="Normal"/>
    <w:rsid w:val="00AC30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Verdana" w:eastAsia="Times New Roman" w:hAnsi="Verdana" w:cs="Times New Roman"/>
      <w:sz w:val="18"/>
      <w:szCs w:val="18"/>
      <w:lang w:eastAsia="es-CO"/>
    </w:rPr>
  </w:style>
  <w:style w:type="paragraph" w:customStyle="1" w:styleId="xl90">
    <w:name w:val="xl90"/>
    <w:basedOn w:val="Normal"/>
    <w:rsid w:val="00AC30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Verdana" w:eastAsia="Times New Roman" w:hAnsi="Verdana" w:cs="Times New Roman"/>
      <w:sz w:val="18"/>
      <w:szCs w:val="18"/>
      <w:lang w:eastAsia="es-CO"/>
    </w:rPr>
  </w:style>
  <w:style w:type="paragraph" w:customStyle="1" w:styleId="xl91">
    <w:name w:val="xl91"/>
    <w:basedOn w:val="Normal"/>
    <w:rsid w:val="00AC30EC"/>
    <w:pPr>
      <w:shd w:val="clear" w:color="auto" w:fill="FFFFFF"/>
      <w:spacing w:before="100" w:beforeAutospacing="1" w:after="100" w:afterAutospacing="1" w:line="240" w:lineRule="auto"/>
    </w:pPr>
    <w:rPr>
      <w:rFonts w:ascii="Arial" w:eastAsia="Times New Roman" w:hAnsi="Arial" w:cs="Arial"/>
      <w:sz w:val="24"/>
      <w:szCs w:val="24"/>
      <w:lang w:eastAsia="es-CO"/>
    </w:rPr>
  </w:style>
  <w:style w:type="paragraph" w:customStyle="1" w:styleId="xl92">
    <w:name w:val="xl92"/>
    <w:basedOn w:val="Normal"/>
    <w:rsid w:val="00AC30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Arial" w:eastAsia="Times New Roman" w:hAnsi="Arial" w:cs="Arial"/>
      <w:sz w:val="24"/>
      <w:szCs w:val="24"/>
      <w:lang w:eastAsia="es-CO"/>
    </w:rPr>
  </w:style>
  <w:style w:type="paragraph" w:customStyle="1" w:styleId="xl93">
    <w:name w:val="xl93"/>
    <w:basedOn w:val="Normal"/>
    <w:rsid w:val="00AC30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000000"/>
      <w:sz w:val="24"/>
      <w:szCs w:val="24"/>
      <w:lang w:eastAsia="es-CO"/>
    </w:rPr>
  </w:style>
  <w:style w:type="paragraph" w:customStyle="1" w:styleId="xl94">
    <w:name w:val="xl94"/>
    <w:basedOn w:val="Normal"/>
    <w:rsid w:val="00AC30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Arial" w:eastAsia="Times New Roman" w:hAnsi="Arial" w:cs="Arial"/>
      <w:color w:val="000000"/>
      <w:sz w:val="24"/>
      <w:szCs w:val="24"/>
      <w:lang w:eastAsia="es-CO"/>
    </w:rPr>
  </w:style>
  <w:style w:type="paragraph" w:customStyle="1" w:styleId="xl95">
    <w:name w:val="xl95"/>
    <w:basedOn w:val="Normal"/>
    <w:rsid w:val="00AC30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Arial" w:eastAsia="Times New Roman" w:hAnsi="Arial" w:cs="Arial"/>
      <w:sz w:val="16"/>
      <w:szCs w:val="16"/>
      <w:lang w:eastAsia="es-CO"/>
    </w:rPr>
  </w:style>
  <w:style w:type="paragraph" w:customStyle="1" w:styleId="xl96">
    <w:name w:val="xl96"/>
    <w:basedOn w:val="Normal"/>
    <w:rsid w:val="00AC30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Verdana" w:eastAsia="Times New Roman" w:hAnsi="Verdana" w:cs="Times New Roman"/>
      <w:color w:val="000000"/>
      <w:sz w:val="18"/>
      <w:szCs w:val="18"/>
      <w:lang w:eastAsia="es-CO"/>
    </w:rPr>
  </w:style>
  <w:style w:type="paragraph" w:customStyle="1" w:styleId="xl97">
    <w:name w:val="xl97"/>
    <w:basedOn w:val="Normal"/>
    <w:rsid w:val="00AC30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l98">
    <w:name w:val="xl98"/>
    <w:basedOn w:val="Normal"/>
    <w:rsid w:val="00AC30EC"/>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l99">
    <w:name w:val="xl99"/>
    <w:basedOn w:val="Normal"/>
    <w:rsid w:val="00AC30E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es-CO"/>
    </w:rPr>
  </w:style>
  <w:style w:type="paragraph" w:customStyle="1" w:styleId="xl100">
    <w:name w:val="xl100"/>
    <w:basedOn w:val="Normal"/>
    <w:rsid w:val="00AC30E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Verdana" w:eastAsia="Times New Roman" w:hAnsi="Verdana" w:cs="Times New Roman"/>
      <w:sz w:val="18"/>
      <w:szCs w:val="18"/>
      <w:lang w:eastAsia="es-CO"/>
    </w:rPr>
  </w:style>
  <w:style w:type="paragraph" w:customStyle="1" w:styleId="xl101">
    <w:name w:val="xl101"/>
    <w:basedOn w:val="Normal"/>
    <w:rsid w:val="00AC30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000000"/>
      <w:sz w:val="24"/>
      <w:szCs w:val="24"/>
      <w:lang w:eastAsia="es-CO"/>
    </w:rPr>
  </w:style>
  <w:style w:type="paragraph" w:customStyle="1" w:styleId="xl102">
    <w:name w:val="xl102"/>
    <w:basedOn w:val="Normal"/>
    <w:rsid w:val="00AC30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Arial" w:eastAsia="Times New Roman" w:hAnsi="Arial" w:cs="Arial"/>
      <w:b/>
      <w:bCs/>
      <w:color w:val="000000"/>
      <w:sz w:val="24"/>
      <w:szCs w:val="24"/>
      <w:lang w:eastAsia="es-CO"/>
    </w:rPr>
  </w:style>
  <w:style w:type="paragraph" w:customStyle="1" w:styleId="xl103">
    <w:name w:val="xl103"/>
    <w:basedOn w:val="Normal"/>
    <w:rsid w:val="00AC30E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Arial" w:eastAsia="Times New Roman" w:hAnsi="Arial" w:cs="Arial"/>
      <w:b/>
      <w:bCs/>
      <w:sz w:val="24"/>
      <w:szCs w:val="24"/>
      <w:lang w:eastAsia="es-CO"/>
    </w:rPr>
  </w:style>
  <w:style w:type="paragraph" w:customStyle="1" w:styleId="xl104">
    <w:name w:val="xl104"/>
    <w:basedOn w:val="Normal"/>
    <w:rsid w:val="00AC30EC"/>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Arial" w:eastAsia="Times New Roman" w:hAnsi="Arial" w:cs="Arial"/>
      <w:color w:val="000000"/>
      <w:sz w:val="24"/>
      <w:szCs w:val="24"/>
      <w:lang w:eastAsia="es-CO"/>
    </w:rPr>
  </w:style>
  <w:style w:type="paragraph" w:customStyle="1" w:styleId="xl105">
    <w:name w:val="xl105"/>
    <w:basedOn w:val="Normal"/>
    <w:rsid w:val="00AC30E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Arial" w:eastAsia="Times New Roman" w:hAnsi="Arial" w:cs="Arial"/>
      <w:sz w:val="16"/>
      <w:szCs w:val="16"/>
      <w:lang w:eastAsia="es-CO"/>
    </w:rPr>
  </w:style>
  <w:style w:type="paragraph" w:customStyle="1" w:styleId="Contenidodelatabla">
    <w:name w:val="Contenido de la tabla"/>
    <w:basedOn w:val="Normal"/>
    <w:uiPriority w:val="99"/>
    <w:qFormat/>
    <w:rsid w:val="00AC30EC"/>
    <w:pPr>
      <w:suppressLineNumbers/>
      <w:spacing w:after="0" w:line="240" w:lineRule="auto"/>
    </w:pPr>
    <w:rPr>
      <w:rFonts w:ascii="Liberation Serif" w:eastAsia="SimSun" w:hAnsi="Liberation Serif" w:cs="Mangal"/>
      <w:sz w:val="24"/>
      <w:szCs w:val="24"/>
      <w:lang w:eastAsia="zh-CN" w:bidi="hi-IN"/>
    </w:rPr>
  </w:style>
  <w:style w:type="character" w:styleId="Ttulodellibro">
    <w:name w:val="Book Title"/>
    <w:uiPriority w:val="33"/>
    <w:qFormat/>
    <w:rsid w:val="00AC30EC"/>
    <w:rPr>
      <w:b/>
      <w:bCs/>
      <w:smallCaps/>
      <w:color w:val="215868"/>
      <w:spacing w:val="5"/>
      <w:sz w:val="32"/>
    </w:rPr>
  </w:style>
  <w:style w:type="character" w:customStyle="1" w:styleId="apple-converted-space">
    <w:name w:val="apple-converted-space"/>
    <w:rsid w:val="00AC30EC"/>
  </w:style>
  <w:style w:type="table" w:customStyle="1" w:styleId="Tabladecuadrcula1clara1">
    <w:name w:val="Tabla de cuadrícula 1 clara1"/>
    <w:basedOn w:val="Tablanormal"/>
    <w:uiPriority w:val="46"/>
    <w:rsid w:val="00AC30EC"/>
    <w:pPr>
      <w:spacing w:after="0" w:line="240" w:lineRule="auto"/>
    </w:pPr>
    <w:rPr>
      <w:rFonts w:ascii="Times New Roman" w:eastAsia="Times New Roman" w:hAnsi="Times New Roman" w:cs="Times New Roman"/>
      <w:sz w:val="20"/>
      <w:szCs w:val="20"/>
      <w:lang w:val="es-ES" w:eastAsia="zh-TW"/>
    </w:r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Textoennegrita">
    <w:name w:val="Strong"/>
    <w:basedOn w:val="Fuentedeprrafopredeter"/>
    <w:qFormat/>
    <w:rsid w:val="00AC30EC"/>
    <w:rPr>
      <w:b/>
      <w:bCs/>
    </w:rPr>
  </w:style>
  <w:style w:type="table" w:customStyle="1" w:styleId="Tabladecuadrcula6concolores1">
    <w:name w:val="Tabla de cuadrícula 6 con colores1"/>
    <w:basedOn w:val="Tablanormal"/>
    <w:uiPriority w:val="51"/>
    <w:rsid w:val="00AC30E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Modelo">
    <w:name w:val="Modelo"/>
    <w:basedOn w:val="Prrafodelista"/>
    <w:qFormat/>
    <w:rsid w:val="00AC30EC"/>
    <w:pPr>
      <w:numPr>
        <w:numId w:val="35"/>
      </w:numPr>
      <w:tabs>
        <w:tab w:val="num" w:pos="360"/>
      </w:tabs>
      <w:spacing w:line="256" w:lineRule="auto"/>
      <w:ind w:left="720" w:firstLine="0"/>
    </w:pPr>
    <w:rPr>
      <w:rFonts w:ascii="Arial" w:hAnsi="Arial" w:cs="Arial"/>
      <w:b/>
      <w:sz w:val="24"/>
    </w:rPr>
  </w:style>
  <w:style w:type="paragraph" w:customStyle="1" w:styleId="Modelo2">
    <w:name w:val="Modelo2"/>
    <w:basedOn w:val="Prrafodelista"/>
    <w:qFormat/>
    <w:rsid w:val="00AC30EC"/>
    <w:pPr>
      <w:numPr>
        <w:ilvl w:val="1"/>
        <w:numId w:val="35"/>
      </w:numPr>
      <w:tabs>
        <w:tab w:val="num" w:pos="360"/>
      </w:tabs>
      <w:spacing w:line="256" w:lineRule="auto"/>
      <w:ind w:left="720" w:firstLine="0"/>
    </w:pPr>
    <w:rPr>
      <w:rFonts w:ascii="Arial" w:hAnsi="Arial" w:cs="Arial"/>
      <w:b/>
    </w:rPr>
  </w:style>
  <w:style w:type="paragraph" w:customStyle="1" w:styleId="Modelo3">
    <w:name w:val="Modelo 3"/>
    <w:basedOn w:val="Prrafodelista"/>
    <w:qFormat/>
    <w:rsid w:val="00AC30EC"/>
    <w:pPr>
      <w:numPr>
        <w:ilvl w:val="2"/>
        <w:numId w:val="35"/>
      </w:numPr>
      <w:tabs>
        <w:tab w:val="num" w:pos="360"/>
      </w:tabs>
      <w:spacing w:line="256" w:lineRule="auto"/>
      <w:ind w:left="720" w:firstLine="0"/>
    </w:pPr>
    <w:rPr>
      <w:rFonts w:ascii="Arial" w:hAnsi="Arial" w:cs="Arial"/>
      <w:b/>
    </w:rPr>
  </w:style>
  <w:style w:type="character" w:customStyle="1" w:styleId="Modelo4Car">
    <w:name w:val="Modelo 4 Car"/>
    <w:basedOn w:val="Fuentedeprrafopredeter"/>
    <w:link w:val="Modelo4"/>
    <w:locked/>
    <w:rsid w:val="00AC30EC"/>
    <w:rPr>
      <w:rFonts w:ascii="Arial" w:hAnsi="Arial" w:cs="Arial"/>
      <w:b/>
    </w:rPr>
  </w:style>
  <w:style w:type="paragraph" w:customStyle="1" w:styleId="Modelo4">
    <w:name w:val="Modelo 4"/>
    <w:basedOn w:val="Prrafodelista"/>
    <w:link w:val="Modelo4Car"/>
    <w:qFormat/>
    <w:rsid w:val="00AC30EC"/>
    <w:pPr>
      <w:numPr>
        <w:ilvl w:val="3"/>
        <w:numId w:val="35"/>
      </w:numPr>
      <w:spacing w:line="256" w:lineRule="auto"/>
      <w:jc w:val="both"/>
    </w:pPr>
    <w:rPr>
      <w:rFonts w:ascii="Arial" w:hAnsi="Arial" w:cs="Arial"/>
      <w:b/>
    </w:rPr>
  </w:style>
  <w:style w:type="character" w:customStyle="1" w:styleId="Smbolodenotaalpie">
    <w:name w:val="Símbolo de nota al pie"/>
    <w:rsid w:val="00AC30EC"/>
    <w:rPr>
      <w:vertAlign w:val="superscript"/>
    </w:rPr>
  </w:style>
  <w:style w:type="paragraph" w:customStyle="1" w:styleId="TextBody">
    <w:name w:val="Text Body"/>
    <w:basedOn w:val="Normal"/>
    <w:unhideWhenUsed/>
    <w:rsid w:val="00AC30EC"/>
    <w:pPr>
      <w:suppressAutoHyphens/>
      <w:spacing w:after="120" w:line="288" w:lineRule="auto"/>
    </w:pPr>
    <w:rPr>
      <w:rFonts w:ascii="Times New Roman" w:eastAsia="Times New Roman" w:hAnsi="Times New Roman" w:cs="Times New Roman"/>
      <w:sz w:val="20"/>
      <w:szCs w:val="20"/>
      <w:lang w:val="en-US" w:eastAsia="es-ES"/>
    </w:rPr>
  </w:style>
  <w:style w:type="character" w:customStyle="1" w:styleId="FootnoteAnchor">
    <w:name w:val="Footnote Anchor"/>
    <w:rsid w:val="00AC30EC"/>
    <w:rPr>
      <w:vertAlign w:val="superscript"/>
    </w:rPr>
  </w:style>
  <w:style w:type="paragraph" w:customStyle="1" w:styleId="Grfico">
    <w:name w:val="Gráfico"/>
    <w:basedOn w:val="Normal"/>
    <w:next w:val="Normal"/>
    <w:rsid w:val="00AC30EC"/>
    <w:pPr>
      <w:suppressAutoHyphens/>
      <w:spacing w:after="0" w:line="240" w:lineRule="auto"/>
      <w:jc w:val="both"/>
    </w:pPr>
    <w:rPr>
      <w:rFonts w:ascii="Arial" w:eastAsia="Times New Roman" w:hAnsi="Arial" w:cs="Times New Roman"/>
      <w:b/>
      <w:szCs w:val="24"/>
      <w:lang w:val="es-ES" w:eastAsia="es-ES"/>
    </w:rPr>
  </w:style>
  <w:style w:type="paragraph" w:customStyle="1" w:styleId="Footnote">
    <w:name w:val="Footnote"/>
    <w:basedOn w:val="Normal"/>
    <w:rsid w:val="00AC30EC"/>
    <w:pPr>
      <w:suppressAutoHyphens/>
      <w:spacing w:after="0" w:line="240" w:lineRule="auto"/>
    </w:pPr>
    <w:rPr>
      <w:rFonts w:ascii="Times New Roman" w:eastAsia="Times New Roman" w:hAnsi="Times New Roman" w:cs="Times New Roman"/>
      <w:sz w:val="20"/>
      <w:szCs w:val="20"/>
      <w:lang w:val="en-US" w:eastAsia="es-ES"/>
    </w:rPr>
  </w:style>
  <w:style w:type="paragraph" w:customStyle="1" w:styleId="Textoindependiente31">
    <w:name w:val="Texto independiente 31"/>
    <w:basedOn w:val="Normal"/>
    <w:uiPriority w:val="99"/>
    <w:rsid w:val="00AC30EC"/>
    <w:pPr>
      <w:spacing w:after="0" w:line="240" w:lineRule="auto"/>
      <w:jc w:val="both"/>
    </w:pPr>
    <w:rPr>
      <w:rFonts w:ascii="Arial" w:eastAsia="Times New Roman" w:hAnsi="Arial" w:cs="Times New Roman"/>
      <w:sz w:val="24"/>
      <w:szCs w:val="24"/>
      <w:lang w:val="es-ES_tradnl" w:eastAsia="es-ES"/>
    </w:rPr>
  </w:style>
  <w:style w:type="paragraph" w:customStyle="1" w:styleId="TextoDEE">
    <w:name w:val="Texto DEE"/>
    <w:basedOn w:val="Normal"/>
    <w:rsid w:val="00AC30EC"/>
    <w:pPr>
      <w:spacing w:after="0" w:line="240" w:lineRule="auto"/>
      <w:jc w:val="both"/>
    </w:pPr>
    <w:rPr>
      <w:rFonts w:ascii="Times New Roman" w:eastAsia="Times New Roman" w:hAnsi="Times New Roman" w:cs="Times New Roman"/>
      <w:szCs w:val="24"/>
      <w:lang w:val="es-ES" w:eastAsia="es-ES"/>
    </w:rPr>
  </w:style>
  <w:style w:type="paragraph" w:customStyle="1" w:styleId="txt-azul-subtitulos">
    <w:name w:val="txt-azul-subtitulos"/>
    <w:basedOn w:val="Normal"/>
    <w:rsid w:val="00AC30EC"/>
    <w:pPr>
      <w:spacing w:before="100" w:beforeAutospacing="1" w:after="100" w:afterAutospacing="1" w:line="240" w:lineRule="auto"/>
    </w:pPr>
    <w:rPr>
      <w:rFonts w:ascii="Arial" w:eastAsia="Times New Roman" w:hAnsi="Arial" w:cs="Arial"/>
      <w:b/>
      <w:bCs/>
      <w:color w:val="5B80A8"/>
      <w:sz w:val="19"/>
      <w:szCs w:val="19"/>
      <w:lang w:eastAsia="es-CO"/>
    </w:rPr>
  </w:style>
  <w:style w:type="paragraph" w:customStyle="1" w:styleId="m-3003901451555231217m-2390489602236530554msoplaintext">
    <w:name w:val="m_-3003901451555231217m_-2390489602236530554msoplaintext"/>
    <w:basedOn w:val="Normal"/>
    <w:rsid w:val="00AC30EC"/>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m341632753191749917gmail-msolistparagraph">
    <w:name w:val="m_341632753191749917gmail-msolistparagraph"/>
    <w:basedOn w:val="Normal"/>
    <w:rsid w:val="00AC30EC"/>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msonormal">
    <w:name w:val="x_msonormal"/>
    <w:basedOn w:val="Normal"/>
    <w:rsid w:val="00AC30EC"/>
    <w:pPr>
      <w:spacing w:before="100" w:beforeAutospacing="1" w:after="100" w:afterAutospacing="1" w:line="240" w:lineRule="auto"/>
    </w:pPr>
    <w:rPr>
      <w:rFonts w:ascii="Times New Roman" w:hAnsi="Times New Roman" w:cs="Times New Roman"/>
      <w:sz w:val="24"/>
      <w:szCs w:val="24"/>
      <w:lang w:val="es-ES_tradnl" w:eastAsia="es-ES_tradnl"/>
    </w:rPr>
  </w:style>
  <w:style w:type="paragraph" w:customStyle="1" w:styleId="xgmail-msolistparagraph">
    <w:name w:val="x_gmail-msolistparagraph"/>
    <w:basedOn w:val="Normal"/>
    <w:rsid w:val="00AC30EC"/>
    <w:pPr>
      <w:spacing w:before="100" w:beforeAutospacing="1" w:after="100" w:afterAutospacing="1" w:line="240" w:lineRule="auto"/>
    </w:pPr>
    <w:rPr>
      <w:rFonts w:ascii="Times New Roman" w:hAnsi="Times New Roman" w:cs="Times New Roman"/>
      <w:sz w:val="24"/>
      <w:szCs w:val="24"/>
      <w:lang w:val="es-ES_tradnl" w:eastAsia="es-ES_tradnl"/>
    </w:rPr>
  </w:style>
  <w:style w:type="character" w:customStyle="1" w:styleId="xapple-converted-space">
    <w:name w:val="x_apple-converted-space"/>
    <w:basedOn w:val="Fuentedeprrafopredeter"/>
    <w:rsid w:val="00AC30EC"/>
  </w:style>
  <w:style w:type="paragraph" w:customStyle="1" w:styleId="FUENTES">
    <w:name w:val="FUENTES"/>
    <w:basedOn w:val="Normal"/>
    <w:autoRedefine/>
    <w:qFormat/>
    <w:rsid w:val="00AC30EC"/>
    <w:pPr>
      <w:widowControl w:val="0"/>
      <w:autoSpaceDE w:val="0"/>
      <w:autoSpaceDN w:val="0"/>
      <w:adjustRightInd w:val="0"/>
      <w:spacing w:after="0" w:line="360" w:lineRule="auto"/>
      <w:jc w:val="center"/>
    </w:pPr>
    <w:rPr>
      <w:rFonts w:ascii="Times New Roman" w:eastAsia="Times New Roman" w:hAnsi="Times New Roman" w:cs="Calibri"/>
      <w:i/>
      <w:color w:val="000000" w:themeColor="text1"/>
      <w:sz w:val="20"/>
      <w:szCs w:val="24"/>
      <w:lang w:eastAsia="es-ES"/>
    </w:rPr>
  </w:style>
  <w:style w:type="table" w:styleId="Tablabsica1">
    <w:name w:val="Table Simple 1"/>
    <w:basedOn w:val="Tablanormal"/>
    <w:rsid w:val="00AC30EC"/>
    <w:pPr>
      <w:widowControl w:val="0"/>
      <w:spacing w:after="0" w:line="240" w:lineRule="auto"/>
      <w:jc w:val="both"/>
    </w:pPr>
    <w:rPr>
      <w:rFonts w:ascii="Times New Roman" w:eastAsia="Times New Roman" w:hAnsi="Times New Roman" w:cs="Times New Roman"/>
      <w:szCs w:val="20"/>
      <w:lang w:eastAsia="es-CO"/>
    </w:rPr>
    <w:tblPr>
      <w:jc w:val="center"/>
      <w:tblBorders>
        <w:top w:val="single" w:sz="4" w:space="0" w:color="auto"/>
        <w:bottom w:val="single" w:sz="4" w:space="0" w:color="auto"/>
      </w:tblBorders>
    </w:tblPr>
    <w:trPr>
      <w:jc w:val="center"/>
    </w:trPr>
    <w:tcPr>
      <w:shd w:val="clear" w:color="auto" w:fill="auto"/>
    </w:tcPr>
    <w:tblStylePr w:type="firstRow">
      <w:tblPr/>
      <w:tcPr>
        <w:tcBorders>
          <w:bottom w:val="single" w:sz="4" w:space="0" w:color="auto"/>
        </w:tcBorders>
        <w:shd w:val="clear" w:color="auto" w:fill="auto"/>
      </w:tcPr>
    </w:tblStylePr>
    <w:tblStylePr w:type="lastRow">
      <w:tblPr/>
      <w:tcPr>
        <w:tcBorders>
          <w:top w:val="single" w:sz="4" w:space="0" w:color="auto"/>
        </w:tcBorders>
        <w:shd w:val="clear" w:color="auto" w:fill="auto"/>
      </w:tcPr>
    </w:tblStylePr>
  </w:style>
  <w:style w:type="table" w:customStyle="1" w:styleId="Tablabsica13">
    <w:name w:val="Tabla básica 13"/>
    <w:basedOn w:val="Tablanormal"/>
    <w:next w:val="Tablabsica1"/>
    <w:rsid w:val="00AC30EC"/>
    <w:pPr>
      <w:widowControl w:val="0"/>
      <w:spacing w:after="0" w:line="240" w:lineRule="auto"/>
      <w:jc w:val="both"/>
    </w:pPr>
    <w:rPr>
      <w:rFonts w:ascii="Times New Roman" w:eastAsia="Times New Roman" w:hAnsi="Times New Roman" w:cs="Times New Roman"/>
      <w:szCs w:val="20"/>
      <w:lang w:val="co-FR" w:eastAsia="co-FR"/>
    </w:rPr>
    <w:tblPr>
      <w:jc w:val="center"/>
      <w:tblBorders>
        <w:top w:val="single" w:sz="4" w:space="0" w:color="auto"/>
        <w:bottom w:val="single" w:sz="4" w:space="0" w:color="auto"/>
      </w:tblBorders>
    </w:tblPr>
    <w:trPr>
      <w:jc w:val="center"/>
    </w:trPr>
    <w:tcPr>
      <w:shd w:val="clear" w:color="auto" w:fill="auto"/>
    </w:tcPr>
    <w:tblStylePr w:type="firstRow">
      <w:tblPr/>
      <w:tcPr>
        <w:tcBorders>
          <w:bottom w:val="single" w:sz="4" w:space="0" w:color="auto"/>
        </w:tcBorders>
        <w:shd w:val="clear" w:color="auto" w:fill="auto"/>
      </w:tcPr>
    </w:tblStylePr>
    <w:tblStylePr w:type="lastRow">
      <w:tblPr/>
      <w:tcPr>
        <w:tcBorders>
          <w:top w:val="single" w:sz="4" w:space="0" w:color="auto"/>
        </w:tcBorders>
        <w:shd w:val="clear" w:color="auto" w:fill="auto"/>
      </w:tcPr>
    </w:tblStylePr>
  </w:style>
  <w:style w:type="paragraph" w:customStyle="1" w:styleId="VilletaPunto">
    <w:name w:val="VilletaPunto"/>
    <w:basedOn w:val="Prrafodelista"/>
    <w:autoRedefine/>
    <w:qFormat/>
    <w:rsid w:val="00AC30EC"/>
    <w:pPr>
      <w:spacing w:after="200" w:line="240" w:lineRule="auto"/>
      <w:ind w:left="1080" w:hanging="360"/>
      <w:jc w:val="both"/>
    </w:pPr>
    <w:rPr>
      <w:rFonts w:ascii="Arial" w:eastAsia="Calibri" w:hAnsi="Arial" w:cs="Times New Roman"/>
      <w:sz w:val="20"/>
    </w:rPr>
  </w:style>
  <w:style w:type="paragraph" w:customStyle="1" w:styleId="Normal1">
    <w:name w:val="Normal1"/>
    <w:rsid w:val="00AC30EC"/>
    <w:pPr>
      <w:pBdr>
        <w:top w:val="nil"/>
        <w:left w:val="nil"/>
        <w:bottom w:val="nil"/>
        <w:right w:val="nil"/>
        <w:between w:val="nil"/>
      </w:pBdr>
      <w:spacing w:before="180" w:after="140" w:line="240" w:lineRule="auto"/>
      <w:jc w:val="both"/>
    </w:pPr>
    <w:rPr>
      <w:rFonts w:ascii="Arial" w:eastAsia="Arial" w:hAnsi="Arial" w:cs="Arial"/>
      <w:color w:val="000000"/>
      <w:sz w:val="20"/>
      <w:szCs w:val="20"/>
      <w:lang w:eastAsia="es-CO"/>
    </w:rPr>
  </w:style>
  <w:style w:type="paragraph" w:customStyle="1" w:styleId="Sinespaciado1">
    <w:name w:val="Sin espaciado1"/>
    <w:basedOn w:val="Normal"/>
    <w:uiPriority w:val="99"/>
    <w:rsid w:val="00AC30EC"/>
    <w:pPr>
      <w:suppressAutoHyphens/>
      <w:spacing w:after="0" w:line="240" w:lineRule="auto"/>
      <w:jc w:val="both"/>
    </w:pPr>
    <w:rPr>
      <w:rFonts w:ascii="Calibri" w:eastAsia="Times New Roman" w:hAnsi="Calibri" w:cs="Times New Roman"/>
      <w:sz w:val="20"/>
      <w:szCs w:val="20"/>
      <w:lang w:eastAsia="ar-SA"/>
    </w:rPr>
  </w:style>
  <w:style w:type="character" w:customStyle="1" w:styleId="oecurrencyvalue">
    <w:name w:val="oe_currency_value"/>
    <w:basedOn w:val="Fuentedeprrafopredeter"/>
    <w:rsid w:val="00AC30EC"/>
  </w:style>
  <w:style w:type="character" w:styleId="Hipervnculovisitado">
    <w:name w:val="FollowedHyperlink"/>
    <w:basedOn w:val="Fuentedeprrafopredeter"/>
    <w:semiHidden/>
    <w:unhideWhenUsed/>
    <w:rsid w:val="00AC30EC"/>
    <w:rPr>
      <w:color w:val="800080"/>
      <w:u w:val="single"/>
    </w:rPr>
  </w:style>
  <w:style w:type="character" w:styleId="nfasis">
    <w:name w:val="Emphasis"/>
    <w:basedOn w:val="Fuentedeprrafopredeter"/>
    <w:qFormat/>
    <w:rsid w:val="00AC30EC"/>
    <w:rPr>
      <w:b/>
      <w:bCs/>
      <w:i w:val="0"/>
      <w:iCs w:val="0"/>
    </w:rPr>
  </w:style>
  <w:style w:type="character" w:customStyle="1" w:styleId="Ttulo1Car1">
    <w:name w:val="Título 1 Car1"/>
    <w:aliases w:val="Título 1-BCN Car,Edgar 1 Car,1 ghost Car,g Car,1. Título 1 Car,Título 1A Car,massive Car,Título 11 Car,Titre principal (1) Car"/>
    <w:basedOn w:val="Fuentedeprrafopredeter"/>
    <w:locked/>
    <w:rsid w:val="00AC30EC"/>
    <w:rPr>
      <w:rFonts w:ascii="Arial" w:eastAsia="Times New Roman" w:hAnsi="Arial" w:cs="Times New Roman"/>
      <w:sz w:val="24"/>
      <w:szCs w:val="20"/>
      <w:lang w:val="es-ES" w:eastAsia="es-ES"/>
    </w:rPr>
  </w:style>
  <w:style w:type="paragraph" w:styleId="HTMLconformatoprevio">
    <w:name w:val="HTML Preformatted"/>
    <w:basedOn w:val="Normal"/>
    <w:link w:val="HTMLconformatoprevioCar"/>
    <w:semiHidden/>
    <w:unhideWhenUsed/>
    <w:rsid w:val="00AC30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S" w:eastAsia="es-ES"/>
    </w:rPr>
  </w:style>
  <w:style w:type="character" w:customStyle="1" w:styleId="HTMLconformatoprevioCar">
    <w:name w:val="HTML con formato previo Car"/>
    <w:basedOn w:val="Fuentedeprrafopredeter"/>
    <w:link w:val="HTMLconformatoprevio"/>
    <w:semiHidden/>
    <w:rsid w:val="00AC30EC"/>
    <w:rPr>
      <w:rFonts w:ascii="Courier New" w:eastAsia="Times New Roman" w:hAnsi="Courier New" w:cs="Courier New"/>
      <w:sz w:val="20"/>
      <w:szCs w:val="20"/>
      <w:lang w:val="es-ES" w:eastAsia="es-ES"/>
    </w:rPr>
  </w:style>
  <w:style w:type="paragraph" w:styleId="ndice1">
    <w:name w:val="index 1"/>
    <w:basedOn w:val="Normal"/>
    <w:next w:val="Normal"/>
    <w:autoRedefine/>
    <w:uiPriority w:val="99"/>
    <w:semiHidden/>
    <w:unhideWhenUsed/>
    <w:rsid w:val="00AC30EC"/>
    <w:pPr>
      <w:spacing w:after="0" w:line="240" w:lineRule="auto"/>
      <w:ind w:left="240" w:hanging="240"/>
    </w:pPr>
    <w:rPr>
      <w:rFonts w:ascii="Arial" w:eastAsia="Times New Roman" w:hAnsi="Arial" w:cs="Times New Roman"/>
      <w:sz w:val="20"/>
      <w:szCs w:val="24"/>
      <w:lang w:val="es-ES" w:eastAsia="es-ES"/>
    </w:rPr>
  </w:style>
  <w:style w:type="paragraph" w:styleId="Lista">
    <w:name w:val="List"/>
    <w:basedOn w:val="Normal"/>
    <w:uiPriority w:val="99"/>
    <w:semiHidden/>
    <w:unhideWhenUsed/>
    <w:rsid w:val="00AC30EC"/>
    <w:pPr>
      <w:spacing w:after="0" w:line="240" w:lineRule="auto"/>
      <w:ind w:left="283" w:hanging="283"/>
    </w:pPr>
    <w:rPr>
      <w:rFonts w:ascii="Futura Md BT" w:eastAsia="Times New Roman" w:hAnsi="Futura Md BT" w:cs="Times New Roman"/>
      <w:sz w:val="24"/>
      <w:szCs w:val="20"/>
      <w:lang w:val="es-ES" w:eastAsia="es-ES"/>
    </w:rPr>
  </w:style>
  <w:style w:type="paragraph" w:styleId="Listaconvietas">
    <w:name w:val="List Bullet"/>
    <w:basedOn w:val="Normal"/>
    <w:uiPriority w:val="99"/>
    <w:semiHidden/>
    <w:unhideWhenUsed/>
    <w:rsid w:val="00AC30EC"/>
    <w:pPr>
      <w:numPr>
        <w:numId w:val="41"/>
      </w:numPr>
      <w:spacing w:after="0" w:line="240" w:lineRule="auto"/>
    </w:pPr>
    <w:rPr>
      <w:rFonts w:ascii="Times New Roman" w:eastAsia="Times New Roman" w:hAnsi="Times New Roman" w:cs="Times New Roman"/>
      <w:sz w:val="24"/>
      <w:szCs w:val="24"/>
      <w:lang w:val="es-ES" w:eastAsia="es-ES"/>
    </w:rPr>
  </w:style>
  <w:style w:type="paragraph" w:styleId="Sangradetextonormal">
    <w:name w:val="Body Text Indent"/>
    <w:basedOn w:val="Normal"/>
    <w:link w:val="SangradetextonormalCar"/>
    <w:uiPriority w:val="99"/>
    <w:semiHidden/>
    <w:unhideWhenUsed/>
    <w:rsid w:val="00AC30EC"/>
    <w:pPr>
      <w:spacing w:after="0" w:line="240" w:lineRule="auto"/>
      <w:ind w:left="7088" w:firstLine="561"/>
      <w:jc w:val="both"/>
    </w:pPr>
    <w:rPr>
      <w:rFonts w:ascii="Futura Md BT" w:eastAsia="Times New Roman" w:hAnsi="Futura Md BT" w:cs="Times New Roman"/>
      <w:sz w:val="24"/>
      <w:szCs w:val="20"/>
      <w:lang w:val="es-ES" w:eastAsia="es-ES"/>
    </w:rPr>
  </w:style>
  <w:style w:type="character" w:customStyle="1" w:styleId="SangradetextonormalCar">
    <w:name w:val="Sangría de texto normal Car"/>
    <w:basedOn w:val="Fuentedeprrafopredeter"/>
    <w:link w:val="Sangradetextonormal"/>
    <w:uiPriority w:val="99"/>
    <w:semiHidden/>
    <w:rsid w:val="00AC30EC"/>
    <w:rPr>
      <w:rFonts w:ascii="Futura Md BT" w:eastAsia="Times New Roman" w:hAnsi="Futura Md BT" w:cs="Times New Roman"/>
      <w:sz w:val="24"/>
      <w:szCs w:val="20"/>
      <w:lang w:val="es-ES" w:eastAsia="es-ES"/>
    </w:rPr>
  </w:style>
  <w:style w:type="paragraph" w:styleId="Subttulo">
    <w:name w:val="Subtitle"/>
    <w:basedOn w:val="Normal"/>
    <w:next w:val="Textoindependiente"/>
    <w:link w:val="SubttuloCar"/>
    <w:uiPriority w:val="99"/>
    <w:qFormat/>
    <w:rsid w:val="00AC30EC"/>
    <w:pPr>
      <w:tabs>
        <w:tab w:val="left" w:pos="567"/>
      </w:tabs>
      <w:suppressAutoHyphens/>
      <w:spacing w:after="0" w:line="240" w:lineRule="auto"/>
      <w:ind w:left="567" w:right="51" w:hanging="567"/>
      <w:jc w:val="both"/>
    </w:pPr>
    <w:rPr>
      <w:rFonts w:ascii="Arial" w:eastAsia="Times New Roman" w:hAnsi="Arial" w:cs="Times New Roman"/>
      <w:b/>
      <w:color w:val="000000"/>
      <w:sz w:val="20"/>
      <w:szCs w:val="20"/>
      <w:lang w:eastAsia="ar-SA"/>
    </w:rPr>
  </w:style>
  <w:style w:type="character" w:customStyle="1" w:styleId="SubttuloCar">
    <w:name w:val="Subtítulo Car"/>
    <w:basedOn w:val="Fuentedeprrafopredeter"/>
    <w:link w:val="Subttulo"/>
    <w:uiPriority w:val="99"/>
    <w:rsid w:val="00AC30EC"/>
    <w:rPr>
      <w:rFonts w:ascii="Arial" w:eastAsia="Times New Roman" w:hAnsi="Arial" w:cs="Times New Roman"/>
      <w:b/>
      <w:color w:val="000000"/>
      <w:sz w:val="20"/>
      <w:szCs w:val="20"/>
      <w:lang w:eastAsia="ar-SA"/>
    </w:rPr>
  </w:style>
  <w:style w:type="paragraph" w:styleId="Saludo">
    <w:name w:val="Salutation"/>
    <w:basedOn w:val="Normal"/>
    <w:next w:val="Normal"/>
    <w:link w:val="SaludoCar"/>
    <w:uiPriority w:val="99"/>
    <w:semiHidden/>
    <w:unhideWhenUsed/>
    <w:rsid w:val="00AC30EC"/>
    <w:pPr>
      <w:spacing w:after="0" w:line="240" w:lineRule="auto"/>
    </w:pPr>
    <w:rPr>
      <w:rFonts w:ascii="Futura Md BT" w:eastAsia="Times New Roman" w:hAnsi="Futura Md BT" w:cs="Times New Roman"/>
      <w:sz w:val="24"/>
      <w:szCs w:val="20"/>
      <w:lang w:val="es-ES" w:eastAsia="es-ES"/>
    </w:rPr>
  </w:style>
  <w:style w:type="character" w:customStyle="1" w:styleId="SaludoCar">
    <w:name w:val="Saludo Car"/>
    <w:basedOn w:val="Fuentedeprrafopredeter"/>
    <w:link w:val="Saludo"/>
    <w:uiPriority w:val="99"/>
    <w:semiHidden/>
    <w:rsid w:val="00AC30EC"/>
    <w:rPr>
      <w:rFonts w:ascii="Futura Md BT" w:eastAsia="Times New Roman" w:hAnsi="Futura Md BT" w:cs="Times New Roman"/>
      <w:sz w:val="24"/>
      <w:szCs w:val="20"/>
      <w:lang w:val="es-ES" w:eastAsia="es-ES"/>
    </w:rPr>
  </w:style>
  <w:style w:type="paragraph" w:styleId="Textoindependiente2">
    <w:name w:val="Body Text 2"/>
    <w:basedOn w:val="Normal"/>
    <w:link w:val="Textoindependiente2Car"/>
    <w:uiPriority w:val="99"/>
    <w:semiHidden/>
    <w:unhideWhenUsed/>
    <w:rsid w:val="00AC30EC"/>
    <w:pPr>
      <w:spacing w:after="0" w:line="240" w:lineRule="auto"/>
      <w:jc w:val="both"/>
    </w:pPr>
    <w:rPr>
      <w:rFonts w:ascii="Futura Md BT" w:eastAsia="Times New Roman" w:hAnsi="Futura Md BT" w:cs="Times New Roman"/>
      <w:szCs w:val="20"/>
      <w:lang w:val="es-ES" w:eastAsia="es-ES"/>
    </w:rPr>
  </w:style>
  <w:style w:type="character" w:customStyle="1" w:styleId="Textoindependiente2Car">
    <w:name w:val="Texto independiente 2 Car"/>
    <w:basedOn w:val="Fuentedeprrafopredeter"/>
    <w:link w:val="Textoindependiente2"/>
    <w:uiPriority w:val="99"/>
    <w:semiHidden/>
    <w:rsid w:val="00AC30EC"/>
    <w:rPr>
      <w:rFonts w:ascii="Futura Md BT" w:eastAsia="Times New Roman" w:hAnsi="Futura Md BT" w:cs="Times New Roman"/>
      <w:szCs w:val="20"/>
      <w:lang w:val="es-ES" w:eastAsia="es-ES"/>
    </w:rPr>
  </w:style>
  <w:style w:type="paragraph" w:styleId="Textoindependiente3">
    <w:name w:val="Body Text 3"/>
    <w:basedOn w:val="Normal"/>
    <w:link w:val="Textoindependiente3Car"/>
    <w:uiPriority w:val="99"/>
    <w:semiHidden/>
    <w:unhideWhenUsed/>
    <w:rsid w:val="00AC30EC"/>
    <w:pPr>
      <w:spacing w:after="120" w:line="240" w:lineRule="auto"/>
    </w:pPr>
    <w:rPr>
      <w:rFonts w:ascii="Times New Roman" w:eastAsia="Times New Roman" w:hAnsi="Times New Roman" w:cs="Times New Roman"/>
      <w:sz w:val="16"/>
      <w:szCs w:val="16"/>
      <w:lang w:val="es-ES" w:eastAsia="es-ES"/>
    </w:rPr>
  </w:style>
  <w:style w:type="character" w:customStyle="1" w:styleId="Textoindependiente3Car">
    <w:name w:val="Texto independiente 3 Car"/>
    <w:basedOn w:val="Fuentedeprrafopredeter"/>
    <w:link w:val="Textoindependiente3"/>
    <w:uiPriority w:val="99"/>
    <w:semiHidden/>
    <w:rsid w:val="00AC30EC"/>
    <w:rPr>
      <w:rFonts w:ascii="Times New Roman" w:eastAsia="Times New Roman" w:hAnsi="Times New Roman" w:cs="Times New Roman"/>
      <w:sz w:val="16"/>
      <w:szCs w:val="16"/>
      <w:lang w:val="es-ES" w:eastAsia="es-ES"/>
    </w:rPr>
  </w:style>
  <w:style w:type="paragraph" w:styleId="Sangra2detindependiente">
    <w:name w:val="Body Text Indent 2"/>
    <w:basedOn w:val="Normal"/>
    <w:link w:val="Sangra2detindependienteCar"/>
    <w:uiPriority w:val="99"/>
    <w:semiHidden/>
    <w:unhideWhenUsed/>
    <w:rsid w:val="00AC30EC"/>
    <w:pPr>
      <w:spacing w:after="0" w:line="240" w:lineRule="auto"/>
      <w:ind w:left="2124" w:hanging="2124"/>
    </w:pPr>
    <w:rPr>
      <w:rFonts w:ascii="Futura Md BT" w:eastAsia="Times New Roman" w:hAnsi="Futura Md BT" w:cs="Times New Roman"/>
      <w:sz w:val="24"/>
      <w:szCs w:val="20"/>
      <w:lang w:val="es-ES" w:eastAsia="es-ES"/>
    </w:rPr>
  </w:style>
  <w:style w:type="character" w:customStyle="1" w:styleId="Sangra2detindependienteCar">
    <w:name w:val="Sangría 2 de t. independiente Car"/>
    <w:basedOn w:val="Fuentedeprrafopredeter"/>
    <w:link w:val="Sangra2detindependiente"/>
    <w:uiPriority w:val="99"/>
    <w:semiHidden/>
    <w:rsid w:val="00AC30EC"/>
    <w:rPr>
      <w:rFonts w:ascii="Futura Md BT" w:eastAsia="Times New Roman" w:hAnsi="Futura Md BT" w:cs="Times New Roman"/>
      <w:sz w:val="24"/>
      <w:szCs w:val="20"/>
      <w:lang w:val="es-ES" w:eastAsia="es-ES"/>
    </w:rPr>
  </w:style>
  <w:style w:type="paragraph" w:styleId="Sangra3detindependiente">
    <w:name w:val="Body Text Indent 3"/>
    <w:basedOn w:val="Normal"/>
    <w:link w:val="Sangra3detindependienteCar"/>
    <w:uiPriority w:val="99"/>
    <w:semiHidden/>
    <w:unhideWhenUsed/>
    <w:rsid w:val="00AC30EC"/>
    <w:pPr>
      <w:spacing w:after="120" w:line="240" w:lineRule="auto"/>
      <w:ind w:left="283"/>
    </w:pPr>
    <w:rPr>
      <w:rFonts w:ascii="Times New Roman" w:eastAsia="Times New Roman" w:hAnsi="Times New Roman" w:cs="Times New Roman"/>
      <w:sz w:val="16"/>
      <w:szCs w:val="16"/>
      <w:lang w:val="es-ES" w:eastAsia="es-ES"/>
    </w:rPr>
  </w:style>
  <w:style w:type="character" w:customStyle="1" w:styleId="Sangra3detindependienteCar">
    <w:name w:val="Sangría 3 de t. independiente Car"/>
    <w:basedOn w:val="Fuentedeprrafopredeter"/>
    <w:link w:val="Sangra3detindependiente"/>
    <w:uiPriority w:val="99"/>
    <w:semiHidden/>
    <w:rsid w:val="00AC30EC"/>
    <w:rPr>
      <w:rFonts w:ascii="Times New Roman" w:eastAsia="Times New Roman" w:hAnsi="Times New Roman" w:cs="Times New Roman"/>
      <w:sz w:val="16"/>
      <w:szCs w:val="16"/>
      <w:lang w:val="es-ES" w:eastAsia="es-ES"/>
    </w:rPr>
  </w:style>
  <w:style w:type="paragraph" w:styleId="Mapadeldocumento">
    <w:name w:val="Document Map"/>
    <w:basedOn w:val="Normal"/>
    <w:link w:val="MapadeldocumentoCar"/>
    <w:uiPriority w:val="99"/>
    <w:semiHidden/>
    <w:unhideWhenUsed/>
    <w:rsid w:val="00AC30EC"/>
    <w:pPr>
      <w:shd w:val="clear" w:color="auto" w:fill="000080"/>
      <w:spacing w:after="0" w:line="240" w:lineRule="auto"/>
    </w:pPr>
    <w:rPr>
      <w:rFonts w:ascii="Tahoma" w:eastAsia="Times New Roman" w:hAnsi="Tahoma" w:cs="Tahoma"/>
      <w:sz w:val="20"/>
      <w:szCs w:val="20"/>
      <w:lang w:val="es-ES" w:eastAsia="es-ES"/>
    </w:rPr>
  </w:style>
  <w:style w:type="character" w:customStyle="1" w:styleId="MapadeldocumentoCar">
    <w:name w:val="Mapa del documento Car"/>
    <w:basedOn w:val="Fuentedeprrafopredeter"/>
    <w:link w:val="Mapadeldocumento"/>
    <w:uiPriority w:val="99"/>
    <w:semiHidden/>
    <w:rsid w:val="00AC30EC"/>
    <w:rPr>
      <w:rFonts w:ascii="Tahoma" w:eastAsia="Times New Roman" w:hAnsi="Tahoma" w:cs="Tahoma"/>
      <w:sz w:val="20"/>
      <w:szCs w:val="20"/>
      <w:shd w:val="clear" w:color="auto" w:fill="000080"/>
      <w:lang w:val="es-ES" w:eastAsia="es-ES"/>
    </w:rPr>
  </w:style>
  <w:style w:type="paragraph" w:customStyle="1" w:styleId="Noparagraphstyle">
    <w:name w:val="[No paragraph style]"/>
    <w:uiPriority w:val="99"/>
    <w:rsid w:val="00AC30EC"/>
    <w:pPr>
      <w:widowControl w:val="0"/>
      <w:autoSpaceDE w:val="0"/>
      <w:autoSpaceDN w:val="0"/>
      <w:adjustRightInd w:val="0"/>
      <w:spacing w:after="0" w:line="288" w:lineRule="auto"/>
    </w:pPr>
    <w:rPr>
      <w:rFonts w:ascii="Times" w:eastAsia="Times New Roman" w:hAnsi="Times" w:cs="Times New Roman"/>
      <w:color w:val="000000"/>
      <w:sz w:val="24"/>
      <w:szCs w:val="20"/>
      <w:lang w:val="es-ES_tradnl" w:eastAsia="es-ES"/>
    </w:rPr>
  </w:style>
  <w:style w:type="paragraph" w:customStyle="1" w:styleId="cuerpodetexto">
    <w:name w:val="cuerpo de texto"/>
    <w:basedOn w:val="Noparagraphstyle"/>
    <w:next w:val="Noparagraphstyle"/>
    <w:uiPriority w:val="99"/>
    <w:rsid w:val="00AC30EC"/>
    <w:pPr>
      <w:spacing w:before="40"/>
      <w:ind w:firstLine="283"/>
      <w:jc w:val="both"/>
    </w:pPr>
    <w:rPr>
      <w:rFonts w:ascii="Optima" w:hAnsi="Optima"/>
      <w:sz w:val="20"/>
    </w:rPr>
  </w:style>
  <w:style w:type="paragraph" w:customStyle="1" w:styleId="CarCarCar">
    <w:name w:val="Car Car Car"/>
    <w:basedOn w:val="Normal"/>
    <w:uiPriority w:val="99"/>
    <w:rsid w:val="00AC30EC"/>
    <w:pPr>
      <w:spacing w:line="240" w:lineRule="exact"/>
    </w:pPr>
    <w:rPr>
      <w:rFonts w:ascii="Verdana" w:eastAsia="Times New Roman" w:hAnsi="Verdana" w:cs="Times New Roman"/>
      <w:sz w:val="20"/>
      <w:szCs w:val="24"/>
      <w:lang w:val="en-US"/>
    </w:rPr>
  </w:style>
  <w:style w:type="paragraph" w:customStyle="1" w:styleId="titulo1">
    <w:name w:val="titulo 1"/>
    <w:basedOn w:val="Normal"/>
    <w:uiPriority w:val="99"/>
    <w:rsid w:val="00AC30EC"/>
    <w:pPr>
      <w:tabs>
        <w:tab w:val="num" w:pos="360"/>
      </w:tabs>
      <w:spacing w:after="0" w:line="240" w:lineRule="auto"/>
    </w:pPr>
    <w:rPr>
      <w:rFonts w:ascii="Swis721 Md BT" w:eastAsia="Times New Roman" w:hAnsi="Swis721 Md BT" w:cs="Times New Roman"/>
      <w:b/>
      <w:sz w:val="24"/>
      <w:szCs w:val="24"/>
      <w:lang w:val="es-ES" w:eastAsia="es-ES"/>
    </w:rPr>
  </w:style>
  <w:style w:type="paragraph" w:customStyle="1" w:styleId="titulo2">
    <w:name w:val="titulo 2"/>
    <w:basedOn w:val="Normal"/>
    <w:uiPriority w:val="99"/>
    <w:rsid w:val="00AC30EC"/>
    <w:pPr>
      <w:tabs>
        <w:tab w:val="num" w:pos="360"/>
      </w:tabs>
      <w:spacing w:after="0" w:line="240" w:lineRule="auto"/>
    </w:pPr>
    <w:rPr>
      <w:rFonts w:ascii="Swis721 Md BT" w:eastAsia="Times New Roman" w:hAnsi="Swis721 Md BT" w:cs="Times New Roman"/>
      <w:b/>
      <w:sz w:val="24"/>
      <w:szCs w:val="24"/>
      <w:lang w:val="es-ES" w:eastAsia="es-ES"/>
    </w:rPr>
  </w:style>
  <w:style w:type="paragraph" w:customStyle="1" w:styleId="titulo3">
    <w:name w:val="titulo 3"/>
    <w:basedOn w:val="Normal"/>
    <w:uiPriority w:val="99"/>
    <w:rsid w:val="00AC30EC"/>
    <w:pPr>
      <w:tabs>
        <w:tab w:val="num" w:pos="360"/>
      </w:tabs>
      <w:spacing w:after="0" w:line="240" w:lineRule="auto"/>
    </w:pPr>
    <w:rPr>
      <w:rFonts w:ascii="Swis721 Md BT" w:eastAsia="Times New Roman" w:hAnsi="Swis721 Md BT" w:cs="Times New Roman"/>
      <w:b/>
      <w:sz w:val="24"/>
      <w:szCs w:val="24"/>
      <w:lang w:val="es-ES" w:eastAsia="es-ES"/>
    </w:rPr>
  </w:style>
  <w:style w:type="paragraph" w:customStyle="1" w:styleId="Texto1">
    <w:name w:val="Texto 1"/>
    <w:basedOn w:val="Normal"/>
    <w:uiPriority w:val="99"/>
    <w:rsid w:val="00AC30EC"/>
    <w:pPr>
      <w:spacing w:after="0" w:line="240" w:lineRule="auto"/>
      <w:jc w:val="both"/>
    </w:pPr>
    <w:rPr>
      <w:rFonts w:ascii="Arial" w:eastAsia="Times New Roman" w:hAnsi="Arial" w:cs="Times New Roman"/>
      <w:szCs w:val="20"/>
      <w:lang w:val="es-ES" w:eastAsia="es-ES"/>
    </w:rPr>
  </w:style>
  <w:style w:type="paragraph" w:customStyle="1" w:styleId="Titulos-1">
    <w:name w:val="Titulos-1"/>
    <w:basedOn w:val="Normal"/>
    <w:uiPriority w:val="99"/>
    <w:rsid w:val="00AC30EC"/>
    <w:pPr>
      <w:numPr>
        <w:numId w:val="42"/>
      </w:numPr>
      <w:spacing w:after="0" w:line="240" w:lineRule="auto"/>
    </w:pPr>
    <w:rPr>
      <w:rFonts w:ascii="Arial" w:eastAsia="Times New Roman" w:hAnsi="Arial" w:cs="Times New Roman"/>
      <w:sz w:val="20"/>
      <w:szCs w:val="20"/>
      <w:vertAlign w:val="superscript"/>
      <w:lang w:eastAsia="es-ES"/>
    </w:rPr>
  </w:style>
  <w:style w:type="paragraph" w:customStyle="1" w:styleId="1CarCarCar">
    <w:name w:val="1 Car Car Car"/>
    <w:basedOn w:val="Normal"/>
    <w:uiPriority w:val="99"/>
    <w:semiHidden/>
    <w:rsid w:val="00AC30EC"/>
    <w:pPr>
      <w:spacing w:line="240" w:lineRule="exact"/>
    </w:pPr>
    <w:rPr>
      <w:rFonts w:ascii="Verdana" w:eastAsia="Times New Roman" w:hAnsi="Verdana" w:cs="Times New Roman"/>
      <w:sz w:val="20"/>
      <w:szCs w:val="20"/>
      <w:lang w:val="en-US"/>
    </w:rPr>
  </w:style>
  <w:style w:type="paragraph" w:customStyle="1" w:styleId="CarCarCar1CarCarCarCarCarCarCarCarCarCarCarCar">
    <w:name w:val="Car Car Car1 Car Car Car Car Car Car Car Car Car Car Car Car"/>
    <w:basedOn w:val="Normal"/>
    <w:uiPriority w:val="99"/>
    <w:rsid w:val="00AC30EC"/>
    <w:pPr>
      <w:spacing w:line="240" w:lineRule="exact"/>
    </w:pPr>
    <w:rPr>
      <w:rFonts w:ascii="Verdana" w:eastAsia="Times New Roman" w:hAnsi="Verdana" w:cs="Times New Roman"/>
      <w:sz w:val="20"/>
      <w:szCs w:val="24"/>
      <w:lang w:val="en-US"/>
    </w:rPr>
  </w:style>
  <w:style w:type="paragraph" w:customStyle="1" w:styleId="texto">
    <w:name w:val="texto"/>
    <w:basedOn w:val="Normal"/>
    <w:uiPriority w:val="99"/>
    <w:rsid w:val="00AC30EC"/>
    <w:pPr>
      <w:spacing w:after="0" w:line="240" w:lineRule="auto"/>
      <w:jc w:val="both"/>
    </w:pPr>
    <w:rPr>
      <w:rFonts w:ascii="Times New Roman" w:eastAsia="Times New Roman" w:hAnsi="Times New Roman" w:cs="Times New Roman"/>
      <w:sz w:val="24"/>
      <w:szCs w:val="20"/>
      <w:lang w:eastAsia="es-MX"/>
    </w:rPr>
  </w:style>
  <w:style w:type="paragraph" w:customStyle="1" w:styleId="BodyText22">
    <w:name w:val="Body Text 22"/>
    <w:basedOn w:val="Normal"/>
    <w:uiPriority w:val="99"/>
    <w:rsid w:val="00AC30EC"/>
    <w:pPr>
      <w:widowControl w:val="0"/>
      <w:spacing w:after="0" w:line="240" w:lineRule="auto"/>
      <w:jc w:val="both"/>
    </w:pPr>
    <w:rPr>
      <w:rFonts w:ascii="Arial" w:eastAsia="Times New Roman" w:hAnsi="Arial" w:cs="Times New Roman"/>
      <w:sz w:val="24"/>
      <w:szCs w:val="20"/>
      <w:lang w:val="es-ES_tradnl" w:eastAsia="es-ES"/>
    </w:rPr>
  </w:style>
  <w:style w:type="paragraph" w:customStyle="1" w:styleId="font5">
    <w:name w:val="font5"/>
    <w:basedOn w:val="Normal"/>
    <w:uiPriority w:val="99"/>
    <w:rsid w:val="00AC30EC"/>
    <w:pPr>
      <w:spacing w:before="100" w:beforeAutospacing="1" w:after="100" w:afterAutospacing="1" w:line="240" w:lineRule="auto"/>
    </w:pPr>
    <w:rPr>
      <w:rFonts w:ascii="Arial" w:eastAsia="Times New Roman" w:hAnsi="Arial" w:cs="Arial"/>
      <w:sz w:val="20"/>
      <w:szCs w:val="20"/>
      <w:lang w:val="es-ES" w:eastAsia="es-ES"/>
    </w:rPr>
  </w:style>
  <w:style w:type="paragraph" w:customStyle="1" w:styleId="font6">
    <w:name w:val="font6"/>
    <w:basedOn w:val="Normal"/>
    <w:uiPriority w:val="99"/>
    <w:rsid w:val="00AC30EC"/>
    <w:pPr>
      <w:spacing w:before="100" w:beforeAutospacing="1" w:after="100" w:afterAutospacing="1" w:line="240" w:lineRule="auto"/>
    </w:pPr>
    <w:rPr>
      <w:rFonts w:ascii="Arial" w:eastAsia="Times New Roman" w:hAnsi="Arial" w:cs="Arial"/>
      <w:b/>
      <w:bCs/>
      <w:sz w:val="20"/>
      <w:szCs w:val="20"/>
      <w:lang w:val="es-ES" w:eastAsia="es-ES"/>
    </w:rPr>
  </w:style>
  <w:style w:type="paragraph" w:customStyle="1" w:styleId="xl24">
    <w:name w:val="xl24"/>
    <w:basedOn w:val="Normal"/>
    <w:uiPriority w:val="99"/>
    <w:rsid w:val="00AC30EC"/>
    <w:pPr>
      <w:spacing w:before="100" w:beforeAutospacing="1" w:after="100" w:afterAutospacing="1" w:line="240" w:lineRule="auto"/>
    </w:pPr>
    <w:rPr>
      <w:rFonts w:ascii="Arial" w:eastAsia="Times New Roman" w:hAnsi="Arial" w:cs="Arial"/>
      <w:sz w:val="24"/>
      <w:szCs w:val="24"/>
      <w:lang w:val="es-ES" w:eastAsia="es-ES"/>
    </w:rPr>
  </w:style>
  <w:style w:type="paragraph" w:customStyle="1" w:styleId="xl25">
    <w:name w:val="xl25"/>
    <w:basedOn w:val="Normal"/>
    <w:uiPriority w:val="99"/>
    <w:rsid w:val="00AC30EC"/>
    <w:pPr>
      <w:spacing w:before="100" w:beforeAutospacing="1" w:after="100" w:afterAutospacing="1" w:line="240" w:lineRule="auto"/>
    </w:pPr>
    <w:rPr>
      <w:rFonts w:ascii="Arial" w:eastAsia="Times New Roman" w:hAnsi="Arial" w:cs="Arial"/>
      <w:sz w:val="24"/>
      <w:szCs w:val="24"/>
      <w:lang w:val="es-ES" w:eastAsia="es-ES"/>
    </w:rPr>
  </w:style>
  <w:style w:type="paragraph" w:customStyle="1" w:styleId="xl26">
    <w:name w:val="xl26"/>
    <w:basedOn w:val="Normal"/>
    <w:uiPriority w:val="99"/>
    <w:rsid w:val="00AC30EC"/>
    <w:pPr>
      <w:spacing w:before="100" w:beforeAutospacing="1" w:after="100" w:afterAutospacing="1" w:line="240" w:lineRule="auto"/>
      <w:jc w:val="center"/>
    </w:pPr>
    <w:rPr>
      <w:rFonts w:ascii="Arial" w:eastAsia="Times New Roman" w:hAnsi="Arial" w:cs="Arial"/>
      <w:sz w:val="24"/>
      <w:szCs w:val="24"/>
      <w:lang w:val="es-ES" w:eastAsia="es-ES"/>
    </w:rPr>
  </w:style>
  <w:style w:type="paragraph" w:customStyle="1" w:styleId="xl27">
    <w:name w:val="xl27"/>
    <w:basedOn w:val="Normal"/>
    <w:uiPriority w:val="99"/>
    <w:rsid w:val="00AC30EC"/>
    <w:pPr>
      <w:spacing w:before="100" w:beforeAutospacing="1" w:after="100" w:afterAutospacing="1" w:line="240" w:lineRule="auto"/>
      <w:jc w:val="center"/>
    </w:pPr>
    <w:rPr>
      <w:rFonts w:ascii="Arial" w:eastAsia="Times New Roman" w:hAnsi="Arial" w:cs="Arial"/>
      <w:sz w:val="24"/>
      <w:szCs w:val="24"/>
      <w:lang w:val="es-ES" w:eastAsia="es-ES"/>
    </w:rPr>
  </w:style>
  <w:style w:type="paragraph" w:customStyle="1" w:styleId="xl28">
    <w:name w:val="xl28"/>
    <w:basedOn w:val="Normal"/>
    <w:uiPriority w:val="99"/>
    <w:rsid w:val="00AC30EC"/>
    <w:pPr>
      <w:spacing w:before="100" w:beforeAutospacing="1" w:after="100" w:afterAutospacing="1" w:line="240" w:lineRule="auto"/>
      <w:jc w:val="center"/>
    </w:pPr>
    <w:rPr>
      <w:rFonts w:ascii="Arial" w:eastAsia="Times New Roman" w:hAnsi="Arial" w:cs="Arial"/>
      <w:sz w:val="24"/>
      <w:szCs w:val="24"/>
      <w:lang w:val="es-ES" w:eastAsia="es-ES"/>
    </w:rPr>
  </w:style>
  <w:style w:type="paragraph" w:customStyle="1" w:styleId="xl29">
    <w:name w:val="xl29"/>
    <w:basedOn w:val="Normal"/>
    <w:uiPriority w:val="99"/>
    <w:rsid w:val="00AC30EC"/>
    <w:pPr>
      <w:spacing w:before="100" w:beforeAutospacing="1" w:after="100" w:afterAutospacing="1" w:line="240" w:lineRule="auto"/>
    </w:pPr>
    <w:rPr>
      <w:rFonts w:ascii="Arial" w:eastAsia="Times New Roman" w:hAnsi="Arial" w:cs="Arial"/>
      <w:sz w:val="24"/>
      <w:szCs w:val="24"/>
      <w:lang w:val="es-ES" w:eastAsia="es-ES"/>
    </w:rPr>
  </w:style>
  <w:style w:type="paragraph" w:customStyle="1" w:styleId="xl30">
    <w:name w:val="xl30"/>
    <w:basedOn w:val="Normal"/>
    <w:uiPriority w:val="99"/>
    <w:rsid w:val="00AC30EC"/>
    <w:pPr>
      <w:spacing w:before="100" w:beforeAutospacing="1" w:after="100" w:afterAutospacing="1" w:line="240" w:lineRule="auto"/>
      <w:jc w:val="center"/>
    </w:pPr>
    <w:rPr>
      <w:rFonts w:ascii="Arial" w:eastAsia="Times New Roman" w:hAnsi="Arial" w:cs="Arial"/>
      <w:sz w:val="24"/>
      <w:szCs w:val="24"/>
      <w:lang w:val="es-ES" w:eastAsia="es-ES"/>
    </w:rPr>
  </w:style>
  <w:style w:type="paragraph" w:customStyle="1" w:styleId="xl31">
    <w:name w:val="xl31"/>
    <w:basedOn w:val="Normal"/>
    <w:uiPriority w:val="99"/>
    <w:rsid w:val="00AC30E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center"/>
    </w:pPr>
    <w:rPr>
      <w:rFonts w:ascii="Arial" w:eastAsia="Times New Roman" w:hAnsi="Arial" w:cs="Arial"/>
      <w:b/>
      <w:bCs/>
      <w:sz w:val="24"/>
      <w:szCs w:val="24"/>
      <w:lang w:val="es-ES" w:eastAsia="es-ES"/>
    </w:rPr>
  </w:style>
  <w:style w:type="paragraph" w:customStyle="1" w:styleId="xl32">
    <w:name w:val="xl32"/>
    <w:basedOn w:val="Normal"/>
    <w:uiPriority w:val="99"/>
    <w:rsid w:val="00AC30E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center"/>
    </w:pPr>
    <w:rPr>
      <w:rFonts w:ascii="Arial" w:eastAsia="Times New Roman" w:hAnsi="Arial" w:cs="Arial"/>
      <w:b/>
      <w:bCs/>
      <w:sz w:val="24"/>
      <w:szCs w:val="24"/>
      <w:lang w:val="es-ES" w:eastAsia="es-ES"/>
    </w:rPr>
  </w:style>
  <w:style w:type="paragraph" w:customStyle="1" w:styleId="xl33">
    <w:name w:val="xl33"/>
    <w:basedOn w:val="Normal"/>
    <w:uiPriority w:val="99"/>
    <w:rsid w:val="00AC30EC"/>
    <w:pPr>
      <w:spacing w:before="100" w:beforeAutospacing="1" w:after="100" w:afterAutospacing="1" w:line="240" w:lineRule="auto"/>
      <w:jc w:val="center"/>
    </w:pPr>
    <w:rPr>
      <w:rFonts w:ascii="Arial" w:eastAsia="Times New Roman" w:hAnsi="Arial" w:cs="Arial"/>
      <w:sz w:val="24"/>
      <w:szCs w:val="24"/>
      <w:lang w:val="es-ES" w:eastAsia="es-ES"/>
    </w:rPr>
  </w:style>
  <w:style w:type="paragraph" w:customStyle="1" w:styleId="xl34">
    <w:name w:val="xl34"/>
    <w:basedOn w:val="Normal"/>
    <w:uiPriority w:val="99"/>
    <w:rsid w:val="00AC30E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both"/>
    </w:pPr>
    <w:rPr>
      <w:rFonts w:ascii="Arial" w:eastAsia="Times New Roman" w:hAnsi="Arial" w:cs="Arial"/>
      <w:b/>
      <w:bCs/>
      <w:sz w:val="24"/>
      <w:szCs w:val="24"/>
      <w:lang w:val="es-ES" w:eastAsia="es-ES"/>
    </w:rPr>
  </w:style>
  <w:style w:type="paragraph" w:customStyle="1" w:styleId="xl35">
    <w:name w:val="xl35"/>
    <w:basedOn w:val="Normal"/>
    <w:uiPriority w:val="99"/>
    <w:rsid w:val="00AC30EC"/>
    <w:pPr>
      <w:spacing w:before="100" w:beforeAutospacing="1" w:after="100" w:afterAutospacing="1" w:line="240" w:lineRule="auto"/>
      <w:jc w:val="both"/>
    </w:pPr>
    <w:rPr>
      <w:rFonts w:ascii="Arial" w:eastAsia="Times New Roman" w:hAnsi="Arial" w:cs="Arial"/>
      <w:sz w:val="24"/>
      <w:szCs w:val="24"/>
      <w:lang w:val="es-ES" w:eastAsia="es-ES"/>
    </w:rPr>
  </w:style>
  <w:style w:type="paragraph" w:customStyle="1" w:styleId="xl36">
    <w:name w:val="xl36"/>
    <w:basedOn w:val="Normal"/>
    <w:uiPriority w:val="99"/>
    <w:rsid w:val="00AC30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000080"/>
      <w:sz w:val="24"/>
      <w:szCs w:val="24"/>
      <w:lang w:val="es-ES" w:eastAsia="es-ES"/>
    </w:rPr>
  </w:style>
  <w:style w:type="paragraph" w:customStyle="1" w:styleId="xl37">
    <w:name w:val="xl37"/>
    <w:basedOn w:val="Normal"/>
    <w:uiPriority w:val="99"/>
    <w:rsid w:val="00AC30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24"/>
      <w:szCs w:val="24"/>
      <w:lang w:val="es-ES" w:eastAsia="es-ES"/>
    </w:rPr>
  </w:style>
  <w:style w:type="paragraph" w:customStyle="1" w:styleId="xl38">
    <w:name w:val="xl38"/>
    <w:basedOn w:val="Normal"/>
    <w:uiPriority w:val="99"/>
    <w:rsid w:val="00AC30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s-ES" w:eastAsia="es-ES"/>
    </w:rPr>
  </w:style>
  <w:style w:type="paragraph" w:customStyle="1" w:styleId="xl39">
    <w:name w:val="xl39"/>
    <w:basedOn w:val="Normal"/>
    <w:uiPriority w:val="99"/>
    <w:rsid w:val="00AC30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val="es-ES" w:eastAsia="es-ES"/>
    </w:rPr>
  </w:style>
  <w:style w:type="paragraph" w:customStyle="1" w:styleId="xl40">
    <w:name w:val="xl40"/>
    <w:basedOn w:val="Normal"/>
    <w:uiPriority w:val="99"/>
    <w:rsid w:val="00AC30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b/>
      <w:bCs/>
      <w:sz w:val="24"/>
      <w:szCs w:val="24"/>
      <w:lang w:val="es-ES" w:eastAsia="es-ES"/>
    </w:rPr>
  </w:style>
  <w:style w:type="paragraph" w:customStyle="1" w:styleId="xl41">
    <w:name w:val="xl41"/>
    <w:basedOn w:val="Normal"/>
    <w:uiPriority w:val="99"/>
    <w:rsid w:val="00AC30EC"/>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xl42">
    <w:name w:val="xl42"/>
    <w:basedOn w:val="Normal"/>
    <w:uiPriority w:val="99"/>
    <w:rsid w:val="00AC30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lang w:val="es-ES" w:eastAsia="es-ES"/>
    </w:rPr>
  </w:style>
  <w:style w:type="paragraph" w:customStyle="1" w:styleId="xl43">
    <w:name w:val="xl43"/>
    <w:basedOn w:val="Normal"/>
    <w:uiPriority w:val="99"/>
    <w:rsid w:val="00AC30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s-ES" w:eastAsia="es-ES"/>
    </w:rPr>
  </w:style>
  <w:style w:type="paragraph" w:customStyle="1" w:styleId="xl44">
    <w:name w:val="xl44"/>
    <w:basedOn w:val="Normal"/>
    <w:uiPriority w:val="99"/>
    <w:rsid w:val="00AC30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s-ES" w:eastAsia="es-ES"/>
    </w:rPr>
  </w:style>
  <w:style w:type="paragraph" w:customStyle="1" w:styleId="xl45">
    <w:name w:val="xl45"/>
    <w:basedOn w:val="Normal"/>
    <w:uiPriority w:val="99"/>
    <w:rsid w:val="00AC30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s-ES" w:eastAsia="es-ES"/>
    </w:rPr>
  </w:style>
  <w:style w:type="paragraph" w:customStyle="1" w:styleId="xl46">
    <w:name w:val="xl46"/>
    <w:basedOn w:val="Normal"/>
    <w:uiPriority w:val="99"/>
    <w:rsid w:val="00AC30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s-ES" w:eastAsia="es-ES"/>
    </w:rPr>
  </w:style>
  <w:style w:type="paragraph" w:customStyle="1" w:styleId="xl47">
    <w:name w:val="xl47"/>
    <w:basedOn w:val="Normal"/>
    <w:uiPriority w:val="99"/>
    <w:rsid w:val="00AC30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s-ES" w:eastAsia="es-ES"/>
    </w:rPr>
  </w:style>
  <w:style w:type="paragraph" w:customStyle="1" w:styleId="xl48">
    <w:name w:val="xl48"/>
    <w:basedOn w:val="Normal"/>
    <w:uiPriority w:val="99"/>
    <w:rsid w:val="00AC30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val="es-ES" w:eastAsia="es-ES"/>
    </w:rPr>
  </w:style>
  <w:style w:type="paragraph" w:customStyle="1" w:styleId="xl49">
    <w:name w:val="xl49"/>
    <w:basedOn w:val="Normal"/>
    <w:uiPriority w:val="99"/>
    <w:rsid w:val="00AC30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s-ES" w:eastAsia="es-ES"/>
    </w:rPr>
  </w:style>
  <w:style w:type="paragraph" w:customStyle="1" w:styleId="xl50">
    <w:name w:val="xl50"/>
    <w:basedOn w:val="Normal"/>
    <w:uiPriority w:val="99"/>
    <w:rsid w:val="00AC30EC"/>
    <w:pPr>
      <w:spacing w:before="100" w:beforeAutospacing="1" w:after="100" w:afterAutospacing="1" w:line="240" w:lineRule="auto"/>
      <w:jc w:val="center"/>
    </w:pPr>
    <w:rPr>
      <w:rFonts w:ascii="Times New Roman" w:eastAsia="Times New Roman" w:hAnsi="Times New Roman" w:cs="Times New Roman"/>
      <w:sz w:val="24"/>
      <w:szCs w:val="24"/>
      <w:lang w:val="es-ES" w:eastAsia="es-ES"/>
    </w:rPr>
  </w:style>
  <w:style w:type="paragraph" w:customStyle="1" w:styleId="xl51">
    <w:name w:val="xl51"/>
    <w:basedOn w:val="Normal"/>
    <w:uiPriority w:val="99"/>
    <w:rsid w:val="00AC30EC"/>
    <w:pPr>
      <w:spacing w:before="100" w:beforeAutospacing="1" w:after="100" w:afterAutospacing="1" w:line="240" w:lineRule="auto"/>
      <w:jc w:val="center"/>
    </w:pPr>
    <w:rPr>
      <w:rFonts w:ascii="Times New Roman" w:eastAsia="Times New Roman" w:hAnsi="Times New Roman" w:cs="Times New Roman"/>
      <w:b/>
      <w:bCs/>
      <w:color w:val="000080"/>
      <w:sz w:val="24"/>
      <w:szCs w:val="24"/>
      <w:lang w:val="es-ES" w:eastAsia="es-ES"/>
    </w:rPr>
  </w:style>
  <w:style w:type="paragraph" w:customStyle="1" w:styleId="xl52">
    <w:name w:val="xl52"/>
    <w:basedOn w:val="Normal"/>
    <w:uiPriority w:val="99"/>
    <w:rsid w:val="00AC30EC"/>
    <w:pPr>
      <w:spacing w:before="100" w:beforeAutospacing="1" w:after="100" w:afterAutospacing="1" w:line="240" w:lineRule="auto"/>
      <w:jc w:val="right"/>
    </w:pPr>
    <w:rPr>
      <w:rFonts w:ascii="Times New Roman" w:eastAsia="Times New Roman" w:hAnsi="Times New Roman" w:cs="Times New Roman"/>
      <w:b/>
      <w:bCs/>
      <w:sz w:val="24"/>
      <w:szCs w:val="24"/>
      <w:lang w:val="es-ES" w:eastAsia="es-ES"/>
    </w:rPr>
  </w:style>
  <w:style w:type="paragraph" w:customStyle="1" w:styleId="xl53">
    <w:name w:val="xl53"/>
    <w:basedOn w:val="Normal"/>
    <w:uiPriority w:val="99"/>
    <w:rsid w:val="00AC30EC"/>
    <w:pPr>
      <w:spacing w:before="100" w:beforeAutospacing="1" w:after="100" w:afterAutospacing="1" w:line="240" w:lineRule="auto"/>
      <w:jc w:val="center"/>
    </w:pPr>
    <w:rPr>
      <w:rFonts w:ascii="Times New Roman" w:eastAsia="Times New Roman" w:hAnsi="Times New Roman" w:cs="Times New Roman"/>
      <w:sz w:val="24"/>
      <w:szCs w:val="24"/>
      <w:lang w:val="es-ES" w:eastAsia="es-ES"/>
    </w:rPr>
  </w:style>
  <w:style w:type="paragraph" w:customStyle="1" w:styleId="xl54">
    <w:name w:val="xl54"/>
    <w:basedOn w:val="Normal"/>
    <w:uiPriority w:val="99"/>
    <w:rsid w:val="00AC30EC"/>
    <w:pPr>
      <w:spacing w:before="100" w:beforeAutospacing="1" w:after="100" w:afterAutospacing="1" w:line="240" w:lineRule="auto"/>
      <w:jc w:val="center"/>
    </w:pPr>
    <w:rPr>
      <w:rFonts w:ascii="Times New Roman" w:eastAsia="Times New Roman" w:hAnsi="Times New Roman" w:cs="Times New Roman"/>
      <w:sz w:val="24"/>
      <w:szCs w:val="24"/>
      <w:lang w:val="es-ES" w:eastAsia="es-ES"/>
    </w:rPr>
  </w:style>
  <w:style w:type="paragraph" w:customStyle="1" w:styleId="xl55">
    <w:name w:val="xl55"/>
    <w:basedOn w:val="Normal"/>
    <w:uiPriority w:val="99"/>
    <w:rsid w:val="00AC30EC"/>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xl56">
    <w:name w:val="xl56"/>
    <w:basedOn w:val="Normal"/>
    <w:uiPriority w:val="99"/>
    <w:rsid w:val="00AC30EC"/>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xl57">
    <w:name w:val="xl57"/>
    <w:basedOn w:val="Normal"/>
    <w:uiPriority w:val="99"/>
    <w:rsid w:val="00AC30E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center"/>
    </w:pPr>
    <w:rPr>
      <w:rFonts w:ascii="Times New Roman" w:eastAsia="Times New Roman" w:hAnsi="Times New Roman" w:cs="Times New Roman"/>
      <w:sz w:val="24"/>
      <w:szCs w:val="24"/>
      <w:lang w:val="es-ES" w:eastAsia="es-ES"/>
    </w:rPr>
  </w:style>
  <w:style w:type="paragraph" w:customStyle="1" w:styleId="xl58">
    <w:name w:val="xl58"/>
    <w:basedOn w:val="Normal"/>
    <w:uiPriority w:val="99"/>
    <w:rsid w:val="00AC30EC"/>
    <w:pPr>
      <w:spacing w:before="100" w:beforeAutospacing="1" w:after="100" w:afterAutospacing="1" w:line="240" w:lineRule="auto"/>
      <w:jc w:val="center"/>
    </w:pPr>
    <w:rPr>
      <w:rFonts w:ascii="Times New Roman" w:eastAsia="Times New Roman" w:hAnsi="Times New Roman" w:cs="Times New Roman"/>
      <w:color w:val="FFFFFF"/>
      <w:sz w:val="24"/>
      <w:szCs w:val="24"/>
      <w:lang w:val="es-ES" w:eastAsia="es-ES"/>
    </w:rPr>
  </w:style>
  <w:style w:type="paragraph" w:customStyle="1" w:styleId="xl59">
    <w:name w:val="xl59"/>
    <w:basedOn w:val="Normal"/>
    <w:uiPriority w:val="99"/>
    <w:rsid w:val="00AC30EC"/>
    <w:pPr>
      <w:spacing w:before="100" w:beforeAutospacing="1" w:after="100" w:afterAutospacing="1" w:line="240" w:lineRule="auto"/>
      <w:jc w:val="center"/>
    </w:pPr>
    <w:rPr>
      <w:rFonts w:ascii="Times New Roman" w:eastAsia="Times New Roman" w:hAnsi="Times New Roman" w:cs="Times New Roman"/>
      <w:b/>
      <w:bCs/>
      <w:sz w:val="24"/>
      <w:szCs w:val="24"/>
      <w:lang w:val="es-ES" w:eastAsia="es-ES"/>
    </w:rPr>
  </w:style>
  <w:style w:type="paragraph" w:customStyle="1" w:styleId="xl60">
    <w:name w:val="xl60"/>
    <w:basedOn w:val="Normal"/>
    <w:uiPriority w:val="99"/>
    <w:rsid w:val="00AC30EC"/>
    <w:pPr>
      <w:spacing w:before="100" w:beforeAutospacing="1" w:after="100" w:afterAutospacing="1" w:line="240" w:lineRule="auto"/>
      <w:jc w:val="center"/>
    </w:pPr>
    <w:rPr>
      <w:rFonts w:ascii="Times New Roman" w:eastAsia="Times New Roman" w:hAnsi="Times New Roman" w:cs="Times New Roman"/>
      <w:sz w:val="24"/>
      <w:szCs w:val="24"/>
      <w:lang w:val="es-ES" w:eastAsia="es-ES"/>
    </w:rPr>
  </w:style>
  <w:style w:type="paragraph" w:customStyle="1" w:styleId="xl61">
    <w:name w:val="xl61"/>
    <w:basedOn w:val="Normal"/>
    <w:uiPriority w:val="99"/>
    <w:rsid w:val="00AC30EC"/>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xl62">
    <w:name w:val="xl62"/>
    <w:basedOn w:val="Normal"/>
    <w:uiPriority w:val="99"/>
    <w:rsid w:val="00AC30E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val="es-ES" w:eastAsia="es-ES"/>
    </w:rPr>
  </w:style>
  <w:style w:type="paragraph" w:customStyle="1" w:styleId="xl63">
    <w:name w:val="xl63"/>
    <w:basedOn w:val="Normal"/>
    <w:uiPriority w:val="99"/>
    <w:rsid w:val="00AC30EC"/>
    <w:pPr>
      <w:spacing w:before="100" w:beforeAutospacing="1" w:after="100" w:afterAutospacing="1" w:line="240" w:lineRule="auto"/>
      <w:jc w:val="center"/>
    </w:pPr>
    <w:rPr>
      <w:rFonts w:ascii="Times New Roman" w:eastAsia="Times New Roman" w:hAnsi="Times New Roman" w:cs="Times New Roman"/>
      <w:sz w:val="24"/>
      <w:szCs w:val="24"/>
      <w:lang w:val="es-ES" w:eastAsia="es-ES"/>
    </w:rPr>
  </w:style>
  <w:style w:type="paragraph" w:customStyle="1" w:styleId="xl64">
    <w:name w:val="xl64"/>
    <w:basedOn w:val="Normal"/>
    <w:uiPriority w:val="99"/>
    <w:rsid w:val="00AC30E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val="es-ES" w:eastAsia="es-ES"/>
    </w:rPr>
  </w:style>
  <w:style w:type="paragraph" w:customStyle="1" w:styleId="xl65">
    <w:name w:val="xl65"/>
    <w:basedOn w:val="Normal"/>
    <w:uiPriority w:val="99"/>
    <w:rsid w:val="00AC30E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right"/>
    </w:pPr>
    <w:rPr>
      <w:rFonts w:ascii="Times New Roman" w:eastAsia="Times New Roman" w:hAnsi="Times New Roman" w:cs="Times New Roman"/>
      <w:b/>
      <w:bCs/>
      <w:sz w:val="24"/>
      <w:szCs w:val="24"/>
      <w:lang w:val="es-ES" w:eastAsia="es-ES"/>
    </w:rPr>
  </w:style>
  <w:style w:type="paragraph" w:customStyle="1" w:styleId="xl66">
    <w:name w:val="xl66"/>
    <w:basedOn w:val="Normal"/>
    <w:uiPriority w:val="99"/>
    <w:rsid w:val="00AC30EC"/>
    <w:pPr>
      <w:pBdr>
        <w:top w:val="single" w:sz="4" w:space="0" w:color="auto"/>
        <w:left w:val="single" w:sz="4" w:space="0" w:color="auto"/>
        <w:bottom w:val="single" w:sz="4"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val="es-ES" w:eastAsia="es-ES"/>
    </w:rPr>
  </w:style>
  <w:style w:type="paragraph" w:customStyle="1" w:styleId="xl67">
    <w:name w:val="xl67"/>
    <w:basedOn w:val="Normal"/>
    <w:uiPriority w:val="99"/>
    <w:rsid w:val="00AC30EC"/>
    <w:pPr>
      <w:pBdr>
        <w:top w:val="single" w:sz="4" w:space="0" w:color="auto"/>
        <w:bottom w:val="single" w:sz="4" w:space="0" w:color="auto"/>
        <w:right w:val="single" w:sz="4"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val="es-ES" w:eastAsia="es-ES"/>
    </w:rPr>
  </w:style>
  <w:style w:type="character" w:customStyle="1" w:styleId="ListParagraphChar">
    <w:name w:val="List Paragraph Char"/>
    <w:uiPriority w:val="99"/>
    <w:locked/>
    <w:rsid w:val="00AC30EC"/>
    <w:rPr>
      <w:rFonts w:ascii="Calibri" w:eastAsia="Times New Roman" w:hAnsi="Calibri" w:cs="Times New Roman"/>
      <w:lang w:val="es-ES"/>
    </w:rPr>
  </w:style>
  <w:style w:type="paragraph" w:customStyle="1" w:styleId="titulo4">
    <w:name w:val="titulo 4"/>
    <w:basedOn w:val="Normal"/>
    <w:uiPriority w:val="99"/>
    <w:rsid w:val="00AC30EC"/>
    <w:pPr>
      <w:tabs>
        <w:tab w:val="num" w:pos="360"/>
      </w:tabs>
      <w:spacing w:after="0" w:line="240" w:lineRule="auto"/>
    </w:pPr>
    <w:rPr>
      <w:rFonts w:ascii="Swis721 Md BT" w:eastAsia="Times New Roman" w:hAnsi="Swis721 Md BT" w:cs="Times New Roman"/>
      <w:b/>
      <w:sz w:val="24"/>
      <w:szCs w:val="24"/>
      <w:lang w:eastAsia="es-ES"/>
    </w:rPr>
  </w:style>
  <w:style w:type="character" w:customStyle="1" w:styleId="NormalarialCar">
    <w:name w:val="Normal+arial Car"/>
    <w:basedOn w:val="Fuentedeprrafopredeter"/>
    <w:link w:val="Normalarial"/>
    <w:uiPriority w:val="99"/>
    <w:locked/>
    <w:rsid w:val="00AC30EC"/>
    <w:rPr>
      <w:sz w:val="24"/>
      <w:szCs w:val="24"/>
      <w:lang w:eastAsia="es-ES"/>
    </w:rPr>
  </w:style>
  <w:style w:type="paragraph" w:customStyle="1" w:styleId="Normalarial">
    <w:name w:val="Normal+arial"/>
    <w:basedOn w:val="Normal"/>
    <w:link w:val="NormalarialCar"/>
    <w:uiPriority w:val="99"/>
    <w:rsid w:val="00AC30EC"/>
    <w:pPr>
      <w:spacing w:after="0" w:line="240" w:lineRule="auto"/>
    </w:pPr>
    <w:rPr>
      <w:sz w:val="24"/>
      <w:szCs w:val="24"/>
      <w:lang w:eastAsia="es-ES"/>
    </w:rPr>
  </w:style>
  <w:style w:type="paragraph" w:customStyle="1" w:styleId="Head21">
    <w:name w:val="Head 2.1"/>
    <w:basedOn w:val="Normal"/>
    <w:uiPriority w:val="99"/>
    <w:rsid w:val="00AC30EC"/>
    <w:pPr>
      <w:widowControl w:val="0"/>
      <w:suppressAutoHyphens/>
      <w:spacing w:after="0" w:line="240" w:lineRule="auto"/>
      <w:jc w:val="center"/>
    </w:pPr>
    <w:rPr>
      <w:rFonts w:ascii="Times New Roman Bold" w:eastAsia="Times New Roman" w:hAnsi="Times New Roman Bold" w:cs="Times New Roman"/>
      <w:b/>
      <w:sz w:val="24"/>
      <w:szCs w:val="20"/>
      <w:lang w:eastAsia="es-ES"/>
    </w:rPr>
  </w:style>
  <w:style w:type="paragraph" w:customStyle="1" w:styleId="1CarCarCarCar">
    <w:name w:val="1 Car Car Car Car"/>
    <w:basedOn w:val="Normal"/>
    <w:uiPriority w:val="99"/>
    <w:semiHidden/>
    <w:rsid w:val="00AC30EC"/>
    <w:pPr>
      <w:spacing w:line="240" w:lineRule="exact"/>
    </w:pPr>
    <w:rPr>
      <w:rFonts w:ascii="Verdana" w:eastAsia="Times New Roman" w:hAnsi="Verdana" w:cs="Times New Roman"/>
      <w:sz w:val="20"/>
      <w:szCs w:val="20"/>
      <w:lang w:val="en-US"/>
    </w:rPr>
  </w:style>
  <w:style w:type="paragraph" w:customStyle="1" w:styleId="CarCarCar1CarCarCarCarCarCarCarCarCarCarCarCarCarCarCarCar">
    <w:name w:val="Car Car Car1 Car Car Car Car Car Car Car Car Car Car Car Car Car Car Car Car"/>
    <w:basedOn w:val="Normal"/>
    <w:uiPriority w:val="99"/>
    <w:rsid w:val="00AC30EC"/>
    <w:pPr>
      <w:spacing w:line="240" w:lineRule="exact"/>
    </w:pPr>
    <w:rPr>
      <w:rFonts w:ascii="Verdana" w:eastAsia="Times New Roman" w:hAnsi="Verdana" w:cs="Times New Roman"/>
      <w:sz w:val="20"/>
      <w:szCs w:val="24"/>
      <w:lang w:val="en-US"/>
    </w:rPr>
  </w:style>
  <w:style w:type="paragraph" w:customStyle="1" w:styleId="CarCarCar1CarCarCarCarCarCarCarCarCarCarCarCarCar">
    <w:name w:val="Car Car Car1 Car Car Car Car Car Car Car Car Car Car Car Car Car"/>
    <w:basedOn w:val="Normal"/>
    <w:uiPriority w:val="99"/>
    <w:rsid w:val="00AC30EC"/>
    <w:pPr>
      <w:spacing w:line="240" w:lineRule="exact"/>
    </w:pPr>
    <w:rPr>
      <w:rFonts w:ascii="Verdana" w:eastAsia="Times New Roman" w:hAnsi="Verdana" w:cs="Times New Roman"/>
      <w:sz w:val="20"/>
      <w:szCs w:val="24"/>
      <w:lang w:val="en-US"/>
    </w:rPr>
  </w:style>
  <w:style w:type="paragraph" w:customStyle="1" w:styleId="CarCarCarCar">
    <w:name w:val="Car Car Car Car"/>
    <w:basedOn w:val="Normal"/>
    <w:uiPriority w:val="99"/>
    <w:rsid w:val="00AC30EC"/>
    <w:pPr>
      <w:spacing w:line="240" w:lineRule="exact"/>
    </w:pPr>
    <w:rPr>
      <w:rFonts w:ascii="Verdana" w:eastAsia="Times New Roman" w:hAnsi="Verdana" w:cs="Times New Roman"/>
      <w:sz w:val="20"/>
      <w:szCs w:val="24"/>
      <w:lang w:val="en-US"/>
    </w:rPr>
  </w:style>
  <w:style w:type="paragraph" w:customStyle="1" w:styleId="CarCar1CarCarCar2Car">
    <w:name w:val="Car Car1 Car Car Car2 Car"/>
    <w:basedOn w:val="Normal"/>
    <w:uiPriority w:val="99"/>
    <w:rsid w:val="00AC30EC"/>
    <w:pPr>
      <w:spacing w:line="240" w:lineRule="exact"/>
    </w:pPr>
    <w:rPr>
      <w:rFonts w:ascii="Verdana" w:eastAsia="Times New Roman" w:hAnsi="Verdana" w:cs="Times New Roman"/>
      <w:sz w:val="20"/>
      <w:szCs w:val="24"/>
      <w:lang w:val="en-US"/>
    </w:rPr>
  </w:style>
  <w:style w:type="paragraph" w:customStyle="1" w:styleId="CarCar1CarCarCar1Car">
    <w:name w:val="Car Car1 Car Car Car1 Car"/>
    <w:basedOn w:val="Normal"/>
    <w:uiPriority w:val="99"/>
    <w:rsid w:val="00AC30EC"/>
    <w:pPr>
      <w:spacing w:line="240" w:lineRule="exact"/>
    </w:pPr>
    <w:rPr>
      <w:rFonts w:ascii="Verdana" w:eastAsia="Times New Roman" w:hAnsi="Verdana" w:cs="Times New Roman"/>
      <w:sz w:val="20"/>
      <w:szCs w:val="24"/>
      <w:lang w:val="en-US"/>
    </w:rPr>
  </w:style>
  <w:style w:type="paragraph" w:customStyle="1" w:styleId="Listamulticolor-nfasis1">
    <w:name w:val="Lista multicolor - Énfasis 1"/>
    <w:basedOn w:val="Normal"/>
    <w:uiPriority w:val="99"/>
    <w:qFormat/>
    <w:rsid w:val="00AC30EC"/>
    <w:pPr>
      <w:spacing w:after="200" w:line="276" w:lineRule="auto"/>
      <w:ind w:left="720"/>
      <w:contextualSpacing/>
    </w:pPr>
    <w:rPr>
      <w:rFonts w:ascii="Calibri" w:eastAsia="Calibri" w:hAnsi="Calibri" w:cs="Times New Roman"/>
      <w:lang w:val="es-ES"/>
    </w:rPr>
  </w:style>
  <w:style w:type="paragraph" w:customStyle="1" w:styleId="Style3">
    <w:name w:val="Style 3"/>
    <w:uiPriority w:val="99"/>
    <w:rsid w:val="00AC30EC"/>
    <w:pPr>
      <w:widowControl w:val="0"/>
      <w:autoSpaceDE w:val="0"/>
      <w:autoSpaceDN w:val="0"/>
      <w:spacing w:before="216" w:after="0" w:line="206" w:lineRule="auto"/>
      <w:ind w:left="1872" w:right="576" w:hanging="360"/>
      <w:jc w:val="both"/>
    </w:pPr>
    <w:rPr>
      <w:rFonts w:ascii="Times New Roman" w:eastAsia="Times New Roman" w:hAnsi="Times New Roman" w:cs="Times New Roman"/>
      <w:sz w:val="24"/>
      <w:szCs w:val="24"/>
      <w:lang w:val="en-US" w:eastAsia="es-ES"/>
    </w:rPr>
  </w:style>
  <w:style w:type="paragraph" w:customStyle="1" w:styleId="Ttulodecubierta">
    <w:name w:val="Título de cubierta"/>
    <w:basedOn w:val="Normal"/>
    <w:next w:val="Normal"/>
    <w:uiPriority w:val="99"/>
    <w:rsid w:val="00AC30EC"/>
    <w:pPr>
      <w:keepNext/>
      <w:keepLines/>
      <w:pBdr>
        <w:top w:val="single" w:sz="48" w:space="31" w:color="auto"/>
      </w:pBdr>
      <w:tabs>
        <w:tab w:val="num" w:pos="-567"/>
        <w:tab w:val="left" w:pos="0"/>
      </w:tabs>
      <w:spacing w:before="240" w:after="500" w:line="640" w:lineRule="exact"/>
      <w:ind w:left="-839" w:right="-839"/>
      <w:jc w:val="both"/>
    </w:pPr>
    <w:rPr>
      <w:rFonts w:ascii="Arial Black" w:eastAsia="Times New Roman" w:hAnsi="Arial Black" w:cs="Times New Roman"/>
      <w:b/>
      <w:spacing w:val="-48"/>
      <w:kern w:val="28"/>
      <w:sz w:val="64"/>
      <w:szCs w:val="24"/>
      <w:lang w:val="es-ES" w:eastAsia="es-ES"/>
    </w:rPr>
  </w:style>
  <w:style w:type="paragraph" w:customStyle="1" w:styleId="Textoindependiente21">
    <w:name w:val="Texto independiente 21"/>
    <w:basedOn w:val="Normal"/>
    <w:uiPriority w:val="99"/>
    <w:rsid w:val="00AC30EC"/>
    <w:pPr>
      <w:suppressAutoHyphens/>
      <w:spacing w:after="0" w:line="240" w:lineRule="auto"/>
      <w:jc w:val="both"/>
    </w:pPr>
    <w:rPr>
      <w:rFonts w:ascii="Times New Roman" w:eastAsia="Times New Roman" w:hAnsi="Times New Roman" w:cs="Times New Roman"/>
      <w:sz w:val="24"/>
      <w:szCs w:val="24"/>
      <w:lang w:val="xh-ZA" w:eastAsia="es-ES"/>
    </w:rPr>
  </w:style>
  <w:style w:type="paragraph" w:customStyle="1" w:styleId="1CarCarCarCarCarCarCar">
    <w:name w:val="1 Car Car Car Car Car Car Car"/>
    <w:basedOn w:val="Normal"/>
    <w:uiPriority w:val="99"/>
    <w:semiHidden/>
    <w:rsid w:val="00AC30EC"/>
    <w:pPr>
      <w:spacing w:line="240" w:lineRule="exact"/>
    </w:pPr>
    <w:rPr>
      <w:rFonts w:ascii="Verdana" w:eastAsia="Times New Roman" w:hAnsi="Verdana" w:cs="Times New Roman"/>
      <w:sz w:val="20"/>
      <w:szCs w:val="20"/>
      <w:lang w:val="en-US"/>
    </w:rPr>
  </w:style>
  <w:style w:type="paragraph" w:customStyle="1" w:styleId="ececececmsonormal">
    <w:name w:val="ec_ec_ec_ec_msonormal"/>
    <w:basedOn w:val="Normal"/>
    <w:uiPriority w:val="99"/>
    <w:rsid w:val="00AC30EC"/>
    <w:pPr>
      <w:spacing w:before="100" w:after="100" w:line="240" w:lineRule="auto"/>
    </w:pPr>
    <w:rPr>
      <w:rFonts w:ascii="Times New Roman" w:eastAsia="Times New Roman" w:hAnsi="Times New Roman" w:cs="Times New Roman"/>
      <w:kern w:val="2"/>
      <w:sz w:val="24"/>
      <w:szCs w:val="24"/>
      <w:lang w:val="es-ES" w:eastAsia="es-ES"/>
    </w:rPr>
  </w:style>
  <w:style w:type="paragraph" w:customStyle="1" w:styleId="Textopredeterminado">
    <w:name w:val="Texto predeterminado"/>
    <w:basedOn w:val="Normal"/>
    <w:uiPriority w:val="99"/>
    <w:rsid w:val="00AC30EC"/>
    <w:pPr>
      <w:spacing w:after="0" w:line="240" w:lineRule="auto"/>
      <w:jc w:val="both"/>
    </w:pPr>
    <w:rPr>
      <w:rFonts w:ascii="Arial" w:eastAsia="Times New Roman" w:hAnsi="Arial" w:cs="Times New Roman"/>
      <w:szCs w:val="20"/>
      <w:lang w:val="en-US" w:eastAsia="es-ES"/>
    </w:rPr>
  </w:style>
  <w:style w:type="paragraph" w:customStyle="1" w:styleId="xl22">
    <w:name w:val="xl22"/>
    <w:basedOn w:val="Normal"/>
    <w:uiPriority w:val="99"/>
    <w:rsid w:val="00AC30EC"/>
    <w:pPr>
      <w:spacing w:before="100" w:beforeAutospacing="1" w:after="100" w:afterAutospacing="1" w:line="240" w:lineRule="auto"/>
      <w:jc w:val="center"/>
    </w:pPr>
    <w:rPr>
      <w:rFonts w:ascii="Arial" w:eastAsia="Times New Roman" w:hAnsi="Arial" w:cs="Arial"/>
      <w:lang w:val="es-ES" w:eastAsia="es-ES"/>
    </w:rPr>
  </w:style>
  <w:style w:type="paragraph" w:customStyle="1" w:styleId="xl23">
    <w:name w:val="xl23"/>
    <w:basedOn w:val="Normal"/>
    <w:uiPriority w:val="99"/>
    <w:rsid w:val="00AC30EC"/>
    <w:pPr>
      <w:spacing w:before="100" w:beforeAutospacing="1" w:after="100" w:afterAutospacing="1" w:line="240" w:lineRule="auto"/>
    </w:pPr>
    <w:rPr>
      <w:rFonts w:ascii="Arial" w:eastAsia="Times New Roman" w:hAnsi="Arial" w:cs="Arial"/>
      <w:lang w:val="es-ES" w:eastAsia="es-ES"/>
    </w:rPr>
  </w:style>
  <w:style w:type="paragraph" w:customStyle="1" w:styleId="CarCarCarCarCar1">
    <w:name w:val="Car Car Car Car Car1"/>
    <w:basedOn w:val="Normal"/>
    <w:uiPriority w:val="99"/>
    <w:rsid w:val="00AC30EC"/>
    <w:pPr>
      <w:spacing w:line="240" w:lineRule="exact"/>
    </w:pPr>
    <w:rPr>
      <w:rFonts w:ascii="Verdana" w:eastAsia="Times New Roman" w:hAnsi="Verdana" w:cs="Times New Roman"/>
      <w:sz w:val="20"/>
      <w:szCs w:val="24"/>
      <w:lang w:val="en-US"/>
    </w:rPr>
  </w:style>
  <w:style w:type="paragraph" w:customStyle="1" w:styleId="1">
    <w:name w:val="1"/>
    <w:basedOn w:val="Normal"/>
    <w:uiPriority w:val="99"/>
    <w:rsid w:val="00AC30EC"/>
    <w:pPr>
      <w:spacing w:line="240" w:lineRule="exact"/>
    </w:pPr>
    <w:rPr>
      <w:rFonts w:ascii="Verdana" w:eastAsia="Times New Roman" w:hAnsi="Verdana" w:cs="Times New Roman"/>
      <w:sz w:val="20"/>
      <w:szCs w:val="24"/>
      <w:lang w:val="en-US"/>
    </w:rPr>
  </w:style>
  <w:style w:type="paragraph" w:customStyle="1" w:styleId="Car2">
    <w:name w:val="Car2"/>
    <w:basedOn w:val="Normal"/>
    <w:uiPriority w:val="99"/>
    <w:semiHidden/>
    <w:rsid w:val="00AC30EC"/>
    <w:pPr>
      <w:spacing w:line="240" w:lineRule="exact"/>
    </w:pPr>
    <w:rPr>
      <w:rFonts w:ascii="Verdana" w:eastAsia="Times New Roman" w:hAnsi="Verdana" w:cs="Times New Roman"/>
      <w:sz w:val="20"/>
      <w:szCs w:val="20"/>
      <w:lang w:val="en-US"/>
    </w:rPr>
  </w:style>
  <w:style w:type="paragraph" w:customStyle="1" w:styleId="Listamulticolor-nfasis11">
    <w:name w:val="Lista multicolor - Énfasis 11"/>
    <w:basedOn w:val="Normal"/>
    <w:uiPriority w:val="99"/>
    <w:rsid w:val="00AC30EC"/>
    <w:pPr>
      <w:spacing w:after="200" w:line="276" w:lineRule="auto"/>
      <w:ind w:left="720"/>
      <w:contextualSpacing/>
    </w:pPr>
    <w:rPr>
      <w:rFonts w:ascii="Calibri" w:eastAsia="MS ??" w:hAnsi="Calibri" w:cs="Times New Roman"/>
      <w:lang w:val="es-ES"/>
    </w:rPr>
  </w:style>
  <w:style w:type="paragraph" w:customStyle="1" w:styleId="NoSpacing1">
    <w:name w:val="No Spacing1"/>
    <w:uiPriority w:val="99"/>
    <w:rsid w:val="00AC30EC"/>
    <w:pPr>
      <w:spacing w:after="0" w:line="240" w:lineRule="auto"/>
    </w:pPr>
    <w:rPr>
      <w:rFonts w:ascii="Calibri" w:eastAsia="MS ??" w:hAnsi="Calibri" w:cs="Times New Roman"/>
      <w:lang w:val="es-ES"/>
    </w:rPr>
  </w:style>
  <w:style w:type="paragraph" w:customStyle="1" w:styleId="CarCar1Car1">
    <w:name w:val="Car Car1 Car1"/>
    <w:basedOn w:val="Normal"/>
    <w:uiPriority w:val="99"/>
    <w:rsid w:val="00AC30EC"/>
    <w:pPr>
      <w:spacing w:line="240" w:lineRule="exact"/>
    </w:pPr>
    <w:rPr>
      <w:rFonts w:ascii="Verdana" w:eastAsia="MS ??" w:hAnsi="Verdana" w:cs="Verdana"/>
      <w:sz w:val="20"/>
      <w:szCs w:val="20"/>
      <w:lang w:val="en-US"/>
    </w:rPr>
  </w:style>
  <w:style w:type="paragraph" w:customStyle="1" w:styleId="CarCarCar1CarCarCarCarCarCarCarCarCarCarCarCarCar1">
    <w:name w:val="Car Car Car1 Car Car Car Car Car Car Car Car Car Car Car Car Car1"/>
    <w:basedOn w:val="Normal"/>
    <w:uiPriority w:val="99"/>
    <w:rsid w:val="00AC30EC"/>
    <w:pPr>
      <w:spacing w:line="240" w:lineRule="exact"/>
    </w:pPr>
    <w:rPr>
      <w:rFonts w:ascii="Verdana" w:eastAsia="MS ??" w:hAnsi="Verdana" w:cs="Times New Roman"/>
      <w:sz w:val="20"/>
      <w:szCs w:val="24"/>
      <w:lang w:val="en-US"/>
    </w:rPr>
  </w:style>
  <w:style w:type="paragraph" w:customStyle="1" w:styleId="listparagraph">
    <w:name w:val="listparagraph"/>
    <w:basedOn w:val="Normal"/>
    <w:uiPriority w:val="99"/>
    <w:rsid w:val="00AC30EC"/>
    <w:pPr>
      <w:spacing w:after="200" w:line="276" w:lineRule="auto"/>
      <w:ind w:left="720"/>
    </w:pPr>
    <w:rPr>
      <w:rFonts w:ascii="Calibri" w:eastAsia="Calibri" w:hAnsi="Calibri" w:cs="Calibri"/>
      <w:lang w:eastAsia="es-CO"/>
    </w:rPr>
  </w:style>
  <w:style w:type="paragraph" w:customStyle="1" w:styleId="UNICO">
    <w:name w:val="UNICO"/>
    <w:uiPriority w:val="99"/>
    <w:rsid w:val="00AC30EC"/>
    <w:pPr>
      <w:widowControl w:val="0"/>
      <w:autoSpaceDE w:val="0"/>
      <w:autoSpaceDN w:val="0"/>
      <w:adjustRightInd w:val="0"/>
      <w:spacing w:before="33" w:after="33" w:line="288" w:lineRule="auto"/>
      <w:jc w:val="both"/>
    </w:pPr>
    <w:rPr>
      <w:rFonts w:ascii="Arial" w:eastAsia="Times New Roman" w:hAnsi="Arial" w:cs="Times New Roman"/>
      <w:sz w:val="20"/>
      <w:szCs w:val="20"/>
      <w:lang w:val="es-ES" w:eastAsia="es-ES"/>
    </w:rPr>
  </w:style>
  <w:style w:type="paragraph" w:customStyle="1" w:styleId="Timesnewroman">
    <w:name w:val="Times new roman"/>
    <w:basedOn w:val="Normal"/>
    <w:uiPriority w:val="99"/>
    <w:rsid w:val="00AC30EC"/>
    <w:pPr>
      <w:widowControl w:val="0"/>
      <w:suppressAutoHyphens/>
      <w:spacing w:after="0" w:line="240" w:lineRule="auto"/>
      <w:jc w:val="both"/>
    </w:pPr>
    <w:rPr>
      <w:rFonts w:ascii="Arial" w:eastAsia="Arial Unicode MS" w:hAnsi="Arial" w:cs="Arial"/>
      <w:kern w:val="2"/>
      <w:sz w:val="24"/>
      <w:szCs w:val="24"/>
      <w:lang w:val="es-ES_tradnl" w:eastAsia="es-ES"/>
    </w:rPr>
  </w:style>
  <w:style w:type="paragraph" w:customStyle="1" w:styleId="CarCar1CarCarCar1CarCarCar2Car">
    <w:name w:val="Car Car1 Car Car Car1 Car Car Car2 Car"/>
    <w:basedOn w:val="Normal"/>
    <w:uiPriority w:val="99"/>
    <w:rsid w:val="00AC30EC"/>
    <w:pPr>
      <w:spacing w:line="240" w:lineRule="exact"/>
    </w:pPr>
    <w:rPr>
      <w:rFonts w:ascii="Verdana" w:eastAsia="Times New Roman" w:hAnsi="Verdana" w:cs="Times New Roman"/>
      <w:sz w:val="20"/>
      <w:szCs w:val="24"/>
      <w:lang w:val="en-US"/>
    </w:rPr>
  </w:style>
  <w:style w:type="paragraph" w:customStyle="1" w:styleId="CarCarCar1CarCarCarCarCarCarCarCarCarCarCarCarCarCar">
    <w:name w:val="Car Car Car1 Car Car Car Car Car Car Car Car Car Car Car Car Car Car"/>
    <w:aliases w:val="Car Car Car1 Car Car Car Car Car Car Car Car Car Car Car Car Car Car Car1 Car Car Car Car"/>
    <w:basedOn w:val="Normal"/>
    <w:uiPriority w:val="99"/>
    <w:rsid w:val="00AC30EC"/>
    <w:pPr>
      <w:spacing w:line="240" w:lineRule="exact"/>
    </w:pPr>
    <w:rPr>
      <w:rFonts w:ascii="Verdana" w:eastAsia="Times New Roman" w:hAnsi="Verdana" w:cs="Times New Roman"/>
      <w:b/>
      <w:sz w:val="20"/>
      <w:szCs w:val="24"/>
      <w:lang w:val="en-US"/>
    </w:rPr>
  </w:style>
  <w:style w:type="paragraph" w:customStyle="1" w:styleId="CarCar1CarCarCar1CarCarCar">
    <w:name w:val="Car Car1 Car Car Car1 Car Car Car"/>
    <w:basedOn w:val="Normal"/>
    <w:uiPriority w:val="99"/>
    <w:rsid w:val="00AC30EC"/>
    <w:pPr>
      <w:spacing w:line="240" w:lineRule="exact"/>
    </w:pPr>
    <w:rPr>
      <w:rFonts w:ascii="Verdana" w:eastAsia="Times New Roman" w:hAnsi="Verdana" w:cs="Times New Roman"/>
      <w:sz w:val="20"/>
      <w:szCs w:val="24"/>
      <w:lang w:val="en-US"/>
    </w:rPr>
  </w:style>
  <w:style w:type="paragraph" w:customStyle="1" w:styleId="CarCar1CarCarCar1CarCarCar1">
    <w:name w:val="Car Car1 Car Car Car1 Car Car Car1"/>
    <w:basedOn w:val="Normal"/>
    <w:uiPriority w:val="99"/>
    <w:rsid w:val="00AC30EC"/>
    <w:pPr>
      <w:spacing w:line="240" w:lineRule="exact"/>
    </w:pPr>
    <w:rPr>
      <w:rFonts w:ascii="Verdana" w:eastAsia="Times New Roman" w:hAnsi="Verdana" w:cs="Times New Roman"/>
      <w:sz w:val="20"/>
      <w:szCs w:val="24"/>
      <w:lang w:val="en-US"/>
    </w:rPr>
  </w:style>
  <w:style w:type="paragraph" w:customStyle="1" w:styleId="CarCar1CarCarCar1">
    <w:name w:val="Car Car1 Car Car Car1"/>
    <w:basedOn w:val="Normal"/>
    <w:uiPriority w:val="99"/>
    <w:rsid w:val="00AC30EC"/>
    <w:pPr>
      <w:spacing w:line="240" w:lineRule="exact"/>
    </w:pPr>
    <w:rPr>
      <w:rFonts w:ascii="Verdana" w:eastAsia="Times New Roman" w:hAnsi="Verdana" w:cs="Times New Roman"/>
      <w:sz w:val="20"/>
      <w:szCs w:val="24"/>
      <w:lang w:val="en-US"/>
    </w:rPr>
  </w:style>
  <w:style w:type="paragraph" w:customStyle="1" w:styleId="normalarial0">
    <w:name w:val="normalarial"/>
    <w:basedOn w:val="Normal"/>
    <w:uiPriority w:val="99"/>
    <w:rsid w:val="00AC30EC"/>
    <w:pPr>
      <w:spacing w:after="0" w:line="240" w:lineRule="auto"/>
    </w:pPr>
    <w:rPr>
      <w:rFonts w:ascii="Times New Roman" w:eastAsia="Times New Roman" w:hAnsi="Times New Roman" w:cs="Times New Roman"/>
      <w:sz w:val="24"/>
      <w:szCs w:val="24"/>
      <w:lang w:val="es-ES" w:eastAsia="es-ES"/>
    </w:rPr>
  </w:style>
  <w:style w:type="character" w:styleId="Refdecomentario">
    <w:name w:val="annotation reference"/>
    <w:basedOn w:val="Fuentedeprrafopredeter"/>
    <w:semiHidden/>
    <w:unhideWhenUsed/>
    <w:rsid w:val="00AC30EC"/>
    <w:rPr>
      <w:sz w:val="16"/>
      <w:szCs w:val="16"/>
    </w:rPr>
  </w:style>
  <w:style w:type="character" w:customStyle="1" w:styleId="idutext">
    <w:name w:val="idutext"/>
    <w:basedOn w:val="Fuentedeprrafopredeter"/>
    <w:rsid w:val="00AC30EC"/>
  </w:style>
  <w:style w:type="character" w:customStyle="1" w:styleId="notatitular1">
    <w:name w:val="nota_titular1"/>
    <w:basedOn w:val="Fuentedeprrafopredeter"/>
    <w:rsid w:val="00AC30EC"/>
    <w:rPr>
      <w:rFonts w:ascii="Arial" w:hAnsi="Arial" w:cs="Arial" w:hint="default"/>
      <w:sz w:val="60"/>
      <w:szCs w:val="60"/>
    </w:rPr>
  </w:style>
  <w:style w:type="character" w:customStyle="1" w:styleId="EstiloTahoma11pt">
    <w:name w:val="Estilo Tahoma 11 pt"/>
    <w:basedOn w:val="Fuentedeprrafopredeter"/>
    <w:rsid w:val="00AC30EC"/>
    <w:rPr>
      <w:rFonts w:ascii="Tahoma" w:hAnsi="Tahoma" w:cs="Times New Roman" w:hint="default"/>
      <w:sz w:val="24"/>
    </w:rPr>
  </w:style>
  <w:style w:type="character" w:customStyle="1" w:styleId="idutext1">
    <w:name w:val="idutext1"/>
    <w:basedOn w:val="Fuentedeprrafopredeter"/>
    <w:rsid w:val="00AC30EC"/>
    <w:rPr>
      <w:rFonts w:ascii="Verdana" w:hAnsi="Verdana" w:hint="default"/>
      <w:sz w:val="13"/>
      <w:szCs w:val="13"/>
    </w:rPr>
  </w:style>
  <w:style w:type="character" w:customStyle="1" w:styleId="apple-style-span">
    <w:name w:val="apple-style-span"/>
    <w:basedOn w:val="Fuentedeprrafopredeter"/>
    <w:rsid w:val="00AC30EC"/>
    <w:rPr>
      <w:rFonts w:ascii="Times New Roman" w:hAnsi="Times New Roman" w:cs="Times New Roman" w:hint="default"/>
    </w:rPr>
  </w:style>
  <w:style w:type="character" w:customStyle="1" w:styleId="clcerchi1">
    <w:name w:val="clcerchi1"/>
    <w:basedOn w:val="Fuentedeprrafopredeter"/>
    <w:semiHidden/>
    <w:rsid w:val="00AC30EC"/>
    <w:rPr>
      <w:rFonts w:ascii="Arial" w:hAnsi="Arial" w:cs="Arial" w:hint="default"/>
      <w:color w:val="auto"/>
      <w:sz w:val="20"/>
      <w:szCs w:val="20"/>
    </w:rPr>
  </w:style>
  <w:style w:type="character" w:customStyle="1" w:styleId="CharacterStyle1">
    <w:name w:val="Character Style 1"/>
    <w:rsid w:val="00AC30EC"/>
    <w:rPr>
      <w:sz w:val="20"/>
      <w:szCs w:val="20"/>
    </w:rPr>
  </w:style>
  <w:style w:type="character" w:customStyle="1" w:styleId="articuloCarCar">
    <w:name w:val="articulo Car Car"/>
    <w:basedOn w:val="Fuentedeprrafopredeter"/>
    <w:locked/>
    <w:rsid w:val="00AC30EC"/>
    <w:rPr>
      <w:rFonts w:ascii="Futura Md BT" w:hAnsi="Futura Md BT" w:hint="default"/>
      <w:sz w:val="24"/>
      <w:lang w:val="es-ES" w:eastAsia="es-ES" w:bidi="ar-SA"/>
    </w:rPr>
  </w:style>
  <w:style w:type="character" w:customStyle="1" w:styleId="HeaderChar">
    <w:name w:val="Header Char"/>
    <w:aliases w:val="Haut de page Char,articulo Char,Encabezado 2 Char,encabezado Char,encabezado Car Car Char,encabezado Car Car Car Car Car Char,encabezado Car Car Car Car Char,Encabezado Car Car Car Char,Encabezado Car Car Char,Encabezado Car Car Car Car Cha"/>
    <w:basedOn w:val="Fuentedeprrafopredeter"/>
    <w:semiHidden/>
    <w:locked/>
    <w:rsid w:val="00AC30EC"/>
    <w:rPr>
      <w:rFonts w:ascii="Futura Md BT" w:hAnsi="Futura Md BT" w:hint="default"/>
      <w:sz w:val="24"/>
      <w:lang w:val="es-ES" w:eastAsia="es-ES" w:bidi="ar-SA"/>
    </w:rPr>
  </w:style>
  <w:style w:type="character" w:customStyle="1" w:styleId="HeaderChar1">
    <w:name w:val="Header Char1"/>
    <w:aliases w:val="Haut de page Char1,Encabezado 2 Char1,encabezado Char1,articulo Char1,encabezado Car Car Char1,encabezado Car Car Car Car Car Char1,encabezado Car Car Car Car Char1,Encabezado Car Car Car Char1,Encabezado Car Car Char1"/>
    <w:basedOn w:val="Fuentedeprrafopredeter"/>
    <w:locked/>
    <w:rsid w:val="00AC30EC"/>
    <w:rPr>
      <w:rFonts w:ascii="MS ??" w:eastAsia="MS ??" w:hint="eastAsia"/>
      <w:sz w:val="24"/>
      <w:szCs w:val="24"/>
      <w:lang w:val="es-ES" w:eastAsia="es-ES" w:bidi="ar-SA"/>
    </w:rPr>
  </w:style>
  <w:style w:type="character" w:customStyle="1" w:styleId="BalloonTextChar">
    <w:name w:val="Balloon Text Char"/>
    <w:basedOn w:val="Fuentedeprrafopredeter"/>
    <w:semiHidden/>
    <w:locked/>
    <w:rsid w:val="00AC30EC"/>
    <w:rPr>
      <w:rFonts w:ascii="Tahoma" w:eastAsia="MS ??" w:hAnsi="Tahoma" w:cs="Tahoma" w:hint="default"/>
      <w:sz w:val="16"/>
      <w:szCs w:val="16"/>
      <w:lang w:val="es-ES" w:eastAsia="es-ES" w:bidi="ar-SA"/>
    </w:rPr>
  </w:style>
  <w:style w:type="character" w:customStyle="1" w:styleId="BodyTextIndent3Char">
    <w:name w:val="Body Text Indent 3 Char"/>
    <w:basedOn w:val="Fuentedeprrafopredeter"/>
    <w:locked/>
    <w:rsid w:val="00AC30EC"/>
    <w:rPr>
      <w:rFonts w:ascii="MS ??" w:eastAsia="MS ??" w:hint="eastAsia"/>
      <w:sz w:val="16"/>
      <w:szCs w:val="16"/>
      <w:lang w:val="es-ES" w:eastAsia="es-ES" w:bidi="ar-SA"/>
    </w:rPr>
  </w:style>
  <w:style w:type="character" w:customStyle="1" w:styleId="EstiloCorreo2091">
    <w:name w:val="EstiloCorreo2091"/>
    <w:basedOn w:val="Fuentedeprrafopredeter"/>
    <w:semiHidden/>
    <w:rsid w:val="00AC30EC"/>
    <w:rPr>
      <w:rFonts w:ascii="Comic Sans MS" w:hAnsi="Comic Sans MS" w:hint="default"/>
      <w:b w:val="0"/>
      <w:bCs w:val="0"/>
      <w:i w:val="0"/>
      <w:iCs w:val="0"/>
      <w:strike w:val="0"/>
      <w:dstrike w:val="0"/>
      <w:color w:val="0000FF"/>
      <w:sz w:val="22"/>
      <w:szCs w:val="22"/>
      <w:u w:val="none"/>
      <w:effect w:val="none"/>
    </w:rPr>
  </w:style>
  <w:style w:type="character" w:customStyle="1" w:styleId="st1">
    <w:name w:val="st1"/>
    <w:basedOn w:val="Fuentedeprrafopredeter"/>
    <w:rsid w:val="00AC30EC"/>
  </w:style>
  <w:style w:type="character" w:customStyle="1" w:styleId="Refdenotaalpie1">
    <w:name w:val="Ref. de nota al pie1"/>
    <w:rsid w:val="00AC30EC"/>
    <w:rPr>
      <w:vertAlign w:val="superscript"/>
    </w:rPr>
  </w:style>
  <w:style w:type="character" w:customStyle="1" w:styleId="EstiloCorreo2181">
    <w:name w:val="EstiloCorreo2181"/>
    <w:basedOn w:val="Fuentedeprrafopredeter"/>
    <w:semiHidden/>
    <w:rsid w:val="00AC30EC"/>
    <w:rPr>
      <w:rFonts w:ascii="Century Gothic" w:hAnsi="Century Gothic" w:hint="default"/>
      <w:b w:val="0"/>
      <w:bCs w:val="0"/>
      <w:i w:val="0"/>
      <w:iCs w:val="0"/>
      <w:strike w:val="0"/>
      <w:dstrike w:val="0"/>
      <w:color w:val="auto"/>
      <w:sz w:val="22"/>
      <w:szCs w:val="22"/>
      <w:u w:val="none"/>
      <w:effect w:val="none"/>
    </w:rPr>
  </w:style>
  <w:style w:type="character" w:customStyle="1" w:styleId="WW-Absatz-Standardschriftart1111111111111">
    <w:name w:val="WW-Absatz-Standardschriftart1111111111111"/>
    <w:rsid w:val="00AC30EC"/>
  </w:style>
  <w:style w:type="character" w:customStyle="1" w:styleId="Fuentedeprrafopredeter0">
    <w:name w:val="Fuente de párrafo predeter"/>
    <w:uiPriority w:val="1"/>
    <w:semiHidden/>
    <w:rsid w:val="00AC30EC"/>
  </w:style>
  <w:style w:type="character" w:customStyle="1" w:styleId="Fuentedeprrafopredeter2">
    <w:name w:val="Fuente de párrafo predeter2"/>
    <w:uiPriority w:val="1"/>
    <w:semiHidden/>
    <w:rsid w:val="00AC30EC"/>
  </w:style>
  <w:style w:type="character" w:customStyle="1" w:styleId="Fuentedeprrafopredeter1">
    <w:name w:val="Fuente de párrafo predeter1"/>
    <w:uiPriority w:val="1"/>
    <w:semiHidden/>
    <w:rsid w:val="00AC30EC"/>
  </w:style>
  <w:style w:type="character" w:customStyle="1" w:styleId="tl8wme">
    <w:name w:val="tl8wme"/>
    <w:basedOn w:val="Fuentedeprrafopredeter"/>
    <w:rsid w:val="00AC30EC"/>
  </w:style>
  <w:style w:type="table" w:styleId="Tablaclsica2">
    <w:name w:val="Table Classic 2"/>
    <w:basedOn w:val="Tablanormal"/>
    <w:semiHidden/>
    <w:unhideWhenUsed/>
    <w:rsid w:val="00AC30EC"/>
    <w:pPr>
      <w:spacing w:after="0" w:line="240" w:lineRule="auto"/>
    </w:pPr>
    <w:rPr>
      <w:rFonts w:ascii="Times New Roman" w:eastAsia="Times New Roman" w:hAnsi="Times New Roman" w:cs="Times New Roman"/>
      <w:sz w:val="20"/>
      <w:szCs w:val="20"/>
      <w:lang w:eastAsia="es-CO"/>
    </w:rPr>
    <w:tblPr>
      <w:tblInd w:w="0" w:type="nil"/>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aconcuadrcula1">
    <w:name w:val="Table Grid 1"/>
    <w:basedOn w:val="Tablanormal"/>
    <w:semiHidden/>
    <w:unhideWhenUsed/>
    <w:rsid w:val="00AC30EC"/>
    <w:pPr>
      <w:spacing w:after="0" w:line="240" w:lineRule="auto"/>
    </w:pPr>
    <w:rPr>
      <w:rFonts w:ascii="Times New Roman" w:eastAsia="Times New Roman" w:hAnsi="Times New Roman" w:cs="Times New Roman"/>
      <w:sz w:val="20"/>
      <w:szCs w:val="20"/>
      <w:lang w:eastAsia="es-CO"/>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amoderna">
    <w:name w:val="Table Contemporary"/>
    <w:basedOn w:val="Tablanormal"/>
    <w:uiPriority w:val="99"/>
    <w:semiHidden/>
    <w:unhideWhenUsed/>
    <w:rsid w:val="00AC30EC"/>
    <w:pPr>
      <w:spacing w:after="0" w:line="240" w:lineRule="auto"/>
    </w:pPr>
    <w:rPr>
      <w:rFonts w:ascii="Times New Roman" w:eastAsia="Times New Roman" w:hAnsi="Times New Roman" w:cs="Times New Roman"/>
      <w:sz w:val="20"/>
      <w:szCs w:val="20"/>
      <w:lang w:eastAsia="es-CO"/>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profesional">
    <w:name w:val="Table Professional"/>
    <w:basedOn w:val="Tablanormal"/>
    <w:semiHidden/>
    <w:unhideWhenUsed/>
    <w:rsid w:val="00AC30EC"/>
    <w:pPr>
      <w:spacing w:after="0" w:line="240" w:lineRule="auto"/>
    </w:pPr>
    <w:rPr>
      <w:rFonts w:ascii="Times New Roman" w:eastAsia="Times New Roman" w:hAnsi="Times New Roman" w:cs="Times New Roman"/>
      <w:sz w:val="20"/>
      <w:szCs w:val="20"/>
      <w:lang w:eastAsia="es-CO"/>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styleId="Tablaweb1">
    <w:name w:val="Table Web 1"/>
    <w:basedOn w:val="Tablanormal"/>
    <w:semiHidden/>
    <w:unhideWhenUsed/>
    <w:rsid w:val="00AC30EC"/>
    <w:pPr>
      <w:spacing w:after="0" w:line="240" w:lineRule="auto"/>
    </w:pPr>
    <w:rPr>
      <w:rFonts w:ascii="Times New Roman" w:eastAsia="Times New Roman" w:hAnsi="Times New Roman" w:cs="Times New Roman"/>
      <w:sz w:val="20"/>
      <w:szCs w:val="20"/>
      <w:lang w:eastAsia="es-CO"/>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Tablaweb2">
    <w:name w:val="Table Web 2"/>
    <w:basedOn w:val="Tablanormal"/>
    <w:semiHidden/>
    <w:unhideWhenUsed/>
    <w:rsid w:val="00AC30EC"/>
    <w:pPr>
      <w:spacing w:after="0" w:line="240" w:lineRule="auto"/>
    </w:pPr>
    <w:rPr>
      <w:rFonts w:ascii="Times New Roman" w:eastAsia="Times New Roman" w:hAnsi="Times New Roman" w:cs="Times New Roman"/>
      <w:sz w:val="20"/>
      <w:szCs w:val="20"/>
      <w:lang w:eastAsia="es-CO"/>
    </w:rPr>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Tablacontema">
    <w:name w:val="Table Theme"/>
    <w:basedOn w:val="Tablanormal"/>
    <w:semiHidden/>
    <w:unhideWhenUsed/>
    <w:rsid w:val="00AC30EC"/>
    <w:pPr>
      <w:spacing w:after="0" w:line="240" w:lineRule="auto"/>
    </w:pPr>
    <w:rPr>
      <w:rFonts w:ascii="Times New Roman" w:eastAsia="Times New Roman" w:hAnsi="Times New Roman" w:cs="Times New Roman"/>
      <w:sz w:val="20"/>
      <w:szCs w:val="20"/>
      <w:lang w:eastAsia="es-C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claro">
    <w:name w:val="Light Shading"/>
    <w:basedOn w:val="Tablanormal"/>
    <w:uiPriority w:val="60"/>
    <w:rsid w:val="00AC30EC"/>
    <w:pPr>
      <w:spacing w:after="0" w:line="240" w:lineRule="auto"/>
    </w:pPr>
    <w:rPr>
      <w:rFonts w:eastAsiaTheme="minorEastAsia" w:cs="Times New Roman"/>
      <w:color w:val="000000" w:themeColor="text1" w:themeShade="BF"/>
      <w:lang w:eastAsia="es-CO"/>
    </w:rPr>
    <w:tblPr>
      <w:tblStyleRowBandSize w:val="1"/>
      <w:tblStyleColBandSize w:val="1"/>
      <w:tblInd w:w="0" w:type="nil"/>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Cuadrculaclara">
    <w:name w:val="Light Grid"/>
    <w:basedOn w:val="Tablanormal"/>
    <w:uiPriority w:val="62"/>
    <w:rsid w:val="00AC30EC"/>
    <w:pPr>
      <w:spacing w:after="0" w:line="240" w:lineRule="auto"/>
    </w:pPr>
    <w:rPr>
      <w:rFonts w:eastAsiaTheme="minorEastAsia" w:cs="Times New Roman"/>
      <w:lang w:eastAsia="es-CO"/>
    </w:rPr>
    <w:tblPr>
      <w:tblStyleRowBandSize w:val="1"/>
      <w:tblStyleColBandSize w:val="1"/>
      <w:tblInd w:w="0" w:type="nil"/>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Sombreadomedio2">
    <w:name w:val="Medium Shading 2"/>
    <w:basedOn w:val="Tablanormal"/>
    <w:uiPriority w:val="64"/>
    <w:rsid w:val="00AC30EC"/>
    <w:pPr>
      <w:spacing w:after="0" w:line="240" w:lineRule="auto"/>
    </w:pPr>
    <w:rPr>
      <w:rFonts w:eastAsiaTheme="minorEastAsia" w:cs="Times New Roman"/>
      <w:lang w:eastAsia="es-CO"/>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uadrculavistosa">
    <w:name w:val="Colorful Grid"/>
    <w:basedOn w:val="Tablanormal"/>
    <w:uiPriority w:val="73"/>
    <w:rsid w:val="00AC30EC"/>
    <w:pPr>
      <w:spacing w:after="0" w:line="240" w:lineRule="auto"/>
    </w:pPr>
    <w:rPr>
      <w:rFonts w:eastAsiaTheme="minorEastAsia" w:cs="Times New Roman"/>
      <w:color w:val="000000" w:themeColor="text1"/>
      <w:lang w:eastAsia="es-CO"/>
    </w:rPr>
    <w:tblPr>
      <w:tblStyleRowBandSize w:val="1"/>
      <w:tblStyleColBandSize w:val="1"/>
      <w:tblInd w:w="0" w:type="nil"/>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Sombreadomedio2-nfasis1">
    <w:name w:val="Medium Shading 2 Accent 1"/>
    <w:basedOn w:val="Tablanormal"/>
    <w:uiPriority w:val="64"/>
    <w:rsid w:val="00AC30EC"/>
    <w:pPr>
      <w:spacing w:after="0" w:line="240" w:lineRule="auto"/>
    </w:pPr>
    <w:rPr>
      <w:rFonts w:eastAsiaTheme="minorEastAsia" w:cs="Times New Roman"/>
      <w:lang w:eastAsia="es-CO"/>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Estilo2">
    <w:name w:val="Estilo2"/>
    <w:basedOn w:val="Tablamoderna"/>
    <w:uiPriority w:val="99"/>
    <w:rsid w:val="00AC30EC"/>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aconcuadrcula10">
    <w:name w:val="Tabla con cuadrícula1"/>
    <w:basedOn w:val="Tablanormal"/>
    <w:uiPriority w:val="39"/>
    <w:rsid w:val="00AC30E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uiPriority w:val="39"/>
    <w:rsid w:val="00AC30E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uiPriority w:val="39"/>
    <w:rsid w:val="00AC30E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styleId="111111">
    <w:name w:val="Outline List 2"/>
    <w:basedOn w:val="Sinlista"/>
    <w:semiHidden/>
    <w:unhideWhenUsed/>
    <w:rsid w:val="00AC30EC"/>
    <w:pPr>
      <w:numPr>
        <w:numId w:val="43"/>
      </w:numPr>
    </w:pPr>
  </w:style>
  <w:style w:type="numbering" w:customStyle="1" w:styleId="Estilo1">
    <w:name w:val="Estilo1"/>
    <w:rsid w:val="00AC30EC"/>
    <w:pPr>
      <w:numPr>
        <w:numId w:val="44"/>
      </w:numPr>
    </w:pPr>
  </w:style>
  <w:style w:type="paragraph" w:customStyle="1" w:styleId="TablaParteI">
    <w:name w:val="Tabla Parte I"/>
    <w:basedOn w:val="Normal"/>
    <w:rsid w:val="00AC30EC"/>
    <w:pPr>
      <w:numPr>
        <w:numId w:val="48"/>
      </w:numPr>
      <w:tabs>
        <w:tab w:val="left" w:pos="0"/>
      </w:tabs>
      <w:spacing w:before="20" w:after="120" w:line="360" w:lineRule="auto"/>
      <w:jc w:val="center"/>
    </w:pPr>
    <w:rPr>
      <w:rFonts w:ascii="Century Gothic" w:eastAsia="Times New Roman" w:hAnsi="Century Gothic" w:cs="Times New Roman"/>
      <w:b/>
      <w:bCs/>
      <w:sz w:val="18"/>
      <w:szCs w:val="18"/>
      <w:lang w:val="es-ES" w:eastAsia="es-ES"/>
    </w:rPr>
  </w:style>
  <w:style w:type="paragraph" w:customStyle="1" w:styleId="Titulo1C">
    <w:name w:val="Titulo 1 C"/>
    <w:basedOn w:val="Normal"/>
    <w:rsid w:val="00AC30EC"/>
    <w:pPr>
      <w:numPr>
        <w:numId w:val="49"/>
      </w:numPr>
      <w:spacing w:after="0" w:line="240" w:lineRule="auto"/>
      <w:jc w:val="center"/>
    </w:pPr>
    <w:rPr>
      <w:rFonts w:ascii="Century Gothic" w:eastAsia="Times New Roman" w:hAnsi="Century Gothic" w:cs="Arial"/>
      <w:b/>
      <w:sz w:val="18"/>
      <w:szCs w:val="18"/>
      <w:lang w:val="es-ES" w:eastAsia="es-ES"/>
    </w:rPr>
  </w:style>
  <w:style w:type="character" w:customStyle="1" w:styleId="DefaultCar">
    <w:name w:val="Default Car"/>
    <w:link w:val="Default"/>
    <w:locked/>
    <w:rsid w:val="00AC30EC"/>
    <w:rPr>
      <w:rFonts w:ascii="Calibri" w:eastAsia="Calibri" w:hAnsi="Calibri" w:cs="Calibri"/>
      <w:color w:val="000000"/>
      <w:sz w:val="24"/>
      <w:szCs w:val="24"/>
    </w:rPr>
  </w:style>
  <w:style w:type="paragraph" w:customStyle="1" w:styleId="Cuerpo">
    <w:name w:val="Cuerpo"/>
    <w:rsid w:val="00AC30EC"/>
    <w:pPr>
      <w:pBdr>
        <w:top w:val="nil"/>
        <w:left w:val="nil"/>
        <w:bottom w:val="nil"/>
        <w:right w:val="nil"/>
        <w:between w:val="nil"/>
        <w:bar w:val="nil"/>
      </w:pBdr>
      <w:spacing w:after="0" w:line="240" w:lineRule="auto"/>
      <w:jc w:val="both"/>
    </w:pPr>
    <w:rPr>
      <w:rFonts w:ascii="Arial" w:eastAsia="Arial Unicode MS" w:hAnsi="Arial" w:cs="Arial Unicode MS"/>
      <w:color w:val="000000"/>
      <w:u w:color="000000"/>
      <w:bdr w:val="nil"/>
      <w:lang w:val="es-ES_tradnl" w:eastAsia="es-CO"/>
      <w14:textOutline w14:w="0" w14:cap="flat" w14:cmpd="sng" w14:algn="ctr">
        <w14:noFill/>
        <w14:prstDash w14:val="solid"/>
        <w14:bevel/>
      </w14:textOutline>
    </w:rPr>
  </w:style>
  <w:style w:type="character" w:customStyle="1" w:styleId="Ninguno">
    <w:name w:val="Ninguno"/>
    <w:rsid w:val="00AC30EC"/>
    <w:rPr>
      <w:lang w:val="es-ES_tradnl"/>
    </w:rPr>
  </w:style>
  <w:style w:type="character" w:styleId="Referenciasutil">
    <w:name w:val="Subtle Reference"/>
    <w:uiPriority w:val="31"/>
    <w:qFormat/>
    <w:rsid w:val="00AC30EC"/>
    <w:rPr>
      <w:rFonts w:cs="Times New Roman"/>
      <w:sz w:val="24"/>
      <w:szCs w:val="24"/>
      <w:u w:val="single"/>
    </w:rPr>
  </w:style>
  <w:style w:type="paragraph" w:customStyle="1" w:styleId="Creditos">
    <w:name w:val="Creditos"/>
    <w:basedOn w:val="Normal"/>
    <w:link w:val="CreditosCar"/>
    <w:uiPriority w:val="99"/>
    <w:rsid w:val="00AC30EC"/>
    <w:pPr>
      <w:widowControl w:val="0"/>
      <w:spacing w:after="0" w:line="240" w:lineRule="auto"/>
      <w:jc w:val="center"/>
    </w:pPr>
    <w:rPr>
      <w:rFonts w:ascii="Arial" w:eastAsia="Times New Roman" w:hAnsi="Arial" w:cs="Arial"/>
      <w:bCs/>
      <w:noProof/>
      <w:sz w:val="18"/>
      <w:szCs w:val="24"/>
      <w:lang w:eastAsia="es-ES"/>
    </w:rPr>
  </w:style>
  <w:style w:type="character" w:customStyle="1" w:styleId="CreditosCar">
    <w:name w:val="Creditos Car"/>
    <w:basedOn w:val="Fuentedeprrafopredeter"/>
    <w:link w:val="Creditos"/>
    <w:uiPriority w:val="99"/>
    <w:locked/>
    <w:rsid w:val="00AC30EC"/>
    <w:rPr>
      <w:rFonts w:ascii="Arial" w:eastAsia="Times New Roman" w:hAnsi="Arial" w:cs="Arial"/>
      <w:bCs/>
      <w:noProof/>
      <w:sz w:val="18"/>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446874">
      <w:bodyDiv w:val="1"/>
      <w:marLeft w:val="0"/>
      <w:marRight w:val="0"/>
      <w:marTop w:val="0"/>
      <w:marBottom w:val="0"/>
      <w:divBdr>
        <w:top w:val="none" w:sz="0" w:space="0" w:color="auto"/>
        <w:left w:val="none" w:sz="0" w:space="0" w:color="auto"/>
        <w:bottom w:val="none" w:sz="0" w:space="0" w:color="auto"/>
        <w:right w:val="none" w:sz="0" w:space="0" w:color="auto"/>
      </w:divBdr>
    </w:div>
    <w:div w:id="138690281">
      <w:bodyDiv w:val="1"/>
      <w:marLeft w:val="0"/>
      <w:marRight w:val="0"/>
      <w:marTop w:val="0"/>
      <w:marBottom w:val="0"/>
      <w:divBdr>
        <w:top w:val="none" w:sz="0" w:space="0" w:color="auto"/>
        <w:left w:val="none" w:sz="0" w:space="0" w:color="auto"/>
        <w:bottom w:val="none" w:sz="0" w:space="0" w:color="auto"/>
        <w:right w:val="none" w:sz="0" w:space="0" w:color="auto"/>
      </w:divBdr>
    </w:div>
    <w:div w:id="539393265">
      <w:bodyDiv w:val="1"/>
      <w:marLeft w:val="0"/>
      <w:marRight w:val="0"/>
      <w:marTop w:val="0"/>
      <w:marBottom w:val="0"/>
      <w:divBdr>
        <w:top w:val="none" w:sz="0" w:space="0" w:color="auto"/>
        <w:left w:val="none" w:sz="0" w:space="0" w:color="auto"/>
        <w:bottom w:val="none" w:sz="0" w:space="0" w:color="auto"/>
        <w:right w:val="none" w:sz="0" w:space="0" w:color="auto"/>
      </w:divBdr>
    </w:div>
    <w:div w:id="822623414">
      <w:bodyDiv w:val="1"/>
      <w:marLeft w:val="0"/>
      <w:marRight w:val="0"/>
      <w:marTop w:val="0"/>
      <w:marBottom w:val="0"/>
      <w:divBdr>
        <w:top w:val="none" w:sz="0" w:space="0" w:color="auto"/>
        <w:left w:val="none" w:sz="0" w:space="0" w:color="auto"/>
        <w:bottom w:val="none" w:sz="0" w:space="0" w:color="auto"/>
        <w:right w:val="none" w:sz="0" w:space="0" w:color="auto"/>
      </w:divBdr>
    </w:div>
    <w:div w:id="858153977">
      <w:bodyDiv w:val="1"/>
      <w:marLeft w:val="0"/>
      <w:marRight w:val="0"/>
      <w:marTop w:val="0"/>
      <w:marBottom w:val="0"/>
      <w:divBdr>
        <w:top w:val="none" w:sz="0" w:space="0" w:color="auto"/>
        <w:left w:val="none" w:sz="0" w:space="0" w:color="auto"/>
        <w:bottom w:val="none" w:sz="0" w:space="0" w:color="auto"/>
        <w:right w:val="none" w:sz="0" w:space="0" w:color="auto"/>
      </w:divBdr>
    </w:div>
    <w:div w:id="964000429">
      <w:bodyDiv w:val="1"/>
      <w:marLeft w:val="0"/>
      <w:marRight w:val="0"/>
      <w:marTop w:val="0"/>
      <w:marBottom w:val="0"/>
      <w:divBdr>
        <w:top w:val="none" w:sz="0" w:space="0" w:color="auto"/>
        <w:left w:val="none" w:sz="0" w:space="0" w:color="auto"/>
        <w:bottom w:val="none" w:sz="0" w:space="0" w:color="auto"/>
        <w:right w:val="none" w:sz="0" w:space="0" w:color="auto"/>
      </w:divBdr>
    </w:div>
    <w:div w:id="989868129">
      <w:bodyDiv w:val="1"/>
      <w:marLeft w:val="0"/>
      <w:marRight w:val="0"/>
      <w:marTop w:val="0"/>
      <w:marBottom w:val="0"/>
      <w:divBdr>
        <w:top w:val="none" w:sz="0" w:space="0" w:color="auto"/>
        <w:left w:val="none" w:sz="0" w:space="0" w:color="auto"/>
        <w:bottom w:val="none" w:sz="0" w:space="0" w:color="auto"/>
        <w:right w:val="none" w:sz="0" w:space="0" w:color="auto"/>
      </w:divBdr>
    </w:div>
    <w:div w:id="1679192505">
      <w:bodyDiv w:val="1"/>
      <w:marLeft w:val="0"/>
      <w:marRight w:val="0"/>
      <w:marTop w:val="0"/>
      <w:marBottom w:val="0"/>
      <w:divBdr>
        <w:top w:val="none" w:sz="0" w:space="0" w:color="auto"/>
        <w:left w:val="none" w:sz="0" w:space="0" w:color="auto"/>
        <w:bottom w:val="none" w:sz="0" w:space="0" w:color="auto"/>
        <w:right w:val="none" w:sz="0" w:space="0" w:color="auto"/>
      </w:divBdr>
    </w:div>
    <w:div w:id="1836188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0.jpeg"/><Relationship Id="rId26" Type="http://schemas.openxmlformats.org/officeDocument/2006/relationships/image" Target="media/image17.emf"/><Relationship Id="rId39" Type="http://schemas.openxmlformats.org/officeDocument/2006/relationships/image" Target="media/image28.png"/><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image" Target="media/image31.png"/><Relationship Id="rId47" Type="http://schemas.openxmlformats.org/officeDocument/2006/relationships/image" Target="media/image36.emf"/><Relationship Id="rId50" Type="http://schemas.openxmlformats.org/officeDocument/2006/relationships/image" Target="media/image39.emf"/><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9.png"/><Relationship Id="rId11" Type="http://schemas.openxmlformats.org/officeDocument/2006/relationships/image" Target="media/image4.emf"/><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jpeg"/><Relationship Id="rId5" Type="http://schemas.openxmlformats.org/officeDocument/2006/relationships/webSettings" Target="webSettings.xml"/><Relationship Id="rId19" Type="http://schemas.openxmlformats.org/officeDocument/2006/relationships/hyperlink" Target="https://secretariageneral.gov.co/noticias/bogota-entrego-premio-gestion-2019"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3.png"/><Relationship Id="rId27" Type="http://schemas.openxmlformats.org/officeDocument/2006/relationships/hyperlink" Target="https://openerp.idu.gov.co" TargetMode="External"/><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emf"/><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hyperlink" Target="https://www.funcionpublica.gov.co/eva/mipg/pdf/Presentacion_MIPG.pdf" TargetMode="External"/><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11.png"/><Relationship Id="rId41" Type="http://schemas.openxmlformats.org/officeDocument/2006/relationships/image" Target="media/image30.emf"/><Relationship Id="rId54"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hyperlink" Target="http://intranet/manualProcesos/Innovacion_y_Gestion_Conocimiento/04_Instructivos_Guias_Cartillas/GUIC10_PRESENTACION_Y_REPORTES_DE_INFORMACION_DE_ENSAYOS_V_1.pdf" TargetMode="External"/><Relationship Id="rId49" Type="http://schemas.openxmlformats.org/officeDocument/2006/relationships/image" Target="media/image38.emf"/><Relationship Id="rId57" Type="http://schemas.openxmlformats.org/officeDocument/2006/relationships/theme" Target="theme/theme1.xml"/><Relationship Id="rId10" Type="http://schemas.openxmlformats.org/officeDocument/2006/relationships/image" Target="media/image3.emf"/><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jpeg"/></Relationships>
</file>

<file path=word/_rels/footer1.xml.rels><?xml version="1.0" encoding="UTF-8" standalone="yes"?>
<Relationships xmlns="http://schemas.openxmlformats.org/package/2006/relationships"><Relationship Id="rId1" Type="http://schemas.openxmlformats.org/officeDocument/2006/relationships/image" Target="media/image44.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C7F0A4-40AA-4435-AD51-7A685346DB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114</Pages>
  <Words>31435</Words>
  <Characters>172896</Characters>
  <Application>Microsoft Office Word</Application>
  <DocSecurity>0</DocSecurity>
  <Lines>1440</Lines>
  <Paragraphs>407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203924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Dickson Alberto Pinzon Corredor</dc:creator>
  <cp:keywords/>
  <dc:description/>
  <cp:lastModifiedBy>Dickson Alberto Pinzon Corredor</cp:lastModifiedBy>
  <cp:revision>3</cp:revision>
  <cp:lastPrinted>2020-01-24T21:19:00Z</cp:lastPrinted>
  <dcterms:created xsi:type="dcterms:W3CDTF">2020-01-29T15:42:00Z</dcterms:created>
  <dcterms:modified xsi:type="dcterms:W3CDTF">2020-01-30T13:16:00Z</dcterms:modified>
</cp:coreProperties>
</file>