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cs="Arial"/>
        </w:rPr>
        <w:id w:val="1785453656"/>
        <w:docPartObj>
          <w:docPartGallery w:val="Cover Pages"/>
          <w:docPartUnique/>
        </w:docPartObj>
      </w:sdtPr>
      <w:sdtEndPr>
        <w:rPr>
          <w:noProof/>
          <w:lang w:val="es-CO" w:eastAsia="es-CO"/>
        </w:rPr>
      </w:sdtEndPr>
      <w:sdtContent>
        <w:p w:rsidR="003A6E45" w:rsidRPr="00104F4B" w:rsidRDefault="00EF4291">
          <w:pPr>
            <w:rPr>
              <w:rFonts w:cs="Arial"/>
            </w:rPr>
          </w:pPr>
          <w:r w:rsidRPr="00EF4291">
            <w:rPr>
              <w:rFonts w:cs="Arial"/>
              <w:noProof/>
              <w:lang w:val="es-CO" w:eastAsia="es-CO"/>
            </w:rPr>
            <mc:AlternateContent>
              <mc:Choice Requires="wps">
                <w:drawing>
                  <wp:anchor distT="0" distB="0" distL="114300" distR="114300" simplePos="0" relativeHeight="251666432" behindDoc="0" locked="0" layoutInCell="1" allowOverlap="1" wp14:anchorId="17FD38B2" wp14:editId="6874B0DF">
                    <wp:simplePos x="0" y="0"/>
                    <wp:positionH relativeFrom="column">
                      <wp:posOffset>1678940</wp:posOffset>
                    </wp:positionH>
                    <wp:positionV relativeFrom="paragraph">
                      <wp:posOffset>5936615</wp:posOffset>
                    </wp:positionV>
                    <wp:extent cx="2997642" cy="461176"/>
                    <wp:effectExtent l="0" t="0" r="0" b="0"/>
                    <wp:wrapNone/>
                    <wp:docPr id="22" name="Rectángulo 4"/>
                    <wp:cNvGraphicFramePr/>
                    <a:graphic xmlns:a="http://schemas.openxmlformats.org/drawingml/2006/main">
                      <a:graphicData uri="http://schemas.microsoft.com/office/word/2010/wordprocessingShape">
                        <wps:wsp>
                          <wps:cNvSpPr/>
                          <wps:spPr>
                            <a:xfrm>
                              <a:off x="0" y="0"/>
                              <a:ext cx="2997642" cy="461176"/>
                            </a:xfrm>
                            <a:prstGeom prst="rect">
                              <a:avLst/>
                            </a:prstGeom>
                          </wps:spPr>
                          <wps:txbx>
                            <w:txbxContent>
                              <w:p w:rsidR="00EF4291" w:rsidRPr="00EF4291" w:rsidRDefault="00EF4291" w:rsidP="00EF4291">
                                <w:pPr>
                                  <w:pStyle w:val="NormalWeb"/>
                                  <w:spacing w:before="0" w:beforeAutospacing="0" w:after="200" w:afterAutospacing="0"/>
                                  <w:jc w:val="center"/>
                                  <w:rPr>
                                    <w:sz w:val="24"/>
                                  </w:rPr>
                                </w:pPr>
                                <w:r w:rsidRPr="00EF4291">
                                  <w:rPr>
                                    <w:rFonts w:ascii="Arial Rounded MT Bold" w:eastAsia="Calibri" w:hAnsi="Arial Rounded MT Bold"/>
                                    <w:color w:val="00AEEF"/>
                                    <w:kern w:val="24"/>
                                    <w:sz w:val="24"/>
                                  </w:rPr>
                                  <w:t>INSTITUTO DE DESARROLLO URBANO</w:t>
                                </w:r>
                              </w:p>
                              <w:p w:rsidR="00EF4291" w:rsidRPr="00EF4291" w:rsidRDefault="00EF4291" w:rsidP="00EF4291">
                                <w:pPr>
                                  <w:pStyle w:val="NormalWeb"/>
                                  <w:spacing w:before="0" w:beforeAutospacing="0" w:after="200" w:afterAutospacing="0"/>
                                  <w:jc w:val="center"/>
                                  <w:rPr>
                                    <w:sz w:val="24"/>
                                  </w:rPr>
                                </w:pPr>
                                <w:r w:rsidRPr="00EF4291">
                                  <w:rPr>
                                    <w:rFonts w:ascii="Arial Rounded MT Bold" w:eastAsia="Calibri" w:hAnsi="Arial Rounded MT Bold"/>
                                    <w:color w:val="00AEEF"/>
                                    <w:kern w:val="24"/>
                                    <w:sz w:val="24"/>
                                  </w:rPr>
                                  <w:t>IDU</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17FD38B2" id="Rectángulo 4" o:spid="_x0000_s1026" style="position:absolute;left:0;text-align:left;margin-left:132.2pt;margin-top:467.45pt;width:236.05pt;height:36.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" filled="f" stroked="f">
                    <v:textbox>
                      <w:txbxContent>
                        <w:p w:rsidR="00EF4291" w:rsidRPr="00EF4291" w:rsidRDefault="00EF4291" w:rsidP="00EF4291">
                          <w:pPr>
                            <w:pStyle w:val="NormalWeb"/>
                            <w:spacing w:before="0" w:beforeAutospacing="0" w:after="200" w:afterAutospacing="0"/>
                            <w:jc w:val="center"/>
                            <w:rPr>
                              <w:sz w:val="24"/>
                            </w:rPr>
                          </w:pPr>
                          <w:r w:rsidRPr="00EF4291">
                            <w:rPr>
                              <w:rFonts w:ascii="Arial Rounded MT Bold" w:eastAsia="Calibri" w:hAnsi="Arial Rounded MT Bold"/>
                              <w:color w:val="00AEEF"/>
                              <w:kern w:val="24"/>
                              <w:sz w:val="24"/>
                            </w:rPr>
                            <w:t>INSTITUTO DE DESARROLLO URBANO</w:t>
                          </w:r>
                        </w:p>
                        <w:p w:rsidR="00EF4291" w:rsidRPr="00EF4291" w:rsidRDefault="00EF4291" w:rsidP="00EF4291">
                          <w:pPr>
                            <w:pStyle w:val="NormalWeb"/>
                            <w:spacing w:before="0" w:beforeAutospacing="0" w:after="200" w:afterAutospacing="0"/>
                            <w:jc w:val="center"/>
                            <w:rPr>
                              <w:sz w:val="24"/>
                            </w:rPr>
                          </w:pPr>
                          <w:r w:rsidRPr="00EF4291">
                            <w:rPr>
                              <w:rFonts w:ascii="Arial Rounded MT Bold" w:eastAsia="Calibri" w:hAnsi="Arial Rounded MT Bold"/>
                              <w:color w:val="00AEEF"/>
                              <w:kern w:val="24"/>
                              <w:sz w:val="24"/>
                            </w:rPr>
                            <w:t>IDU</w:t>
                          </w:r>
                        </w:p>
                      </w:txbxContent>
                    </v:textbox>
                  </v:rect>
                </w:pict>
              </mc:Fallback>
            </mc:AlternateContent>
          </w:r>
          <w:r w:rsidR="00AA20E2">
            <w:rPr>
              <w:noProof/>
              <w:lang w:val="es-CO" w:eastAsia="es-CO"/>
            </w:rPr>
            <w:drawing>
              <wp:inline distT="0" distB="0" distL="0" distR="0" wp14:anchorId="5EE00ECB" wp14:editId="4493418A">
                <wp:extent cx="5612130" cy="7260590"/>
                <wp:effectExtent l="0" t="0" r="7620" b="0"/>
                <wp:docPr id="3" name="Imagen 3" descr="D:\Users\pdpinzon1\Downloads\Portada_planeación-01.jpg"/>
                <wp:cNvGraphicFramePr/>
                <a:graphic xmlns:a="http://schemas.openxmlformats.org/drawingml/2006/main">
                  <a:graphicData uri="http://schemas.openxmlformats.org/drawingml/2006/picture">
                    <pic:pic xmlns:pic="http://schemas.openxmlformats.org/drawingml/2006/picture">
                      <pic:nvPicPr>
                        <pic:cNvPr id="1" name="Imagen 1" descr="D:\Users\pdpinzon1\Downloads\Portada_planeación-01.jpg"/>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12130" cy="7260590"/>
                        </a:xfrm>
                        <a:prstGeom prst="rect">
                          <a:avLst/>
                        </a:prstGeom>
                        <a:noFill/>
                        <a:ln>
                          <a:noFill/>
                        </a:ln>
                      </pic:spPr>
                    </pic:pic>
                  </a:graphicData>
                </a:graphic>
              </wp:inline>
            </w:drawing>
          </w:r>
        </w:p>
      </w:sdtContent>
    </w:sdt>
    <w:p w:rsidR="00D03FD5" w:rsidRPr="00104F4B" w:rsidRDefault="00D03FD5" w:rsidP="00632555">
      <w:pPr>
        <w:rPr>
          <w:rFonts w:cs="Arial"/>
          <w:b/>
          <w:szCs w:val="22"/>
        </w:rPr>
      </w:pPr>
    </w:p>
    <w:p w:rsidR="00D03FD5" w:rsidRDefault="00D03FD5" w:rsidP="00632555">
      <w:pPr>
        <w:rPr>
          <w:rFonts w:cs="Arial"/>
          <w:b/>
          <w:szCs w:val="22"/>
        </w:rPr>
      </w:pPr>
    </w:p>
    <w:p w:rsidR="00AA20E2" w:rsidRPr="00104F4B" w:rsidRDefault="00AA20E2" w:rsidP="00632555">
      <w:pPr>
        <w:rPr>
          <w:rFonts w:cs="Arial"/>
          <w:b/>
          <w:szCs w:val="22"/>
        </w:rPr>
      </w:pPr>
      <w:bookmarkStart w:id="0" w:name="_GoBack"/>
      <w:bookmarkEnd w:id="0"/>
    </w:p>
    <w:p w:rsidR="00D555C5" w:rsidRDefault="00D555C5" w:rsidP="00632555">
      <w:pPr>
        <w:rPr>
          <w:rFonts w:cs="Arial"/>
          <w:b/>
          <w:szCs w:val="22"/>
        </w:rPr>
      </w:pPr>
      <w:r w:rsidRPr="00104F4B">
        <w:rPr>
          <w:rFonts w:cs="Arial"/>
          <w:b/>
          <w:szCs w:val="22"/>
        </w:rPr>
        <w:lastRenderedPageBreak/>
        <w:t>TABLA DE CONTENIDO</w:t>
      </w:r>
    </w:p>
    <w:p w:rsidR="0024684F" w:rsidRPr="00104F4B" w:rsidRDefault="0024684F" w:rsidP="00632555">
      <w:pPr>
        <w:rPr>
          <w:rFonts w:cs="Arial"/>
          <w:b/>
          <w:szCs w:val="22"/>
        </w:rPr>
      </w:pPr>
    </w:p>
    <w:p w:rsidR="00ED62E1" w:rsidRDefault="00D555C5">
      <w:pPr>
        <w:pStyle w:val="TDC1"/>
        <w:rPr>
          <w:rFonts w:asciiTheme="minorHAnsi" w:eastAsiaTheme="minorEastAsia" w:hAnsiTheme="minorHAnsi" w:cstheme="minorBidi"/>
          <w:b w:val="0"/>
          <w:lang w:eastAsia="es-CO"/>
        </w:rPr>
      </w:pPr>
      <w:r w:rsidRPr="00104F4B">
        <w:rPr>
          <w:rStyle w:val="Hipervnculo"/>
        </w:rPr>
        <w:fldChar w:fldCharType="begin"/>
      </w:r>
      <w:r w:rsidRPr="00104F4B">
        <w:rPr>
          <w:rStyle w:val="Hipervnculo"/>
        </w:rPr>
        <w:instrText xml:space="preserve"> TOC \o "1-3" \h \z \u </w:instrText>
      </w:r>
      <w:r w:rsidRPr="00104F4B">
        <w:rPr>
          <w:rStyle w:val="Hipervnculo"/>
        </w:rPr>
        <w:fldChar w:fldCharType="separate"/>
      </w:r>
      <w:hyperlink w:anchor="_Toc536195515" w:history="1">
        <w:r w:rsidR="00ED62E1" w:rsidRPr="007205BC">
          <w:rPr>
            <w:rStyle w:val="Hipervnculo"/>
          </w:rPr>
          <w:t>1.1</w:t>
        </w:r>
        <w:r w:rsidR="00ED62E1">
          <w:rPr>
            <w:rFonts w:asciiTheme="minorHAnsi" w:eastAsiaTheme="minorEastAsia" w:hAnsiTheme="minorHAnsi" w:cstheme="minorBidi"/>
            <w:b w:val="0"/>
            <w:lang w:eastAsia="es-CO"/>
          </w:rPr>
          <w:tab/>
        </w:r>
        <w:r w:rsidR="00ED62E1" w:rsidRPr="007205BC">
          <w:rPr>
            <w:rStyle w:val="Hipervnculo"/>
          </w:rPr>
          <w:t>FUNCIONES GENERALES DE LA ENTIDAD</w:t>
        </w:r>
        <w:r w:rsidR="00ED62E1">
          <w:rPr>
            <w:webHidden/>
          </w:rPr>
          <w:tab/>
        </w:r>
        <w:r w:rsidR="00ED62E1">
          <w:rPr>
            <w:webHidden/>
          </w:rPr>
          <w:fldChar w:fldCharType="begin"/>
        </w:r>
        <w:r w:rsidR="00ED62E1">
          <w:rPr>
            <w:webHidden/>
          </w:rPr>
          <w:instrText xml:space="preserve"> PAGEREF _Toc536195515 \h </w:instrText>
        </w:r>
        <w:r w:rsidR="00ED62E1">
          <w:rPr>
            <w:webHidden/>
          </w:rPr>
        </w:r>
        <w:r w:rsidR="00ED62E1">
          <w:rPr>
            <w:webHidden/>
          </w:rPr>
          <w:fldChar w:fldCharType="separate"/>
        </w:r>
        <w:r w:rsidR="00ED62E1">
          <w:rPr>
            <w:webHidden/>
          </w:rPr>
          <w:t>7</w:t>
        </w:r>
        <w:r w:rsidR="00ED62E1">
          <w:rPr>
            <w:webHidden/>
          </w:rPr>
          <w:fldChar w:fldCharType="end"/>
        </w:r>
      </w:hyperlink>
    </w:p>
    <w:p w:rsidR="00ED62E1" w:rsidRDefault="00152F03">
      <w:pPr>
        <w:pStyle w:val="TDC1"/>
        <w:rPr>
          <w:rFonts w:asciiTheme="minorHAnsi" w:eastAsiaTheme="minorEastAsia" w:hAnsiTheme="minorHAnsi" w:cstheme="minorBidi"/>
          <w:b w:val="0"/>
          <w:lang w:eastAsia="es-CO"/>
        </w:rPr>
      </w:pPr>
      <w:hyperlink w:anchor="_Toc536195516" w:history="1">
        <w:r w:rsidR="00ED62E1" w:rsidRPr="007205BC">
          <w:rPr>
            <w:rStyle w:val="Hipervnculo"/>
            <w:rFonts w:eastAsia="Calibri"/>
            <w:lang w:eastAsia="es-CO"/>
          </w:rPr>
          <w:t>1.2</w:t>
        </w:r>
        <w:r w:rsidR="00ED62E1">
          <w:rPr>
            <w:rFonts w:asciiTheme="minorHAnsi" w:eastAsiaTheme="minorEastAsia" w:hAnsiTheme="minorHAnsi" w:cstheme="minorBidi"/>
            <w:b w:val="0"/>
            <w:lang w:eastAsia="es-CO"/>
          </w:rPr>
          <w:tab/>
        </w:r>
        <w:r w:rsidR="00ED62E1" w:rsidRPr="007205BC">
          <w:rPr>
            <w:rStyle w:val="Hipervnculo"/>
            <w:rFonts w:eastAsia="Calibri"/>
          </w:rPr>
          <w:t>ORGANIGRAMA DE LA ENTIDAD</w:t>
        </w:r>
        <w:r w:rsidR="00ED62E1">
          <w:rPr>
            <w:webHidden/>
          </w:rPr>
          <w:tab/>
        </w:r>
        <w:r w:rsidR="00ED62E1">
          <w:rPr>
            <w:webHidden/>
          </w:rPr>
          <w:fldChar w:fldCharType="begin"/>
        </w:r>
        <w:r w:rsidR="00ED62E1">
          <w:rPr>
            <w:webHidden/>
          </w:rPr>
          <w:instrText xml:space="preserve"> PAGEREF _Toc536195516 \h </w:instrText>
        </w:r>
        <w:r w:rsidR="00ED62E1">
          <w:rPr>
            <w:webHidden/>
          </w:rPr>
        </w:r>
        <w:r w:rsidR="00ED62E1">
          <w:rPr>
            <w:webHidden/>
          </w:rPr>
          <w:fldChar w:fldCharType="separate"/>
        </w:r>
        <w:r w:rsidR="00ED62E1">
          <w:rPr>
            <w:webHidden/>
          </w:rPr>
          <w:t>8</w:t>
        </w:r>
        <w:r w:rsidR="00ED62E1">
          <w:rPr>
            <w:webHidden/>
          </w:rPr>
          <w:fldChar w:fldCharType="end"/>
        </w:r>
      </w:hyperlink>
    </w:p>
    <w:p w:rsidR="00ED62E1" w:rsidRDefault="00152F03">
      <w:pPr>
        <w:pStyle w:val="TDC1"/>
        <w:rPr>
          <w:rFonts w:asciiTheme="minorHAnsi" w:eastAsiaTheme="minorEastAsia" w:hAnsiTheme="minorHAnsi" w:cstheme="minorBidi"/>
          <w:b w:val="0"/>
          <w:lang w:eastAsia="es-CO"/>
        </w:rPr>
      </w:pPr>
      <w:hyperlink w:anchor="_Toc536195517" w:history="1">
        <w:r w:rsidR="00ED62E1" w:rsidRPr="007205BC">
          <w:rPr>
            <w:rStyle w:val="Hipervnculo"/>
          </w:rPr>
          <w:t>1.3 MODELO DE OPERACIÓN DEL IDU</w:t>
        </w:r>
        <w:r w:rsidR="00ED62E1">
          <w:rPr>
            <w:webHidden/>
          </w:rPr>
          <w:tab/>
        </w:r>
        <w:r w:rsidR="00ED62E1">
          <w:rPr>
            <w:webHidden/>
          </w:rPr>
          <w:fldChar w:fldCharType="begin"/>
        </w:r>
        <w:r w:rsidR="00ED62E1">
          <w:rPr>
            <w:webHidden/>
          </w:rPr>
          <w:instrText xml:space="preserve"> PAGEREF _Toc536195517 \h </w:instrText>
        </w:r>
        <w:r w:rsidR="00ED62E1">
          <w:rPr>
            <w:webHidden/>
          </w:rPr>
        </w:r>
        <w:r w:rsidR="00ED62E1">
          <w:rPr>
            <w:webHidden/>
          </w:rPr>
          <w:fldChar w:fldCharType="separate"/>
        </w:r>
        <w:r w:rsidR="00ED62E1">
          <w:rPr>
            <w:webHidden/>
          </w:rPr>
          <w:t>9</w:t>
        </w:r>
        <w:r w:rsidR="00ED62E1">
          <w:rPr>
            <w:webHidden/>
          </w:rPr>
          <w:fldChar w:fldCharType="end"/>
        </w:r>
      </w:hyperlink>
    </w:p>
    <w:p w:rsidR="00ED62E1" w:rsidRDefault="00152F03">
      <w:pPr>
        <w:pStyle w:val="TDC1"/>
        <w:rPr>
          <w:rFonts w:asciiTheme="minorHAnsi" w:eastAsiaTheme="minorEastAsia" w:hAnsiTheme="minorHAnsi" w:cstheme="minorBidi"/>
          <w:b w:val="0"/>
          <w:lang w:eastAsia="es-CO"/>
        </w:rPr>
      </w:pPr>
      <w:hyperlink w:anchor="_Toc536195518" w:history="1">
        <w:r w:rsidR="00ED62E1" w:rsidRPr="007205BC">
          <w:rPr>
            <w:rStyle w:val="Hipervnculo"/>
          </w:rPr>
          <w:t>CAPITULO 2. GESTIÓN PRESUPUESTAL</w:t>
        </w:r>
        <w:r w:rsidR="00ED62E1">
          <w:rPr>
            <w:webHidden/>
          </w:rPr>
          <w:tab/>
        </w:r>
        <w:r w:rsidR="00ED62E1">
          <w:rPr>
            <w:webHidden/>
          </w:rPr>
          <w:fldChar w:fldCharType="begin"/>
        </w:r>
        <w:r w:rsidR="00ED62E1">
          <w:rPr>
            <w:webHidden/>
          </w:rPr>
          <w:instrText xml:space="preserve"> PAGEREF _Toc536195518 \h </w:instrText>
        </w:r>
        <w:r w:rsidR="00ED62E1">
          <w:rPr>
            <w:webHidden/>
          </w:rPr>
        </w:r>
        <w:r w:rsidR="00ED62E1">
          <w:rPr>
            <w:webHidden/>
          </w:rPr>
          <w:fldChar w:fldCharType="separate"/>
        </w:r>
        <w:r w:rsidR="00ED62E1">
          <w:rPr>
            <w:webHidden/>
          </w:rPr>
          <w:t>12</w:t>
        </w:r>
        <w:r w:rsidR="00ED62E1">
          <w:rPr>
            <w:webHidden/>
          </w:rPr>
          <w:fldChar w:fldCharType="end"/>
        </w:r>
      </w:hyperlink>
    </w:p>
    <w:p w:rsidR="00ED62E1" w:rsidRDefault="00152F03">
      <w:pPr>
        <w:pStyle w:val="TDC1"/>
        <w:rPr>
          <w:rFonts w:asciiTheme="minorHAnsi" w:eastAsiaTheme="minorEastAsia" w:hAnsiTheme="minorHAnsi" w:cstheme="minorBidi"/>
          <w:b w:val="0"/>
          <w:lang w:eastAsia="es-CO"/>
        </w:rPr>
      </w:pPr>
      <w:hyperlink w:anchor="_Toc536195519" w:history="1">
        <w:r w:rsidR="00ED62E1" w:rsidRPr="007205BC">
          <w:rPr>
            <w:rStyle w:val="Hipervnculo"/>
          </w:rPr>
          <w:t>CAPITULO 3  GESTIÓN DE  PROCESOS ESTRATÉGICOS Y DE CONTROL</w:t>
        </w:r>
        <w:r w:rsidR="00ED62E1">
          <w:rPr>
            <w:webHidden/>
          </w:rPr>
          <w:tab/>
        </w:r>
        <w:r w:rsidR="00ED62E1">
          <w:rPr>
            <w:webHidden/>
          </w:rPr>
          <w:fldChar w:fldCharType="begin"/>
        </w:r>
        <w:r w:rsidR="00ED62E1">
          <w:rPr>
            <w:webHidden/>
          </w:rPr>
          <w:instrText xml:space="preserve"> PAGEREF _Toc536195519 \h </w:instrText>
        </w:r>
        <w:r w:rsidR="00ED62E1">
          <w:rPr>
            <w:webHidden/>
          </w:rPr>
        </w:r>
        <w:r w:rsidR="00ED62E1">
          <w:rPr>
            <w:webHidden/>
          </w:rPr>
          <w:fldChar w:fldCharType="separate"/>
        </w:r>
        <w:r w:rsidR="00ED62E1">
          <w:rPr>
            <w:webHidden/>
          </w:rPr>
          <w:t>15</w:t>
        </w:r>
        <w:r w:rsidR="00ED62E1">
          <w:rPr>
            <w:webHidden/>
          </w:rPr>
          <w:fldChar w:fldCharType="end"/>
        </w:r>
      </w:hyperlink>
    </w:p>
    <w:p w:rsidR="00ED62E1" w:rsidRDefault="00152F03">
      <w:pPr>
        <w:pStyle w:val="TDC1"/>
        <w:rPr>
          <w:rFonts w:asciiTheme="minorHAnsi" w:eastAsiaTheme="minorEastAsia" w:hAnsiTheme="minorHAnsi" w:cstheme="minorBidi"/>
          <w:b w:val="0"/>
          <w:lang w:eastAsia="es-CO"/>
        </w:rPr>
      </w:pPr>
      <w:hyperlink w:anchor="_Toc536195520" w:history="1">
        <w:r w:rsidR="00ED62E1" w:rsidRPr="007205BC">
          <w:rPr>
            <w:rStyle w:val="Hipervnculo"/>
            <w:rFonts w:eastAsia="Calibri"/>
          </w:rPr>
          <w:t>3.1</w:t>
        </w:r>
        <w:r w:rsidR="00ED62E1">
          <w:rPr>
            <w:rFonts w:asciiTheme="minorHAnsi" w:eastAsiaTheme="minorEastAsia" w:hAnsiTheme="minorHAnsi" w:cstheme="minorBidi"/>
            <w:b w:val="0"/>
            <w:lang w:eastAsia="es-CO"/>
          </w:rPr>
          <w:tab/>
        </w:r>
        <w:r w:rsidR="00ED62E1" w:rsidRPr="007205BC">
          <w:rPr>
            <w:rStyle w:val="Hipervnculo"/>
            <w:rFonts w:eastAsia="Calibri"/>
          </w:rPr>
          <w:t>OFICINA ASESORA DE PLANEACIÓN - OAP</w:t>
        </w:r>
        <w:r w:rsidR="00ED62E1">
          <w:rPr>
            <w:webHidden/>
          </w:rPr>
          <w:tab/>
        </w:r>
        <w:r w:rsidR="00ED62E1">
          <w:rPr>
            <w:webHidden/>
          </w:rPr>
          <w:fldChar w:fldCharType="begin"/>
        </w:r>
        <w:r w:rsidR="00ED62E1">
          <w:rPr>
            <w:webHidden/>
          </w:rPr>
          <w:instrText xml:space="preserve"> PAGEREF _Toc536195520 \h </w:instrText>
        </w:r>
        <w:r w:rsidR="00ED62E1">
          <w:rPr>
            <w:webHidden/>
          </w:rPr>
        </w:r>
        <w:r w:rsidR="00ED62E1">
          <w:rPr>
            <w:webHidden/>
          </w:rPr>
          <w:fldChar w:fldCharType="separate"/>
        </w:r>
        <w:r w:rsidR="00ED62E1">
          <w:rPr>
            <w:webHidden/>
          </w:rPr>
          <w:t>15</w:t>
        </w:r>
        <w:r w:rsidR="00ED62E1">
          <w:rPr>
            <w:webHidden/>
          </w:rPr>
          <w:fldChar w:fldCharType="end"/>
        </w:r>
      </w:hyperlink>
    </w:p>
    <w:p w:rsidR="00ED62E1" w:rsidRDefault="00152F03">
      <w:pPr>
        <w:pStyle w:val="TDC1"/>
        <w:tabs>
          <w:tab w:val="left" w:pos="880"/>
        </w:tabs>
        <w:rPr>
          <w:rFonts w:asciiTheme="minorHAnsi" w:eastAsiaTheme="minorEastAsia" w:hAnsiTheme="minorHAnsi" w:cstheme="minorBidi"/>
          <w:b w:val="0"/>
          <w:lang w:eastAsia="es-CO"/>
        </w:rPr>
      </w:pPr>
      <w:hyperlink w:anchor="_Toc536195521" w:history="1">
        <w:r w:rsidR="00ED62E1" w:rsidRPr="007205BC">
          <w:rPr>
            <w:rStyle w:val="Hipervnculo"/>
            <w:rFonts w:eastAsia="Calibri"/>
          </w:rPr>
          <w:t>3.1.1</w:t>
        </w:r>
        <w:r w:rsidR="00ED62E1">
          <w:rPr>
            <w:rFonts w:asciiTheme="minorHAnsi" w:eastAsiaTheme="minorEastAsia" w:hAnsiTheme="minorHAnsi" w:cstheme="minorBidi"/>
            <w:b w:val="0"/>
            <w:lang w:eastAsia="es-CO"/>
          </w:rPr>
          <w:tab/>
        </w:r>
        <w:r w:rsidR="00ED62E1" w:rsidRPr="007205BC">
          <w:rPr>
            <w:rStyle w:val="Hipervnculo"/>
            <w:rFonts w:eastAsia="Calibri"/>
          </w:rPr>
          <w:t>Gestiones a Cargo</w:t>
        </w:r>
        <w:r w:rsidR="00ED62E1">
          <w:rPr>
            <w:webHidden/>
          </w:rPr>
          <w:tab/>
        </w:r>
        <w:r w:rsidR="00ED62E1">
          <w:rPr>
            <w:webHidden/>
          </w:rPr>
          <w:fldChar w:fldCharType="begin"/>
        </w:r>
        <w:r w:rsidR="00ED62E1">
          <w:rPr>
            <w:webHidden/>
          </w:rPr>
          <w:instrText xml:space="preserve"> PAGEREF _Toc536195521 \h </w:instrText>
        </w:r>
        <w:r w:rsidR="00ED62E1">
          <w:rPr>
            <w:webHidden/>
          </w:rPr>
        </w:r>
        <w:r w:rsidR="00ED62E1">
          <w:rPr>
            <w:webHidden/>
          </w:rPr>
          <w:fldChar w:fldCharType="separate"/>
        </w:r>
        <w:r w:rsidR="00ED62E1">
          <w:rPr>
            <w:webHidden/>
          </w:rPr>
          <w:t>15</w:t>
        </w:r>
        <w:r w:rsidR="00ED62E1">
          <w:rPr>
            <w:webHidden/>
          </w:rPr>
          <w:fldChar w:fldCharType="end"/>
        </w:r>
      </w:hyperlink>
    </w:p>
    <w:p w:rsidR="00ED62E1" w:rsidRDefault="00152F03">
      <w:pPr>
        <w:pStyle w:val="TDC1"/>
        <w:tabs>
          <w:tab w:val="left" w:pos="1100"/>
        </w:tabs>
        <w:rPr>
          <w:rFonts w:asciiTheme="minorHAnsi" w:eastAsiaTheme="minorEastAsia" w:hAnsiTheme="minorHAnsi" w:cstheme="minorBidi"/>
          <w:b w:val="0"/>
          <w:lang w:eastAsia="es-CO"/>
        </w:rPr>
      </w:pPr>
      <w:hyperlink w:anchor="_Toc536195522" w:history="1">
        <w:r w:rsidR="00ED62E1" w:rsidRPr="007205BC">
          <w:rPr>
            <w:rStyle w:val="Hipervnculo"/>
            <w:rFonts w:eastAsia="Calibri"/>
          </w:rPr>
          <w:t>3.1.1.1</w:t>
        </w:r>
        <w:r w:rsidR="00ED62E1">
          <w:rPr>
            <w:rFonts w:asciiTheme="minorHAnsi" w:eastAsiaTheme="minorEastAsia" w:hAnsiTheme="minorHAnsi" w:cstheme="minorBidi"/>
            <w:b w:val="0"/>
            <w:lang w:eastAsia="es-CO"/>
          </w:rPr>
          <w:tab/>
        </w:r>
        <w:r w:rsidR="00ED62E1" w:rsidRPr="007205BC">
          <w:rPr>
            <w:rStyle w:val="Hipervnculo"/>
            <w:rFonts w:eastAsia="Calibri"/>
          </w:rPr>
          <w:t>Programación y Ejecución Presupuestal</w:t>
        </w:r>
        <w:r w:rsidR="00ED62E1">
          <w:rPr>
            <w:webHidden/>
          </w:rPr>
          <w:tab/>
        </w:r>
        <w:r w:rsidR="00ED62E1">
          <w:rPr>
            <w:webHidden/>
          </w:rPr>
          <w:fldChar w:fldCharType="begin"/>
        </w:r>
        <w:r w:rsidR="00ED62E1">
          <w:rPr>
            <w:webHidden/>
          </w:rPr>
          <w:instrText xml:space="preserve"> PAGEREF _Toc536195522 \h </w:instrText>
        </w:r>
        <w:r w:rsidR="00ED62E1">
          <w:rPr>
            <w:webHidden/>
          </w:rPr>
        </w:r>
        <w:r w:rsidR="00ED62E1">
          <w:rPr>
            <w:webHidden/>
          </w:rPr>
          <w:fldChar w:fldCharType="separate"/>
        </w:r>
        <w:r w:rsidR="00ED62E1">
          <w:rPr>
            <w:webHidden/>
          </w:rPr>
          <w:t>15</w:t>
        </w:r>
        <w:r w:rsidR="00ED62E1">
          <w:rPr>
            <w:webHidden/>
          </w:rPr>
          <w:fldChar w:fldCharType="end"/>
        </w:r>
      </w:hyperlink>
    </w:p>
    <w:p w:rsidR="00ED62E1" w:rsidRDefault="00152F03">
      <w:pPr>
        <w:pStyle w:val="TDC1"/>
        <w:rPr>
          <w:rFonts w:asciiTheme="minorHAnsi" w:eastAsiaTheme="minorEastAsia" w:hAnsiTheme="minorHAnsi" w:cstheme="minorBidi"/>
          <w:b w:val="0"/>
          <w:lang w:eastAsia="es-CO"/>
        </w:rPr>
      </w:pPr>
      <w:hyperlink w:anchor="_Toc536195523" w:history="1">
        <w:r w:rsidR="00ED62E1" w:rsidRPr="007205BC">
          <w:rPr>
            <w:rStyle w:val="Hipervnculo"/>
          </w:rPr>
          <w:t>3.3.1.2 Sistema Integrado de Gestión</w:t>
        </w:r>
        <w:r w:rsidR="00ED62E1">
          <w:rPr>
            <w:webHidden/>
          </w:rPr>
          <w:tab/>
        </w:r>
        <w:r w:rsidR="00ED62E1">
          <w:rPr>
            <w:webHidden/>
          </w:rPr>
          <w:fldChar w:fldCharType="begin"/>
        </w:r>
        <w:r w:rsidR="00ED62E1">
          <w:rPr>
            <w:webHidden/>
          </w:rPr>
          <w:instrText xml:space="preserve"> PAGEREF _Toc536195523 \h </w:instrText>
        </w:r>
        <w:r w:rsidR="00ED62E1">
          <w:rPr>
            <w:webHidden/>
          </w:rPr>
        </w:r>
        <w:r w:rsidR="00ED62E1">
          <w:rPr>
            <w:webHidden/>
          </w:rPr>
          <w:fldChar w:fldCharType="separate"/>
        </w:r>
        <w:r w:rsidR="00ED62E1">
          <w:rPr>
            <w:webHidden/>
          </w:rPr>
          <w:t>17</w:t>
        </w:r>
        <w:r w:rsidR="00ED62E1">
          <w:rPr>
            <w:webHidden/>
          </w:rPr>
          <w:fldChar w:fldCharType="end"/>
        </w:r>
      </w:hyperlink>
    </w:p>
    <w:p w:rsidR="00ED62E1" w:rsidRDefault="00152F03">
      <w:pPr>
        <w:pStyle w:val="TDC1"/>
        <w:rPr>
          <w:rFonts w:asciiTheme="minorHAnsi" w:eastAsiaTheme="minorEastAsia" w:hAnsiTheme="minorHAnsi" w:cstheme="minorBidi"/>
          <w:b w:val="0"/>
          <w:lang w:eastAsia="es-CO"/>
        </w:rPr>
      </w:pPr>
      <w:hyperlink w:anchor="_Toc536195524" w:history="1">
        <w:r w:rsidR="00ED62E1" w:rsidRPr="007205BC">
          <w:rPr>
            <w:rStyle w:val="Hipervnculo"/>
          </w:rPr>
          <w:t>3.1.1.3 Gestión Integral de Proyectos:</w:t>
        </w:r>
        <w:r w:rsidR="00ED62E1">
          <w:rPr>
            <w:webHidden/>
          </w:rPr>
          <w:tab/>
        </w:r>
        <w:r w:rsidR="00ED62E1">
          <w:rPr>
            <w:webHidden/>
          </w:rPr>
          <w:fldChar w:fldCharType="begin"/>
        </w:r>
        <w:r w:rsidR="00ED62E1">
          <w:rPr>
            <w:webHidden/>
          </w:rPr>
          <w:instrText xml:space="preserve"> PAGEREF _Toc536195524 \h </w:instrText>
        </w:r>
        <w:r w:rsidR="00ED62E1">
          <w:rPr>
            <w:webHidden/>
          </w:rPr>
        </w:r>
        <w:r w:rsidR="00ED62E1">
          <w:rPr>
            <w:webHidden/>
          </w:rPr>
          <w:fldChar w:fldCharType="separate"/>
        </w:r>
        <w:r w:rsidR="00ED62E1">
          <w:rPr>
            <w:webHidden/>
          </w:rPr>
          <w:t>19</w:t>
        </w:r>
        <w:r w:rsidR="00ED62E1">
          <w:rPr>
            <w:webHidden/>
          </w:rPr>
          <w:fldChar w:fldCharType="end"/>
        </w:r>
      </w:hyperlink>
    </w:p>
    <w:p w:rsidR="00ED62E1" w:rsidRDefault="00152F03">
      <w:pPr>
        <w:pStyle w:val="TDC1"/>
        <w:rPr>
          <w:rFonts w:asciiTheme="minorHAnsi" w:eastAsiaTheme="minorEastAsia" w:hAnsiTheme="minorHAnsi" w:cstheme="minorBidi"/>
          <w:b w:val="0"/>
          <w:lang w:eastAsia="es-CO"/>
        </w:rPr>
      </w:pPr>
      <w:hyperlink w:anchor="_Toc536195525" w:history="1">
        <w:r w:rsidR="00ED62E1" w:rsidRPr="007205BC">
          <w:rPr>
            <w:rStyle w:val="Hipervnculo"/>
          </w:rPr>
          <w:t>3.1.2 Mejores Prácticas y Logros</w:t>
        </w:r>
        <w:r w:rsidR="00ED62E1">
          <w:rPr>
            <w:webHidden/>
          </w:rPr>
          <w:tab/>
        </w:r>
        <w:r w:rsidR="00ED62E1">
          <w:rPr>
            <w:webHidden/>
          </w:rPr>
          <w:fldChar w:fldCharType="begin"/>
        </w:r>
        <w:r w:rsidR="00ED62E1">
          <w:rPr>
            <w:webHidden/>
          </w:rPr>
          <w:instrText xml:space="preserve"> PAGEREF _Toc536195525 \h </w:instrText>
        </w:r>
        <w:r w:rsidR="00ED62E1">
          <w:rPr>
            <w:webHidden/>
          </w:rPr>
        </w:r>
        <w:r w:rsidR="00ED62E1">
          <w:rPr>
            <w:webHidden/>
          </w:rPr>
          <w:fldChar w:fldCharType="separate"/>
        </w:r>
        <w:r w:rsidR="00ED62E1">
          <w:rPr>
            <w:webHidden/>
          </w:rPr>
          <w:t>21</w:t>
        </w:r>
        <w:r w:rsidR="00ED62E1">
          <w:rPr>
            <w:webHidden/>
          </w:rPr>
          <w:fldChar w:fldCharType="end"/>
        </w:r>
      </w:hyperlink>
    </w:p>
    <w:p w:rsidR="00ED62E1" w:rsidRDefault="00152F03">
      <w:pPr>
        <w:pStyle w:val="TDC1"/>
        <w:rPr>
          <w:rFonts w:asciiTheme="minorHAnsi" w:eastAsiaTheme="minorEastAsia" w:hAnsiTheme="minorHAnsi" w:cstheme="minorBidi"/>
          <w:b w:val="0"/>
          <w:lang w:eastAsia="es-CO"/>
        </w:rPr>
      </w:pPr>
      <w:hyperlink w:anchor="_Toc536195526" w:history="1">
        <w:r w:rsidR="00ED62E1" w:rsidRPr="007205BC">
          <w:rPr>
            <w:rStyle w:val="Hipervnculo"/>
          </w:rPr>
          <w:t>3.1.3 Recomendaciones para el mejoramiento de la Gestión</w:t>
        </w:r>
        <w:r w:rsidR="00ED62E1">
          <w:rPr>
            <w:webHidden/>
          </w:rPr>
          <w:tab/>
        </w:r>
        <w:r w:rsidR="00ED62E1">
          <w:rPr>
            <w:webHidden/>
          </w:rPr>
          <w:fldChar w:fldCharType="begin"/>
        </w:r>
        <w:r w:rsidR="00ED62E1">
          <w:rPr>
            <w:webHidden/>
          </w:rPr>
          <w:instrText xml:space="preserve"> PAGEREF _Toc536195526 \h </w:instrText>
        </w:r>
        <w:r w:rsidR="00ED62E1">
          <w:rPr>
            <w:webHidden/>
          </w:rPr>
        </w:r>
        <w:r w:rsidR="00ED62E1">
          <w:rPr>
            <w:webHidden/>
          </w:rPr>
          <w:fldChar w:fldCharType="separate"/>
        </w:r>
        <w:r w:rsidR="00ED62E1">
          <w:rPr>
            <w:webHidden/>
          </w:rPr>
          <w:t>21</w:t>
        </w:r>
        <w:r w:rsidR="00ED62E1">
          <w:rPr>
            <w:webHidden/>
          </w:rPr>
          <w:fldChar w:fldCharType="end"/>
        </w:r>
      </w:hyperlink>
    </w:p>
    <w:p w:rsidR="00ED62E1" w:rsidRDefault="00152F03">
      <w:pPr>
        <w:pStyle w:val="TDC1"/>
        <w:rPr>
          <w:rFonts w:asciiTheme="minorHAnsi" w:eastAsiaTheme="minorEastAsia" w:hAnsiTheme="minorHAnsi" w:cstheme="minorBidi"/>
          <w:b w:val="0"/>
          <w:lang w:eastAsia="es-CO"/>
        </w:rPr>
      </w:pPr>
      <w:hyperlink w:anchor="_Toc536195527" w:history="1">
        <w:r w:rsidR="00ED62E1" w:rsidRPr="007205BC">
          <w:rPr>
            <w:rStyle w:val="Hipervnculo"/>
          </w:rPr>
          <w:t>3.2 OFICINA DE CONTROL INTERNO</w:t>
        </w:r>
        <w:r w:rsidR="00ED62E1">
          <w:rPr>
            <w:webHidden/>
          </w:rPr>
          <w:tab/>
        </w:r>
        <w:r w:rsidR="00ED62E1">
          <w:rPr>
            <w:webHidden/>
          </w:rPr>
          <w:fldChar w:fldCharType="begin"/>
        </w:r>
        <w:r w:rsidR="00ED62E1">
          <w:rPr>
            <w:webHidden/>
          </w:rPr>
          <w:instrText xml:space="preserve"> PAGEREF _Toc536195527 \h </w:instrText>
        </w:r>
        <w:r w:rsidR="00ED62E1">
          <w:rPr>
            <w:webHidden/>
          </w:rPr>
        </w:r>
        <w:r w:rsidR="00ED62E1">
          <w:rPr>
            <w:webHidden/>
          </w:rPr>
          <w:fldChar w:fldCharType="separate"/>
        </w:r>
        <w:r w:rsidR="00ED62E1">
          <w:rPr>
            <w:webHidden/>
          </w:rPr>
          <w:t>21</w:t>
        </w:r>
        <w:r w:rsidR="00ED62E1">
          <w:rPr>
            <w:webHidden/>
          </w:rPr>
          <w:fldChar w:fldCharType="end"/>
        </w:r>
      </w:hyperlink>
    </w:p>
    <w:p w:rsidR="00ED62E1" w:rsidRDefault="00152F03">
      <w:pPr>
        <w:pStyle w:val="TDC1"/>
        <w:rPr>
          <w:rFonts w:asciiTheme="minorHAnsi" w:eastAsiaTheme="minorEastAsia" w:hAnsiTheme="minorHAnsi" w:cstheme="minorBidi"/>
          <w:b w:val="0"/>
          <w:lang w:eastAsia="es-CO"/>
        </w:rPr>
      </w:pPr>
      <w:hyperlink w:anchor="_Toc536195528" w:history="1">
        <w:r w:rsidR="00ED62E1" w:rsidRPr="007205BC">
          <w:rPr>
            <w:rStyle w:val="Hipervnculo"/>
          </w:rPr>
          <w:t>3.2.1 Gestiones a Cargo</w:t>
        </w:r>
        <w:r w:rsidR="00ED62E1">
          <w:rPr>
            <w:webHidden/>
          </w:rPr>
          <w:tab/>
        </w:r>
        <w:r w:rsidR="00ED62E1">
          <w:rPr>
            <w:webHidden/>
          </w:rPr>
          <w:fldChar w:fldCharType="begin"/>
        </w:r>
        <w:r w:rsidR="00ED62E1">
          <w:rPr>
            <w:webHidden/>
          </w:rPr>
          <w:instrText xml:space="preserve"> PAGEREF _Toc536195528 \h </w:instrText>
        </w:r>
        <w:r w:rsidR="00ED62E1">
          <w:rPr>
            <w:webHidden/>
          </w:rPr>
        </w:r>
        <w:r w:rsidR="00ED62E1">
          <w:rPr>
            <w:webHidden/>
          </w:rPr>
          <w:fldChar w:fldCharType="separate"/>
        </w:r>
        <w:r w:rsidR="00ED62E1">
          <w:rPr>
            <w:webHidden/>
          </w:rPr>
          <w:t>21</w:t>
        </w:r>
        <w:r w:rsidR="00ED62E1">
          <w:rPr>
            <w:webHidden/>
          </w:rPr>
          <w:fldChar w:fldCharType="end"/>
        </w:r>
      </w:hyperlink>
    </w:p>
    <w:p w:rsidR="00ED62E1" w:rsidRDefault="00152F03">
      <w:pPr>
        <w:pStyle w:val="TDC1"/>
        <w:rPr>
          <w:rFonts w:asciiTheme="minorHAnsi" w:eastAsiaTheme="minorEastAsia" w:hAnsiTheme="minorHAnsi" w:cstheme="minorBidi"/>
          <w:b w:val="0"/>
          <w:lang w:eastAsia="es-CO"/>
        </w:rPr>
      </w:pPr>
      <w:hyperlink w:anchor="_Toc536195529" w:history="1">
        <w:r w:rsidR="00ED62E1" w:rsidRPr="007205BC">
          <w:rPr>
            <w:rStyle w:val="Hipervnculo"/>
          </w:rPr>
          <w:t>3.2.2 Mejores prácticas y logros.</w:t>
        </w:r>
        <w:r w:rsidR="00ED62E1">
          <w:rPr>
            <w:webHidden/>
          </w:rPr>
          <w:tab/>
        </w:r>
        <w:r w:rsidR="00ED62E1">
          <w:rPr>
            <w:webHidden/>
          </w:rPr>
          <w:fldChar w:fldCharType="begin"/>
        </w:r>
        <w:r w:rsidR="00ED62E1">
          <w:rPr>
            <w:webHidden/>
          </w:rPr>
          <w:instrText xml:space="preserve"> PAGEREF _Toc536195529 \h </w:instrText>
        </w:r>
        <w:r w:rsidR="00ED62E1">
          <w:rPr>
            <w:webHidden/>
          </w:rPr>
        </w:r>
        <w:r w:rsidR="00ED62E1">
          <w:rPr>
            <w:webHidden/>
          </w:rPr>
          <w:fldChar w:fldCharType="separate"/>
        </w:r>
        <w:r w:rsidR="00ED62E1">
          <w:rPr>
            <w:webHidden/>
          </w:rPr>
          <w:t>24</w:t>
        </w:r>
        <w:r w:rsidR="00ED62E1">
          <w:rPr>
            <w:webHidden/>
          </w:rPr>
          <w:fldChar w:fldCharType="end"/>
        </w:r>
      </w:hyperlink>
    </w:p>
    <w:p w:rsidR="00ED62E1" w:rsidRDefault="00152F03">
      <w:pPr>
        <w:pStyle w:val="TDC1"/>
        <w:rPr>
          <w:rFonts w:asciiTheme="minorHAnsi" w:eastAsiaTheme="minorEastAsia" w:hAnsiTheme="minorHAnsi" w:cstheme="minorBidi"/>
          <w:b w:val="0"/>
          <w:lang w:eastAsia="es-CO"/>
        </w:rPr>
      </w:pPr>
      <w:hyperlink w:anchor="_Toc536195530" w:history="1">
        <w:r w:rsidR="00ED62E1" w:rsidRPr="007205BC">
          <w:rPr>
            <w:rStyle w:val="Hipervnculo"/>
          </w:rPr>
          <w:t>3.2.3 Recomendaciones para el mejoramiento de la Gestión</w:t>
        </w:r>
        <w:r w:rsidR="00ED62E1">
          <w:rPr>
            <w:webHidden/>
          </w:rPr>
          <w:tab/>
        </w:r>
        <w:r w:rsidR="00ED62E1">
          <w:rPr>
            <w:webHidden/>
          </w:rPr>
          <w:fldChar w:fldCharType="begin"/>
        </w:r>
        <w:r w:rsidR="00ED62E1">
          <w:rPr>
            <w:webHidden/>
          </w:rPr>
          <w:instrText xml:space="preserve"> PAGEREF _Toc536195530 \h </w:instrText>
        </w:r>
        <w:r w:rsidR="00ED62E1">
          <w:rPr>
            <w:webHidden/>
          </w:rPr>
        </w:r>
        <w:r w:rsidR="00ED62E1">
          <w:rPr>
            <w:webHidden/>
          </w:rPr>
          <w:fldChar w:fldCharType="separate"/>
        </w:r>
        <w:r w:rsidR="00ED62E1">
          <w:rPr>
            <w:webHidden/>
          </w:rPr>
          <w:t>25</w:t>
        </w:r>
        <w:r w:rsidR="00ED62E1">
          <w:rPr>
            <w:webHidden/>
          </w:rPr>
          <w:fldChar w:fldCharType="end"/>
        </w:r>
      </w:hyperlink>
    </w:p>
    <w:p w:rsidR="00ED62E1" w:rsidRDefault="00152F03">
      <w:pPr>
        <w:pStyle w:val="TDC1"/>
        <w:rPr>
          <w:rFonts w:asciiTheme="minorHAnsi" w:eastAsiaTheme="minorEastAsia" w:hAnsiTheme="minorHAnsi" w:cstheme="minorBidi"/>
          <w:b w:val="0"/>
          <w:lang w:eastAsia="es-CO"/>
        </w:rPr>
      </w:pPr>
      <w:hyperlink w:anchor="_Toc536195531" w:history="1">
        <w:r w:rsidR="00ED62E1" w:rsidRPr="007205BC">
          <w:rPr>
            <w:rStyle w:val="Hipervnculo"/>
          </w:rPr>
          <w:t>3.3 OFICINA ASESORA DE COMUNICACIONES</w:t>
        </w:r>
        <w:r w:rsidR="00ED62E1">
          <w:rPr>
            <w:webHidden/>
          </w:rPr>
          <w:tab/>
        </w:r>
        <w:r w:rsidR="00ED62E1">
          <w:rPr>
            <w:webHidden/>
          </w:rPr>
          <w:fldChar w:fldCharType="begin"/>
        </w:r>
        <w:r w:rsidR="00ED62E1">
          <w:rPr>
            <w:webHidden/>
          </w:rPr>
          <w:instrText xml:space="preserve"> PAGEREF _Toc536195531 \h </w:instrText>
        </w:r>
        <w:r w:rsidR="00ED62E1">
          <w:rPr>
            <w:webHidden/>
          </w:rPr>
        </w:r>
        <w:r w:rsidR="00ED62E1">
          <w:rPr>
            <w:webHidden/>
          </w:rPr>
          <w:fldChar w:fldCharType="separate"/>
        </w:r>
        <w:r w:rsidR="00ED62E1">
          <w:rPr>
            <w:webHidden/>
          </w:rPr>
          <w:t>25</w:t>
        </w:r>
        <w:r w:rsidR="00ED62E1">
          <w:rPr>
            <w:webHidden/>
          </w:rPr>
          <w:fldChar w:fldCharType="end"/>
        </w:r>
      </w:hyperlink>
    </w:p>
    <w:p w:rsidR="00ED62E1" w:rsidRDefault="00152F03">
      <w:pPr>
        <w:pStyle w:val="TDC1"/>
        <w:rPr>
          <w:rFonts w:asciiTheme="minorHAnsi" w:eastAsiaTheme="minorEastAsia" w:hAnsiTheme="minorHAnsi" w:cstheme="minorBidi"/>
          <w:b w:val="0"/>
          <w:lang w:eastAsia="es-CO"/>
        </w:rPr>
      </w:pPr>
      <w:hyperlink w:anchor="_Toc536195532" w:history="1">
        <w:r w:rsidR="00ED62E1" w:rsidRPr="007205BC">
          <w:rPr>
            <w:rStyle w:val="Hipervnculo"/>
          </w:rPr>
          <w:t>3.3.1 Gestiones a Cargo</w:t>
        </w:r>
        <w:r w:rsidR="00ED62E1">
          <w:rPr>
            <w:webHidden/>
          </w:rPr>
          <w:tab/>
        </w:r>
        <w:r w:rsidR="00ED62E1">
          <w:rPr>
            <w:webHidden/>
          </w:rPr>
          <w:fldChar w:fldCharType="begin"/>
        </w:r>
        <w:r w:rsidR="00ED62E1">
          <w:rPr>
            <w:webHidden/>
          </w:rPr>
          <w:instrText xml:space="preserve"> PAGEREF _Toc536195532 \h </w:instrText>
        </w:r>
        <w:r w:rsidR="00ED62E1">
          <w:rPr>
            <w:webHidden/>
          </w:rPr>
        </w:r>
        <w:r w:rsidR="00ED62E1">
          <w:rPr>
            <w:webHidden/>
          </w:rPr>
          <w:fldChar w:fldCharType="separate"/>
        </w:r>
        <w:r w:rsidR="00ED62E1">
          <w:rPr>
            <w:webHidden/>
          </w:rPr>
          <w:t>25</w:t>
        </w:r>
        <w:r w:rsidR="00ED62E1">
          <w:rPr>
            <w:webHidden/>
          </w:rPr>
          <w:fldChar w:fldCharType="end"/>
        </w:r>
      </w:hyperlink>
    </w:p>
    <w:p w:rsidR="00ED62E1" w:rsidRDefault="00152F03">
      <w:pPr>
        <w:pStyle w:val="TDC1"/>
        <w:rPr>
          <w:rFonts w:asciiTheme="minorHAnsi" w:eastAsiaTheme="minorEastAsia" w:hAnsiTheme="minorHAnsi" w:cstheme="minorBidi"/>
          <w:b w:val="0"/>
          <w:lang w:eastAsia="es-CO"/>
        </w:rPr>
      </w:pPr>
      <w:hyperlink w:anchor="_Toc536195533" w:history="1">
        <w:r w:rsidR="00ED62E1" w:rsidRPr="007205BC">
          <w:rPr>
            <w:rStyle w:val="Hipervnculo"/>
          </w:rPr>
          <w:t>3.3.2 Mejores prácticas y logros</w:t>
        </w:r>
        <w:r w:rsidR="00ED62E1">
          <w:rPr>
            <w:webHidden/>
          </w:rPr>
          <w:tab/>
        </w:r>
        <w:r w:rsidR="00ED62E1">
          <w:rPr>
            <w:webHidden/>
          </w:rPr>
          <w:fldChar w:fldCharType="begin"/>
        </w:r>
        <w:r w:rsidR="00ED62E1">
          <w:rPr>
            <w:webHidden/>
          </w:rPr>
          <w:instrText xml:space="preserve"> PAGEREF _Toc536195533 \h </w:instrText>
        </w:r>
        <w:r w:rsidR="00ED62E1">
          <w:rPr>
            <w:webHidden/>
          </w:rPr>
        </w:r>
        <w:r w:rsidR="00ED62E1">
          <w:rPr>
            <w:webHidden/>
          </w:rPr>
          <w:fldChar w:fldCharType="separate"/>
        </w:r>
        <w:r w:rsidR="00ED62E1">
          <w:rPr>
            <w:webHidden/>
          </w:rPr>
          <w:t>27</w:t>
        </w:r>
        <w:r w:rsidR="00ED62E1">
          <w:rPr>
            <w:webHidden/>
          </w:rPr>
          <w:fldChar w:fldCharType="end"/>
        </w:r>
      </w:hyperlink>
    </w:p>
    <w:p w:rsidR="00ED62E1" w:rsidRDefault="00152F03">
      <w:pPr>
        <w:pStyle w:val="TDC1"/>
        <w:rPr>
          <w:rFonts w:asciiTheme="minorHAnsi" w:eastAsiaTheme="minorEastAsia" w:hAnsiTheme="minorHAnsi" w:cstheme="minorBidi"/>
          <w:b w:val="0"/>
          <w:lang w:eastAsia="es-CO"/>
        </w:rPr>
      </w:pPr>
      <w:hyperlink w:anchor="_Toc536195534" w:history="1">
        <w:r w:rsidR="00ED62E1" w:rsidRPr="007205BC">
          <w:rPr>
            <w:rStyle w:val="Hipervnculo"/>
          </w:rPr>
          <w:t>3.3.3  Dificultades en la ejecución de la gestión a cargo</w:t>
        </w:r>
        <w:r w:rsidR="00ED62E1">
          <w:rPr>
            <w:webHidden/>
          </w:rPr>
          <w:tab/>
        </w:r>
        <w:r w:rsidR="00ED62E1">
          <w:rPr>
            <w:webHidden/>
          </w:rPr>
          <w:fldChar w:fldCharType="begin"/>
        </w:r>
        <w:r w:rsidR="00ED62E1">
          <w:rPr>
            <w:webHidden/>
          </w:rPr>
          <w:instrText xml:space="preserve"> PAGEREF _Toc536195534 \h </w:instrText>
        </w:r>
        <w:r w:rsidR="00ED62E1">
          <w:rPr>
            <w:webHidden/>
          </w:rPr>
        </w:r>
        <w:r w:rsidR="00ED62E1">
          <w:rPr>
            <w:webHidden/>
          </w:rPr>
          <w:fldChar w:fldCharType="separate"/>
        </w:r>
        <w:r w:rsidR="00ED62E1">
          <w:rPr>
            <w:webHidden/>
          </w:rPr>
          <w:t>28</w:t>
        </w:r>
        <w:r w:rsidR="00ED62E1">
          <w:rPr>
            <w:webHidden/>
          </w:rPr>
          <w:fldChar w:fldCharType="end"/>
        </w:r>
      </w:hyperlink>
    </w:p>
    <w:p w:rsidR="00ED62E1" w:rsidRDefault="00152F03">
      <w:pPr>
        <w:pStyle w:val="TDC1"/>
        <w:rPr>
          <w:rFonts w:asciiTheme="minorHAnsi" w:eastAsiaTheme="minorEastAsia" w:hAnsiTheme="minorHAnsi" w:cstheme="minorBidi"/>
          <w:b w:val="0"/>
          <w:lang w:eastAsia="es-CO"/>
        </w:rPr>
      </w:pPr>
      <w:hyperlink w:anchor="_Toc536195535" w:history="1">
        <w:r w:rsidR="00ED62E1" w:rsidRPr="007205BC">
          <w:rPr>
            <w:rStyle w:val="Hipervnculo"/>
          </w:rPr>
          <w:t>3.3.4  Recomendaciones para mejoramiento de la gestión</w:t>
        </w:r>
        <w:r w:rsidR="00ED62E1">
          <w:rPr>
            <w:webHidden/>
          </w:rPr>
          <w:tab/>
        </w:r>
        <w:r w:rsidR="00ED62E1">
          <w:rPr>
            <w:webHidden/>
          </w:rPr>
          <w:fldChar w:fldCharType="begin"/>
        </w:r>
        <w:r w:rsidR="00ED62E1">
          <w:rPr>
            <w:webHidden/>
          </w:rPr>
          <w:instrText xml:space="preserve"> PAGEREF _Toc536195535 \h </w:instrText>
        </w:r>
        <w:r w:rsidR="00ED62E1">
          <w:rPr>
            <w:webHidden/>
          </w:rPr>
        </w:r>
        <w:r w:rsidR="00ED62E1">
          <w:rPr>
            <w:webHidden/>
          </w:rPr>
          <w:fldChar w:fldCharType="separate"/>
        </w:r>
        <w:r w:rsidR="00ED62E1">
          <w:rPr>
            <w:webHidden/>
          </w:rPr>
          <w:t>28</w:t>
        </w:r>
        <w:r w:rsidR="00ED62E1">
          <w:rPr>
            <w:webHidden/>
          </w:rPr>
          <w:fldChar w:fldCharType="end"/>
        </w:r>
      </w:hyperlink>
    </w:p>
    <w:p w:rsidR="00ED62E1" w:rsidRDefault="00152F03">
      <w:pPr>
        <w:pStyle w:val="TDC1"/>
        <w:rPr>
          <w:rFonts w:asciiTheme="minorHAnsi" w:eastAsiaTheme="minorEastAsia" w:hAnsiTheme="minorHAnsi" w:cstheme="minorBidi"/>
          <w:b w:val="0"/>
          <w:lang w:eastAsia="es-CO"/>
        </w:rPr>
      </w:pPr>
      <w:hyperlink w:anchor="_Toc536195536" w:history="1">
        <w:r w:rsidR="00ED62E1" w:rsidRPr="007205BC">
          <w:rPr>
            <w:rStyle w:val="Hipervnculo"/>
          </w:rPr>
          <w:t>3.4 OFICINA DE CONTROL DISCIPLINARIO</w:t>
        </w:r>
        <w:r w:rsidR="00ED62E1">
          <w:rPr>
            <w:webHidden/>
          </w:rPr>
          <w:tab/>
        </w:r>
        <w:r w:rsidR="00ED62E1">
          <w:rPr>
            <w:webHidden/>
          </w:rPr>
          <w:fldChar w:fldCharType="begin"/>
        </w:r>
        <w:r w:rsidR="00ED62E1">
          <w:rPr>
            <w:webHidden/>
          </w:rPr>
          <w:instrText xml:space="preserve"> PAGEREF _Toc536195536 \h </w:instrText>
        </w:r>
        <w:r w:rsidR="00ED62E1">
          <w:rPr>
            <w:webHidden/>
          </w:rPr>
        </w:r>
        <w:r w:rsidR="00ED62E1">
          <w:rPr>
            <w:webHidden/>
          </w:rPr>
          <w:fldChar w:fldCharType="separate"/>
        </w:r>
        <w:r w:rsidR="00ED62E1">
          <w:rPr>
            <w:webHidden/>
          </w:rPr>
          <w:t>28</w:t>
        </w:r>
        <w:r w:rsidR="00ED62E1">
          <w:rPr>
            <w:webHidden/>
          </w:rPr>
          <w:fldChar w:fldCharType="end"/>
        </w:r>
      </w:hyperlink>
    </w:p>
    <w:p w:rsidR="00ED62E1" w:rsidRDefault="00152F03">
      <w:pPr>
        <w:pStyle w:val="TDC1"/>
        <w:rPr>
          <w:rFonts w:asciiTheme="minorHAnsi" w:eastAsiaTheme="minorEastAsia" w:hAnsiTheme="minorHAnsi" w:cstheme="minorBidi"/>
          <w:b w:val="0"/>
          <w:lang w:eastAsia="es-CO"/>
        </w:rPr>
      </w:pPr>
      <w:hyperlink w:anchor="_Toc536195537" w:history="1">
        <w:r w:rsidR="00ED62E1" w:rsidRPr="007205BC">
          <w:rPr>
            <w:rStyle w:val="Hipervnculo"/>
          </w:rPr>
          <w:t>3.4.1 Gestiones a Cargo</w:t>
        </w:r>
        <w:r w:rsidR="00ED62E1">
          <w:rPr>
            <w:webHidden/>
          </w:rPr>
          <w:tab/>
        </w:r>
        <w:r w:rsidR="00ED62E1">
          <w:rPr>
            <w:webHidden/>
          </w:rPr>
          <w:fldChar w:fldCharType="begin"/>
        </w:r>
        <w:r w:rsidR="00ED62E1">
          <w:rPr>
            <w:webHidden/>
          </w:rPr>
          <w:instrText xml:space="preserve"> PAGEREF _Toc536195537 \h </w:instrText>
        </w:r>
        <w:r w:rsidR="00ED62E1">
          <w:rPr>
            <w:webHidden/>
          </w:rPr>
        </w:r>
        <w:r w:rsidR="00ED62E1">
          <w:rPr>
            <w:webHidden/>
          </w:rPr>
          <w:fldChar w:fldCharType="separate"/>
        </w:r>
        <w:r w:rsidR="00ED62E1">
          <w:rPr>
            <w:webHidden/>
          </w:rPr>
          <w:t>28</w:t>
        </w:r>
        <w:r w:rsidR="00ED62E1">
          <w:rPr>
            <w:webHidden/>
          </w:rPr>
          <w:fldChar w:fldCharType="end"/>
        </w:r>
      </w:hyperlink>
    </w:p>
    <w:p w:rsidR="00ED62E1" w:rsidRDefault="00152F03">
      <w:pPr>
        <w:pStyle w:val="TDC1"/>
        <w:rPr>
          <w:rFonts w:asciiTheme="minorHAnsi" w:eastAsiaTheme="minorEastAsia" w:hAnsiTheme="minorHAnsi" w:cstheme="minorBidi"/>
          <w:b w:val="0"/>
          <w:lang w:eastAsia="es-CO"/>
        </w:rPr>
      </w:pPr>
      <w:hyperlink w:anchor="_Toc536195538" w:history="1">
        <w:r w:rsidR="00ED62E1" w:rsidRPr="007205BC">
          <w:rPr>
            <w:rStyle w:val="Hipervnculo"/>
          </w:rPr>
          <w:t>3.4.2 Mejores Prácticas y Logros.</w:t>
        </w:r>
        <w:r w:rsidR="00ED62E1">
          <w:rPr>
            <w:webHidden/>
          </w:rPr>
          <w:tab/>
        </w:r>
        <w:r w:rsidR="00ED62E1">
          <w:rPr>
            <w:webHidden/>
          </w:rPr>
          <w:fldChar w:fldCharType="begin"/>
        </w:r>
        <w:r w:rsidR="00ED62E1">
          <w:rPr>
            <w:webHidden/>
          </w:rPr>
          <w:instrText xml:space="preserve"> PAGEREF _Toc536195538 \h </w:instrText>
        </w:r>
        <w:r w:rsidR="00ED62E1">
          <w:rPr>
            <w:webHidden/>
          </w:rPr>
        </w:r>
        <w:r w:rsidR="00ED62E1">
          <w:rPr>
            <w:webHidden/>
          </w:rPr>
          <w:fldChar w:fldCharType="separate"/>
        </w:r>
        <w:r w:rsidR="00ED62E1">
          <w:rPr>
            <w:webHidden/>
          </w:rPr>
          <w:t>34</w:t>
        </w:r>
        <w:r w:rsidR="00ED62E1">
          <w:rPr>
            <w:webHidden/>
          </w:rPr>
          <w:fldChar w:fldCharType="end"/>
        </w:r>
      </w:hyperlink>
    </w:p>
    <w:p w:rsidR="00ED62E1" w:rsidRDefault="00152F03">
      <w:pPr>
        <w:pStyle w:val="TDC1"/>
        <w:rPr>
          <w:rFonts w:asciiTheme="minorHAnsi" w:eastAsiaTheme="minorEastAsia" w:hAnsiTheme="minorHAnsi" w:cstheme="minorBidi"/>
          <w:b w:val="0"/>
          <w:lang w:eastAsia="es-CO"/>
        </w:rPr>
      </w:pPr>
      <w:hyperlink w:anchor="_Toc536195539" w:history="1">
        <w:r w:rsidR="00ED62E1" w:rsidRPr="007205BC">
          <w:rPr>
            <w:rStyle w:val="Hipervnculo"/>
          </w:rPr>
          <w:t>3.4.3 Recomendaciones para el mejoramiento de la gestión</w:t>
        </w:r>
        <w:r w:rsidR="00ED62E1">
          <w:rPr>
            <w:webHidden/>
          </w:rPr>
          <w:tab/>
        </w:r>
        <w:r w:rsidR="00ED62E1">
          <w:rPr>
            <w:webHidden/>
          </w:rPr>
          <w:fldChar w:fldCharType="begin"/>
        </w:r>
        <w:r w:rsidR="00ED62E1">
          <w:rPr>
            <w:webHidden/>
          </w:rPr>
          <w:instrText xml:space="preserve"> PAGEREF _Toc536195539 \h </w:instrText>
        </w:r>
        <w:r w:rsidR="00ED62E1">
          <w:rPr>
            <w:webHidden/>
          </w:rPr>
        </w:r>
        <w:r w:rsidR="00ED62E1">
          <w:rPr>
            <w:webHidden/>
          </w:rPr>
          <w:fldChar w:fldCharType="separate"/>
        </w:r>
        <w:r w:rsidR="00ED62E1">
          <w:rPr>
            <w:webHidden/>
          </w:rPr>
          <w:t>35</w:t>
        </w:r>
        <w:r w:rsidR="00ED62E1">
          <w:rPr>
            <w:webHidden/>
          </w:rPr>
          <w:fldChar w:fldCharType="end"/>
        </w:r>
      </w:hyperlink>
    </w:p>
    <w:p w:rsidR="00ED62E1" w:rsidRDefault="00152F03">
      <w:pPr>
        <w:pStyle w:val="TDC1"/>
        <w:rPr>
          <w:rFonts w:asciiTheme="minorHAnsi" w:eastAsiaTheme="minorEastAsia" w:hAnsiTheme="minorHAnsi" w:cstheme="minorBidi"/>
          <w:b w:val="0"/>
          <w:lang w:eastAsia="es-CO"/>
        </w:rPr>
      </w:pPr>
      <w:hyperlink w:anchor="_Toc536195540" w:history="1">
        <w:r w:rsidR="00ED62E1" w:rsidRPr="007205BC">
          <w:rPr>
            <w:rStyle w:val="Hipervnculo"/>
          </w:rPr>
          <w:t>3.4.4 Dificultades en la ejecución de la gestión a cargo.</w:t>
        </w:r>
        <w:r w:rsidR="00ED62E1">
          <w:rPr>
            <w:webHidden/>
          </w:rPr>
          <w:tab/>
        </w:r>
        <w:r w:rsidR="00ED62E1">
          <w:rPr>
            <w:webHidden/>
          </w:rPr>
          <w:fldChar w:fldCharType="begin"/>
        </w:r>
        <w:r w:rsidR="00ED62E1">
          <w:rPr>
            <w:webHidden/>
          </w:rPr>
          <w:instrText xml:space="preserve"> PAGEREF _Toc536195540 \h </w:instrText>
        </w:r>
        <w:r w:rsidR="00ED62E1">
          <w:rPr>
            <w:webHidden/>
          </w:rPr>
        </w:r>
        <w:r w:rsidR="00ED62E1">
          <w:rPr>
            <w:webHidden/>
          </w:rPr>
          <w:fldChar w:fldCharType="separate"/>
        </w:r>
        <w:r w:rsidR="00ED62E1">
          <w:rPr>
            <w:webHidden/>
          </w:rPr>
          <w:t>36</w:t>
        </w:r>
        <w:r w:rsidR="00ED62E1">
          <w:rPr>
            <w:webHidden/>
          </w:rPr>
          <w:fldChar w:fldCharType="end"/>
        </w:r>
      </w:hyperlink>
    </w:p>
    <w:p w:rsidR="00ED62E1" w:rsidRDefault="00152F03">
      <w:pPr>
        <w:pStyle w:val="TDC1"/>
        <w:rPr>
          <w:rFonts w:asciiTheme="minorHAnsi" w:eastAsiaTheme="minorEastAsia" w:hAnsiTheme="minorHAnsi" w:cstheme="minorBidi"/>
          <w:b w:val="0"/>
          <w:lang w:eastAsia="es-CO"/>
        </w:rPr>
      </w:pPr>
      <w:hyperlink w:anchor="_Toc536195541" w:history="1">
        <w:r w:rsidR="00ED62E1" w:rsidRPr="007205BC">
          <w:rPr>
            <w:rStyle w:val="Hipervnculo"/>
          </w:rPr>
          <w:t>3.5 OFICINA DE ATENCIÓN AL CIUDADANO</w:t>
        </w:r>
        <w:r w:rsidR="00ED62E1">
          <w:rPr>
            <w:webHidden/>
          </w:rPr>
          <w:tab/>
        </w:r>
        <w:r w:rsidR="00ED62E1">
          <w:rPr>
            <w:webHidden/>
          </w:rPr>
          <w:fldChar w:fldCharType="begin"/>
        </w:r>
        <w:r w:rsidR="00ED62E1">
          <w:rPr>
            <w:webHidden/>
          </w:rPr>
          <w:instrText xml:space="preserve"> PAGEREF _Toc536195541 \h </w:instrText>
        </w:r>
        <w:r w:rsidR="00ED62E1">
          <w:rPr>
            <w:webHidden/>
          </w:rPr>
        </w:r>
        <w:r w:rsidR="00ED62E1">
          <w:rPr>
            <w:webHidden/>
          </w:rPr>
          <w:fldChar w:fldCharType="separate"/>
        </w:r>
        <w:r w:rsidR="00ED62E1">
          <w:rPr>
            <w:webHidden/>
          </w:rPr>
          <w:t>36</w:t>
        </w:r>
        <w:r w:rsidR="00ED62E1">
          <w:rPr>
            <w:webHidden/>
          </w:rPr>
          <w:fldChar w:fldCharType="end"/>
        </w:r>
      </w:hyperlink>
    </w:p>
    <w:p w:rsidR="00ED62E1" w:rsidRDefault="00152F03">
      <w:pPr>
        <w:pStyle w:val="TDC1"/>
        <w:rPr>
          <w:rFonts w:asciiTheme="minorHAnsi" w:eastAsiaTheme="minorEastAsia" w:hAnsiTheme="minorHAnsi" w:cstheme="minorBidi"/>
          <w:b w:val="0"/>
          <w:lang w:eastAsia="es-CO"/>
        </w:rPr>
      </w:pPr>
      <w:hyperlink w:anchor="_Toc536195542" w:history="1">
        <w:r w:rsidR="00ED62E1" w:rsidRPr="007205BC">
          <w:rPr>
            <w:rStyle w:val="Hipervnculo"/>
          </w:rPr>
          <w:t>3.5.1 Gestiones a Cargo</w:t>
        </w:r>
        <w:r w:rsidR="00ED62E1">
          <w:rPr>
            <w:webHidden/>
          </w:rPr>
          <w:tab/>
        </w:r>
        <w:r w:rsidR="00ED62E1">
          <w:rPr>
            <w:webHidden/>
          </w:rPr>
          <w:fldChar w:fldCharType="begin"/>
        </w:r>
        <w:r w:rsidR="00ED62E1">
          <w:rPr>
            <w:webHidden/>
          </w:rPr>
          <w:instrText xml:space="preserve"> PAGEREF _Toc536195542 \h </w:instrText>
        </w:r>
        <w:r w:rsidR="00ED62E1">
          <w:rPr>
            <w:webHidden/>
          </w:rPr>
        </w:r>
        <w:r w:rsidR="00ED62E1">
          <w:rPr>
            <w:webHidden/>
          </w:rPr>
          <w:fldChar w:fldCharType="separate"/>
        </w:r>
        <w:r w:rsidR="00ED62E1">
          <w:rPr>
            <w:webHidden/>
          </w:rPr>
          <w:t>37</w:t>
        </w:r>
        <w:r w:rsidR="00ED62E1">
          <w:rPr>
            <w:webHidden/>
          </w:rPr>
          <w:fldChar w:fldCharType="end"/>
        </w:r>
      </w:hyperlink>
    </w:p>
    <w:p w:rsidR="00ED62E1" w:rsidRDefault="00152F03">
      <w:pPr>
        <w:pStyle w:val="TDC1"/>
        <w:rPr>
          <w:rFonts w:asciiTheme="minorHAnsi" w:eastAsiaTheme="minorEastAsia" w:hAnsiTheme="minorHAnsi" w:cstheme="minorBidi"/>
          <w:b w:val="0"/>
          <w:lang w:eastAsia="es-CO"/>
        </w:rPr>
      </w:pPr>
      <w:hyperlink w:anchor="_Toc536195543" w:history="1">
        <w:r w:rsidR="00ED62E1" w:rsidRPr="007205BC">
          <w:rPr>
            <w:rStyle w:val="Hipervnculo"/>
          </w:rPr>
          <w:t>3.5.2 Mejores prácticas y logros</w:t>
        </w:r>
        <w:r w:rsidR="00ED62E1">
          <w:rPr>
            <w:webHidden/>
          </w:rPr>
          <w:tab/>
        </w:r>
        <w:r w:rsidR="00ED62E1">
          <w:rPr>
            <w:webHidden/>
          </w:rPr>
          <w:fldChar w:fldCharType="begin"/>
        </w:r>
        <w:r w:rsidR="00ED62E1">
          <w:rPr>
            <w:webHidden/>
          </w:rPr>
          <w:instrText xml:space="preserve"> PAGEREF _Toc536195543 \h </w:instrText>
        </w:r>
        <w:r w:rsidR="00ED62E1">
          <w:rPr>
            <w:webHidden/>
          </w:rPr>
        </w:r>
        <w:r w:rsidR="00ED62E1">
          <w:rPr>
            <w:webHidden/>
          </w:rPr>
          <w:fldChar w:fldCharType="separate"/>
        </w:r>
        <w:r w:rsidR="00ED62E1">
          <w:rPr>
            <w:webHidden/>
          </w:rPr>
          <w:t>41</w:t>
        </w:r>
        <w:r w:rsidR="00ED62E1">
          <w:rPr>
            <w:webHidden/>
          </w:rPr>
          <w:fldChar w:fldCharType="end"/>
        </w:r>
      </w:hyperlink>
    </w:p>
    <w:p w:rsidR="00ED62E1" w:rsidRDefault="00152F03">
      <w:pPr>
        <w:pStyle w:val="TDC1"/>
        <w:rPr>
          <w:rFonts w:asciiTheme="minorHAnsi" w:eastAsiaTheme="minorEastAsia" w:hAnsiTheme="minorHAnsi" w:cstheme="minorBidi"/>
          <w:b w:val="0"/>
          <w:lang w:eastAsia="es-CO"/>
        </w:rPr>
      </w:pPr>
      <w:hyperlink w:anchor="_Toc536195544" w:history="1">
        <w:r w:rsidR="00ED62E1" w:rsidRPr="007205BC">
          <w:rPr>
            <w:rStyle w:val="Hipervnculo"/>
          </w:rPr>
          <w:t>3.5.3 Dificultades en la ejecución de la gestión a cargo</w:t>
        </w:r>
        <w:r w:rsidR="00ED62E1">
          <w:rPr>
            <w:webHidden/>
          </w:rPr>
          <w:tab/>
        </w:r>
        <w:r w:rsidR="00ED62E1">
          <w:rPr>
            <w:webHidden/>
          </w:rPr>
          <w:fldChar w:fldCharType="begin"/>
        </w:r>
        <w:r w:rsidR="00ED62E1">
          <w:rPr>
            <w:webHidden/>
          </w:rPr>
          <w:instrText xml:space="preserve"> PAGEREF _Toc536195544 \h </w:instrText>
        </w:r>
        <w:r w:rsidR="00ED62E1">
          <w:rPr>
            <w:webHidden/>
          </w:rPr>
        </w:r>
        <w:r w:rsidR="00ED62E1">
          <w:rPr>
            <w:webHidden/>
          </w:rPr>
          <w:fldChar w:fldCharType="separate"/>
        </w:r>
        <w:r w:rsidR="00ED62E1">
          <w:rPr>
            <w:webHidden/>
          </w:rPr>
          <w:t>42</w:t>
        </w:r>
        <w:r w:rsidR="00ED62E1">
          <w:rPr>
            <w:webHidden/>
          </w:rPr>
          <w:fldChar w:fldCharType="end"/>
        </w:r>
      </w:hyperlink>
    </w:p>
    <w:p w:rsidR="00ED62E1" w:rsidRDefault="00152F03">
      <w:pPr>
        <w:pStyle w:val="TDC1"/>
        <w:rPr>
          <w:rFonts w:asciiTheme="minorHAnsi" w:eastAsiaTheme="minorEastAsia" w:hAnsiTheme="minorHAnsi" w:cstheme="minorBidi"/>
          <w:b w:val="0"/>
          <w:lang w:eastAsia="es-CO"/>
        </w:rPr>
      </w:pPr>
      <w:hyperlink w:anchor="_Toc536195545" w:history="1">
        <w:r w:rsidR="00ED62E1" w:rsidRPr="007205BC">
          <w:rPr>
            <w:rStyle w:val="Hipervnculo"/>
          </w:rPr>
          <w:t>CAPITULO 4. GESTIÓN JURÍDICA</w:t>
        </w:r>
        <w:r w:rsidR="00ED62E1">
          <w:rPr>
            <w:webHidden/>
          </w:rPr>
          <w:tab/>
        </w:r>
        <w:r w:rsidR="00ED62E1">
          <w:rPr>
            <w:webHidden/>
          </w:rPr>
          <w:fldChar w:fldCharType="begin"/>
        </w:r>
        <w:r w:rsidR="00ED62E1">
          <w:rPr>
            <w:webHidden/>
          </w:rPr>
          <w:instrText xml:space="preserve"> PAGEREF _Toc536195545 \h </w:instrText>
        </w:r>
        <w:r w:rsidR="00ED62E1">
          <w:rPr>
            <w:webHidden/>
          </w:rPr>
        </w:r>
        <w:r w:rsidR="00ED62E1">
          <w:rPr>
            <w:webHidden/>
          </w:rPr>
          <w:fldChar w:fldCharType="separate"/>
        </w:r>
        <w:r w:rsidR="00ED62E1">
          <w:rPr>
            <w:webHidden/>
          </w:rPr>
          <w:t>43</w:t>
        </w:r>
        <w:r w:rsidR="00ED62E1">
          <w:rPr>
            <w:webHidden/>
          </w:rPr>
          <w:fldChar w:fldCharType="end"/>
        </w:r>
      </w:hyperlink>
    </w:p>
    <w:p w:rsidR="00ED62E1" w:rsidRDefault="00152F03">
      <w:pPr>
        <w:pStyle w:val="TDC1"/>
        <w:rPr>
          <w:rFonts w:asciiTheme="minorHAnsi" w:eastAsiaTheme="minorEastAsia" w:hAnsiTheme="minorHAnsi" w:cstheme="minorBidi"/>
          <w:b w:val="0"/>
          <w:lang w:eastAsia="es-CO"/>
        </w:rPr>
      </w:pPr>
      <w:hyperlink w:anchor="_Toc536195546" w:history="1">
        <w:r w:rsidR="00ED62E1" w:rsidRPr="007205BC">
          <w:rPr>
            <w:rStyle w:val="Hipervnculo"/>
          </w:rPr>
          <w:t>4.1 Gestiones a Cargo</w:t>
        </w:r>
        <w:r w:rsidR="00ED62E1">
          <w:rPr>
            <w:webHidden/>
          </w:rPr>
          <w:tab/>
        </w:r>
        <w:r w:rsidR="00ED62E1">
          <w:rPr>
            <w:webHidden/>
          </w:rPr>
          <w:fldChar w:fldCharType="begin"/>
        </w:r>
        <w:r w:rsidR="00ED62E1">
          <w:rPr>
            <w:webHidden/>
          </w:rPr>
          <w:instrText xml:space="preserve"> PAGEREF _Toc536195546 \h </w:instrText>
        </w:r>
        <w:r w:rsidR="00ED62E1">
          <w:rPr>
            <w:webHidden/>
          </w:rPr>
        </w:r>
        <w:r w:rsidR="00ED62E1">
          <w:rPr>
            <w:webHidden/>
          </w:rPr>
          <w:fldChar w:fldCharType="separate"/>
        </w:r>
        <w:r w:rsidR="00ED62E1">
          <w:rPr>
            <w:webHidden/>
          </w:rPr>
          <w:t>43</w:t>
        </w:r>
        <w:r w:rsidR="00ED62E1">
          <w:rPr>
            <w:webHidden/>
          </w:rPr>
          <w:fldChar w:fldCharType="end"/>
        </w:r>
      </w:hyperlink>
    </w:p>
    <w:p w:rsidR="00ED62E1" w:rsidRDefault="00152F03">
      <w:pPr>
        <w:pStyle w:val="TDC1"/>
        <w:rPr>
          <w:rFonts w:asciiTheme="minorHAnsi" w:eastAsiaTheme="minorEastAsia" w:hAnsiTheme="minorHAnsi" w:cstheme="minorBidi"/>
          <w:b w:val="0"/>
          <w:lang w:eastAsia="es-CO"/>
        </w:rPr>
      </w:pPr>
      <w:hyperlink w:anchor="_Toc536195547" w:history="1">
        <w:r w:rsidR="00ED62E1" w:rsidRPr="007205BC">
          <w:rPr>
            <w:rStyle w:val="Hipervnculo"/>
            <w:lang w:eastAsia="es-CO"/>
          </w:rPr>
          <w:t>4.2 Mejores Prácticas y Logros</w:t>
        </w:r>
        <w:r w:rsidR="00ED62E1">
          <w:rPr>
            <w:webHidden/>
          </w:rPr>
          <w:tab/>
        </w:r>
        <w:r w:rsidR="00ED62E1">
          <w:rPr>
            <w:webHidden/>
          </w:rPr>
          <w:fldChar w:fldCharType="begin"/>
        </w:r>
        <w:r w:rsidR="00ED62E1">
          <w:rPr>
            <w:webHidden/>
          </w:rPr>
          <w:instrText xml:space="preserve"> PAGEREF _Toc536195547 \h </w:instrText>
        </w:r>
        <w:r w:rsidR="00ED62E1">
          <w:rPr>
            <w:webHidden/>
          </w:rPr>
        </w:r>
        <w:r w:rsidR="00ED62E1">
          <w:rPr>
            <w:webHidden/>
          </w:rPr>
          <w:fldChar w:fldCharType="separate"/>
        </w:r>
        <w:r w:rsidR="00ED62E1">
          <w:rPr>
            <w:webHidden/>
          </w:rPr>
          <w:t>53</w:t>
        </w:r>
        <w:r w:rsidR="00ED62E1">
          <w:rPr>
            <w:webHidden/>
          </w:rPr>
          <w:fldChar w:fldCharType="end"/>
        </w:r>
      </w:hyperlink>
    </w:p>
    <w:p w:rsidR="00ED62E1" w:rsidRDefault="00152F03">
      <w:pPr>
        <w:pStyle w:val="TDC1"/>
        <w:rPr>
          <w:rFonts w:asciiTheme="minorHAnsi" w:eastAsiaTheme="minorEastAsia" w:hAnsiTheme="minorHAnsi" w:cstheme="minorBidi"/>
          <w:b w:val="0"/>
          <w:lang w:eastAsia="es-CO"/>
        </w:rPr>
      </w:pPr>
      <w:hyperlink w:anchor="_Toc536195548" w:history="1">
        <w:r w:rsidR="00ED62E1" w:rsidRPr="007205BC">
          <w:rPr>
            <w:rStyle w:val="Hipervnculo"/>
            <w:lang w:eastAsia="es-CO"/>
          </w:rPr>
          <w:t>4.3 Recomendaciones para el mejoramiento de la gestión</w:t>
        </w:r>
        <w:r w:rsidR="00ED62E1">
          <w:rPr>
            <w:webHidden/>
          </w:rPr>
          <w:tab/>
        </w:r>
        <w:r w:rsidR="00ED62E1">
          <w:rPr>
            <w:webHidden/>
          </w:rPr>
          <w:fldChar w:fldCharType="begin"/>
        </w:r>
        <w:r w:rsidR="00ED62E1">
          <w:rPr>
            <w:webHidden/>
          </w:rPr>
          <w:instrText xml:space="preserve"> PAGEREF _Toc536195548 \h </w:instrText>
        </w:r>
        <w:r w:rsidR="00ED62E1">
          <w:rPr>
            <w:webHidden/>
          </w:rPr>
        </w:r>
        <w:r w:rsidR="00ED62E1">
          <w:rPr>
            <w:webHidden/>
          </w:rPr>
          <w:fldChar w:fldCharType="separate"/>
        </w:r>
        <w:r w:rsidR="00ED62E1">
          <w:rPr>
            <w:webHidden/>
          </w:rPr>
          <w:t>54</w:t>
        </w:r>
        <w:r w:rsidR="00ED62E1">
          <w:rPr>
            <w:webHidden/>
          </w:rPr>
          <w:fldChar w:fldCharType="end"/>
        </w:r>
      </w:hyperlink>
    </w:p>
    <w:p w:rsidR="00ED62E1" w:rsidRDefault="00152F03">
      <w:pPr>
        <w:pStyle w:val="TDC1"/>
        <w:rPr>
          <w:rFonts w:asciiTheme="minorHAnsi" w:eastAsiaTheme="minorEastAsia" w:hAnsiTheme="minorHAnsi" w:cstheme="minorBidi"/>
          <w:b w:val="0"/>
          <w:lang w:eastAsia="es-CO"/>
        </w:rPr>
      </w:pPr>
      <w:hyperlink w:anchor="_Toc536195549" w:history="1">
        <w:r w:rsidR="00ED62E1" w:rsidRPr="007205BC">
          <w:rPr>
            <w:rStyle w:val="Hipervnculo"/>
            <w:lang w:eastAsia="es-CO"/>
          </w:rPr>
          <w:t>4.4 Dificultades en la ejecución de la Gestión a Cargo</w:t>
        </w:r>
        <w:r w:rsidR="00ED62E1">
          <w:rPr>
            <w:webHidden/>
          </w:rPr>
          <w:tab/>
        </w:r>
        <w:r w:rsidR="00ED62E1">
          <w:rPr>
            <w:webHidden/>
          </w:rPr>
          <w:fldChar w:fldCharType="begin"/>
        </w:r>
        <w:r w:rsidR="00ED62E1">
          <w:rPr>
            <w:webHidden/>
          </w:rPr>
          <w:instrText xml:space="preserve"> PAGEREF _Toc536195549 \h </w:instrText>
        </w:r>
        <w:r w:rsidR="00ED62E1">
          <w:rPr>
            <w:webHidden/>
          </w:rPr>
        </w:r>
        <w:r w:rsidR="00ED62E1">
          <w:rPr>
            <w:webHidden/>
          </w:rPr>
          <w:fldChar w:fldCharType="separate"/>
        </w:r>
        <w:r w:rsidR="00ED62E1">
          <w:rPr>
            <w:webHidden/>
          </w:rPr>
          <w:t>55</w:t>
        </w:r>
        <w:r w:rsidR="00ED62E1">
          <w:rPr>
            <w:webHidden/>
          </w:rPr>
          <w:fldChar w:fldCharType="end"/>
        </w:r>
      </w:hyperlink>
    </w:p>
    <w:p w:rsidR="00ED62E1" w:rsidRDefault="00152F03">
      <w:pPr>
        <w:pStyle w:val="TDC1"/>
        <w:rPr>
          <w:rFonts w:asciiTheme="minorHAnsi" w:eastAsiaTheme="minorEastAsia" w:hAnsiTheme="minorHAnsi" w:cstheme="minorBidi"/>
          <w:b w:val="0"/>
          <w:lang w:eastAsia="es-CO"/>
        </w:rPr>
      </w:pPr>
      <w:hyperlink w:anchor="_Toc536195550" w:history="1">
        <w:r w:rsidR="00ED62E1" w:rsidRPr="007205BC">
          <w:rPr>
            <w:rStyle w:val="Hipervnculo"/>
          </w:rPr>
          <w:t>CAPITULO 5. GESTIÓN DE INFRAESTRUCTURA</w:t>
        </w:r>
        <w:r w:rsidR="00ED62E1">
          <w:rPr>
            <w:webHidden/>
          </w:rPr>
          <w:tab/>
        </w:r>
        <w:r w:rsidR="00ED62E1">
          <w:rPr>
            <w:webHidden/>
          </w:rPr>
          <w:fldChar w:fldCharType="begin"/>
        </w:r>
        <w:r w:rsidR="00ED62E1">
          <w:rPr>
            <w:webHidden/>
          </w:rPr>
          <w:instrText xml:space="preserve"> PAGEREF _Toc536195550 \h </w:instrText>
        </w:r>
        <w:r w:rsidR="00ED62E1">
          <w:rPr>
            <w:webHidden/>
          </w:rPr>
        </w:r>
        <w:r w:rsidR="00ED62E1">
          <w:rPr>
            <w:webHidden/>
          </w:rPr>
          <w:fldChar w:fldCharType="separate"/>
        </w:r>
        <w:r w:rsidR="00ED62E1">
          <w:rPr>
            <w:webHidden/>
          </w:rPr>
          <w:t>56</w:t>
        </w:r>
        <w:r w:rsidR="00ED62E1">
          <w:rPr>
            <w:webHidden/>
          </w:rPr>
          <w:fldChar w:fldCharType="end"/>
        </w:r>
      </w:hyperlink>
    </w:p>
    <w:p w:rsidR="00ED62E1" w:rsidRDefault="00152F03">
      <w:pPr>
        <w:pStyle w:val="TDC1"/>
        <w:rPr>
          <w:rFonts w:asciiTheme="minorHAnsi" w:eastAsiaTheme="minorEastAsia" w:hAnsiTheme="minorHAnsi" w:cstheme="minorBidi"/>
          <w:b w:val="0"/>
          <w:lang w:eastAsia="es-CO"/>
        </w:rPr>
      </w:pPr>
      <w:hyperlink w:anchor="_Toc536195551" w:history="1">
        <w:r w:rsidR="00ED62E1" w:rsidRPr="007205BC">
          <w:rPr>
            <w:rStyle w:val="Hipervnculo"/>
          </w:rPr>
          <w:t>5.1 Gestiones a Cargo</w:t>
        </w:r>
        <w:r w:rsidR="00ED62E1">
          <w:rPr>
            <w:webHidden/>
          </w:rPr>
          <w:tab/>
        </w:r>
        <w:r w:rsidR="00ED62E1">
          <w:rPr>
            <w:webHidden/>
          </w:rPr>
          <w:fldChar w:fldCharType="begin"/>
        </w:r>
        <w:r w:rsidR="00ED62E1">
          <w:rPr>
            <w:webHidden/>
          </w:rPr>
          <w:instrText xml:space="preserve"> PAGEREF _Toc536195551 \h </w:instrText>
        </w:r>
        <w:r w:rsidR="00ED62E1">
          <w:rPr>
            <w:webHidden/>
          </w:rPr>
        </w:r>
        <w:r w:rsidR="00ED62E1">
          <w:rPr>
            <w:webHidden/>
          </w:rPr>
          <w:fldChar w:fldCharType="separate"/>
        </w:r>
        <w:r w:rsidR="00ED62E1">
          <w:rPr>
            <w:webHidden/>
          </w:rPr>
          <w:t>56</w:t>
        </w:r>
        <w:r w:rsidR="00ED62E1">
          <w:rPr>
            <w:webHidden/>
          </w:rPr>
          <w:fldChar w:fldCharType="end"/>
        </w:r>
      </w:hyperlink>
    </w:p>
    <w:p w:rsidR="00ED62E1" w:rsidRDefault="00152F03">
      <w:pPr>
        <w:pStyle w:val="TDC1"/>
        <w:rPr>
          <w:rFonts w:asciiTheme="minorHAnsi" w:eastAsiaTheme="minorEastAsia" w:hAnsiTheme="minorHAnsi" w:cstheme="minorBidi"/>
          <w:b w:val="0"/>
          <w:lang w:eastAsia="es-CO"/>
        </w:rPr>
      </w:pPr>
      <w:hyperlink w:anchor="_Toc536195552" w:history="1">
        <w:r w:rsidR="00ED62E1" w:rsidRPr="007205BC">
          <w:rPr>
            <w:rStyle w:val="Hipervnculo"/>
          </w:rPr>
          <w:t>5.1.1 Administración de Infraestructura</w:t>
        </w:r>
        <w:r w:rsidR="00ED62E1">
          <w:rPr>
            <w:webHidden/>
          </w:rPr>
          <w:tab/>
        </w:r>
        <w:r w:rsidR="00ED62E1">
          <w:rPr>
            <w:webHidden/>
          </w:rPr>
          <w:fldChar w:fldCharType="begin"/>
        </w:r>
        <w:r w:rsidR="00ED62E1">
          <w:rPr>
            <w:webHidden/>
          </w:rPr>
          <w:instrText xml:space="preserve"> PAGEREF _Toc536195552 \h </w:instrText>
        </w:r>
        <w:r w:rsidR="00ED62E1">
          <w:rPr>
            <w:webHidden/>
          </w:rPr>
        </w:r>
        <w:r w:rsidR="00ED62E1">
          <w:rPr>
            <w:webHidden/>
          </w:rPr>
          <w:fldChar w:fldCharType="separate"/>
        </w:r>
        <w:r w:rsidR="00ED62E1">
          <w:rPr>
            <w:webHidden/>
          </w:rPr>
          <w:t>58</w:t>
        </w:r>
        <w:r w:rsidR="00ED62E1">
          <w:rPr>
            <w:webHidden/>
          </w:rPr>
          <w:fldChar w:fldCharType="end"/>
        </w:r>
      </w:hyperlink>
    </w:p>
    <w:p w:rsidR="00ED62E1" w:rsidRDefault="00152F03">
      <w:pPr>
        <w:pStyle w:val="TDC1"/>
        <w:rPr>
          <w:rFonts w:asciiTheme="minorHAnsi" w:eastAsiaTheme="minorEastAsia" w:hAnsiTheme="minorHAnsi" w:cstheme="minorBidi"/>
          <w:b w:val="0"/>
          <w:lang w:eastAsia="es-CO"/>
        </w:rPr>
      </w:pPr>
      <w:hyperlink w:anchor="_Toc536195553" w:history="1">
        <w:r w:rsidR="00ED62E1" w:rsidRPr="007205BC">
          <w:rPr>
            <w:rStyle w:val="Hipervnculo"/>
          </w:rPr>
          <w:t>5.1.2 Dirección Técnica de Mantenimiento</w:t>
        </w:r>
        <w:r w:rsidR="00ED62E1">
          <w:rPr>
            <w:webHidden/>
          </w:rPr>
          <w:tab/>
        </w:r>
        <w:r w:rsidR="00ED62E1">
          <w:rPr>
            <w:webHidden/>
          </w:rPr>
          <w:fldChar w:fldCharType="begin"/>
        </w:r>
        <w:r w:rsidR="00ED62E1">
          <w:rPr>
            <w:webHidden/>
          </w:rPr>
          <w:instrText xml:space="preserve"> PAGEREF _Toc536195553 \h </w:instrText>
        </w:r>
        <w:r w:rsidR="00ED62E1">
          <w:rPr>
            <w:webHidden/>
          </w:rPr>
        </w:r>
        <w:r w:rsidR="00ED62E1">
          <w:rPr>
            <w:webHidden/>
          </w:rPr>
          <w:fldChar w:fldCharType="separate"/>
        </w:r>
        <w:r w:rsidR="00ED62E1">
          <w:rPr>
            <w:webHidden/>
          </w:rPr>
          <w:t>62</w:t>
        </w:r>
        <w:r w:rsidR="00ED62E1">
          <w:rPr>
            <w:webHidden/>
          </w:rPr>
          <w:fldChar w:fldCharType="end"/>
        </w:r>
      </w:hyperlink>
    </w:p>
    <w:p w:rsidR="00ED62E1" w:rsidRDefault="00152F03">
      <w:pPr>
        <w:pStyle w:val="TDC1"/>
        <w:rPr>
          <w:rFonts w:asciiTheme="minorHAnsi" w:eastAsiaTheme="minorEastAsia" w:hAnsiTheme="minorHAnsi" w:cstheme="minorBidi"/>
          <w:b w:val="0"/>
          <w:lang w:eastAsia="es-CO"/>
        </w:rPr>
      </w:pPr>
      <w:hyperlink w:anchor="_Toc536195554" w:history="1">
        <w:r w:rsidR="00ED62E1" w:rsidRPr="007205BC">
          <w:rPr>
            <w:rStyle w:val="Hipervnculo"/>
          </w:rPr>
          <w:t>5.1.3 Dirección Técnica de Construcciones</w:t>
        </w:r>
        <w:r w:rsidR="00ED62E1">
          <w:rPr>
            <w:webHidden/>
          </w:rPr>
          <w:tab/>
        </w:r>
        <w:r w:rsidR="00ED62E1">
          <w:rPr>
            <w:webHidden/>
          </w:rPr>
          <w:fldChar w:fldCharType="begin"/>
        </w:r>
        <w:r w:rsidR="00ED62E1">
          <w:rPr>
            <w:webHidden/>
          </w:rPr>
          <w:instrText xml:space="preserve"> PAGEREF _Toc536195554 \h </w:instrText>
        </w:r>
        <w:r w:rsidR="00ED62E1">
          <w:rPr>
            <w:webHidden/>
          </w:rPr>
        </w:r>
        <w:r w:rsidR="00ED62E1">
          <w:rPr>
            <w:webHidden/>
          </w:rPr>
          <w:fldChar w:fldCharType="separate"/>
        </w:r>
        <w:r w:rsidR="00ED62E1">
          <w:rPr>
            <w:webHidden/>
          </w:rPr>
          <w:t>65</w:t>
        </w:r>
        <w:r w:rsidR="00ED62E1">
          <w:rPr>
            <w:webHidden/>
          </w:rPr>
          <w:fldChar w:fldCharType="end"/>
        </w:r>
      </w:hyperlink>
    </w:p>
    <w:p w:rsidR="00ED62E1" w:rsidRDefault="00152F03">
      <w:pPr>
        <w:pStyle w:val="TDC1"/>
        <w:rPr>
          <w:rFonts w:asciiTheme="minorHAnsi" w:eastAsiaTheme="minorEastAsia" w:hAnsiTheme="minorHAnsi" w:cstheme="minorBidi"/>
          <w:b w:val="0"/>
          <w:lang w:eastAsia="es-CO"/>
        </w:rPr>
      </w:pPr>
      <w:hyperlink w:anchor="_Toc536195555" w:history="1">
        <w:r w:rsidR="00ED62E1" w:rsidRPr="007205BC">
          <w:rPr>
            <w:rStyle w:val="Hipervnculo"/>
          </w:rPr>
          <w:t>5.2 Mejores Prácticas y Logros</w:t>
        </w:r>
        <w:r w:rsidR="00ED62E1">
          <w:rPr>
            <w:webHidden/>
          </w:rPr>
          <w:tab/>
        </w:r>
        <w:r w:rsidR="00ED62E1">
          <w:rPr>
            <w:webHidden/>
          </w:rPr>
          <w:fldChar w:fldCharType="begin"/>
        </w:r>
        <w:r w:rsidR="00ED62E1">
          <w:rPr>
            <w:webHidden/>
          </w:rPr>
          <w:instrText xml:space="preserve"> PAGEREF _Toc536195555 \h </w:instrText>
        </w:r>
        <w:r w:rsidR="00ED62E1">
          <w:rPr>
            <w:webHidden/>
          </w:rPr>
        </w:r>
        <w:r w:rsidR="00ED62E1">
          <w:rPr>
            <w:webHidden/>
          </w:rPr>
          <w:fldChar w:fldCharType="separate"/>
        </w:r>
        <w:r w:rsidR="00ED62E1">
          <w:rPr>
            <w:webHidden/>
          </w:rPr>
          <w:t>67</w:t>
        </w:r>
        <w:r w:rsidR="00ED62E1">
          <w:rPr>
            <w:webHidden/>
          </w:rPr>
          <w:fldChar w:fldCharType="end"/>
        </w:r>
      </w:hyperlink>
    </w:p>
    <w:p w:rsidR="00ED62E1" w:rsidRDefault="00152F03">
      <w:pPr>
        <w:pStyle w:val="TDC1"/>
        <w:rPr>
          <w:rFonts w:asciiTheme="minorHAnsi" w:eastAsiaTheme="minorEastAsia" w:hAnsiTheme="minorHAnsi" w:cstheme="minorBidi"/>
          <w:b w:val="0"/>
          <w:lang w:eastAsia="es-CO"/>
        </w:rPr>
      </w:pPr>
      <w:hyperlink w:anchor="_Toc536195556" w:history="1">
        <w:r w:rsidR="00ED62E1" w:rsidRPr="007205BC">
          <w:rPr>
            <w:rStyle w:val="Hipervnculo"/>
          </w:rPr>
          <w:t>5.3 Recomendaciones para el mejoramiento de la gestión</w:t>
        </w:r>
        <w:r w:rsidR="00ED62E1">
          <w:rPr>
            <w:webHidden/>
          </w:rPr>
          <w:tab/>
        </w:r>
        <w:r w:rsidR="00ED62E1">
          <w:rPr>
            <w:webHidden/>
          </w:rPr>
          <w:fldChar w:fldCharType="begin"/>
        </w:r>
        <w:r w:rsidR="00ED62E1">
          <w:rPr>
            <w:webHidden/>
          </w:rPr>
          <w:instrText xml:space="preserve"> PAGEREF _Toc536195556 \h </w:instrText>
        </w:r>
        <w:r w:rsidR="00ED62E1">
          <w:rPr>
            <w:webHidden/>
          </w:rPr>
        </w:r>
        <w:r w:rsidR="00ED62E1">
          <w:rPr>
            <w:webHidden/>
          </w:rPr>
          <w:fldChar w:fldCharType="separate"/>
        </w:r>
        <w:r w:rsidR="00ED62E1">
          <w:rPr>
            <w:webHidden/>
          </w:rPr>
          <w:t>69</w:t>
        </w:r>
        <w:r w:rsidR="00ED62E1">
          <w:rPr>
            <w:webHidden/>
          </w:rPr>
          <w:fldChar w:fldCharType="end"/>
        </w:r>
      </w:hyperlink>
    </w:p>
    <w:p w:rsidR="00ED62E1" w:rsidRDefault="00152F03">
      <w:pPr>
        <w:pStyle w:val="TDC1"/>
        <w:rPr>
          <w:rFonts w:asciiTheme="minorHAnsi" w:eastAsiaTheme="minorEastAsia" w:hAnsiTheme="minorHAnsi" w:cstheme="minorBidi"/>
          <w:b w:val="0"/>
          <w:lang w:eastAsia="es-CO"/>
        </w:rPr>
      </w:pPr>
      <w:hyperlink w:anchor="_Toc536195557" w:history="1">
        <w:r w:rsidR="00ED62E1" w:rsidRPr="007205BC">
          <w:rPr>
            <w:rStyle w:val="Hipervnculo"/>
          </w:rPr>
          <w:t>5.4 Dificultades en la ejecución de la gestión a cargo</w:t>
        </w:r>
        <w:r w:rsidR="00ED62E1">
          <w:rPr>
            <w:webHidden/>
          </w:rPr>
          <w:tab/>
        </w:r>
        <w:r w:rsidR="00ED62E1">
          <w:rPr>
            <w:webHidden/>
          </w:rPr>
          <w:fldChar w:fldCharType="begin"/>
        </w:r>
        <w:r w:rsidR="00ED62E1">
          <w:rPr>
            <w:webHidden/>
          </w:rPr>
          <w:instrText xml:space="preserve"> PAGEREF _Toc536195557 \h </w:instrText>
        </w:r>
        <w:r w:rsidR="00ED62E1">
          <w:rPr>
            <w:webHidden/>
          </w:rPr>
        </w:r>
        <w:r w:rsidR="00ED62E1">
          <w:rPr>
            <w:webHidden/>
          </w:rPr>
          <w:fldChar w:fldCharType="separate"/>
        </w:r>
        <w:r w:rsidR="00ED62E1">
          <w:rPr>
            <w:webHidden/>
          </w:rPr>
          <w:t>72</w:t>
        </w:r>
        <w:r w:rsidR="00ED62E1">
          <w:rPr>
            <w:webHidden/>
          </w:rPr>
          <w:fldChar w:fldCharType="end"/>
        </w:r>
      </w:hyperlink>
    </w:p>
    <w:p w:rsidR="00ED62E1" w:rsidRDefault="00152F03">
      <w:pPr>
        <w:pStyle w:val="TDC1"/>
        <w:rPr>
          <w:rFonts w:asciiTheme="minorHAnsi" w:eastAsiaTheme="minorEastAsia" w:hAnsiTheme="minorHAnsi" w:cstheme="minorBidi"/>
          <w:b w:val="0"/>
          <w:lang w:eastAsia="es-CO"/>
        </w:rPr>
      </w:pPr>
      <w:hyperlink w:anchor="_Toc536195558" w:history="1">
        <w:r w:rsidR="00ED62E1" w:rsidRPr="007205BC">
          <w:rPr>
            <w:rStyle w:val="Hipervnculo"/>
          </w:rPr>
          <w:t>CAPITULO 6. GESTIÓN DEL DESARROLLO URBANO</w:t>
        </w:r>
        <w:r w:rsidR="00ED62E1">
          <w:rPr>
            <w:webHidden/>
          </w:rPr>
          <w:tab/>
        </w:r>
        <w:r w:rsidR="00ED62E1">
          <w:rPr>
            <w:webHidden/>
          </w:rPr>
          <w:fldChar w:fldCharType="begin"/>
        </w:r>
        <w:r w:rsidR="00ED62E1">
          <w:rPr>
            <w:webHidden/>
          </w:rPr>
          <w:instrText xml:space="preserve"> PAGEREF _Toc536195558 \h </w:instrText>
        </w:r>
        <w:r w:rsidR="00ED62E1">
          <w:rPr>
            <w:webHidden/>
          </w:rPr>
        </w:r>
        <w:r w:rsidR="00ED62E1">
          <w:rPr>
            <w:webHidden/>
          </w:rPr>
          <w:fldChar w:fldCharType="separate"/>
        </w:r>
        <w:r w:rsidR="00ED62E1">
          <w:rPr>
            <w:webHidden/>
          </w:rPr>
          <w:t>75</w:t>
        </w:r>
        <w:r w:rsidR="00ED62E1">
          <w:rPr>
            <w:webHidden/>
          </w:rPr>
          <w:fldChar w:fldCharType="end"/>
        </w:r>
      </w:hyperlink>
    </w:p>
    <w:p w:rsidR="00ED62E1" w:rsidRDefault="00152F03">
      <w:pPr>
        <w:pStyle w:val="TDC1"/>
        <w:rPr>
          <w:rFonts w:asciiTheme="minorHAnsi" w:eastAsiaTheme="minorEastAsia" w:hAnsiTheme="minorHAnsi" w:cstheme="minorBidi"/>
          <w:b w:val="0"/>
          <w:lang w:eastAsia="es-CO"/>
        </w:rPr>
      </w:pPr>
      <w:hyperlink w:anchor="_Toc536195559" w:history="1">
        <w:r w:rsidR="00ED62E1" w:rsidRPr="007205BC">
          <w:rPr>
            <w:rStyle w:val="Hipervnculo"/>
          </w:rPr>
          <w:t>6.1 Gestiones a Cargo</w:t>
        </w:r>
        <w:r w:rsidR="00ED62E1">
          <w:rPr>
            <w:webHidden/>
          </w:rPr>
          <w:tab/>
        </w:r>
        <w:r w:rsidR="00ED62E1">
          <w:rPr>
            <w:webHidden/>
          </w:rPr>
          <w:fldChar w:fldCharType="begin"/>
        </w:r>
        <w:r w:rsidR="00ED62E1">
          <w:rPr>
            <w:webHidden/>
          </w:rPr>
          <w:instrText xml:space="preserve"> PAGEREF _Toc536195559 \h </w:instrText>
        </w:r>
        <w:r w:rsidR="00ED62E1">
          <w:rPr>
            <w:webHidden/>
          </w:rPr>
        </w:r>
        <w:r w:rsidR="00ED62E1">
          <w:rPr>
            <w:webHidden/>
          </w:rPr>
          <w:fldChar w:fldCharType="separate"/>
        </w:r>
        <w:r w:rsidR="00ED62E1">
          <w:rPr>
            <w:webHidden/>
          </w:rPr>
          <w:t>75</w:t>
        </w:r>
        <w:r w:rsidR="00ED62E1">
          <w:rPr>
            <w:webHidden/>
          </w:rPr>
          <w:fldChar w:fldCharType="end"/>
        </w:r>
      </w:hyperlink>
    </w:p>
    <w:p w:rsidR="00ED62E1" w:rsidRDefault="00152F03">
      <w:pPr>
        <w:pStyle w:val="TDC1"/>
        <w:rPr>
          <w:rFonts w:asciiTheme="minorHAnsi" w:eastAsiaTheme="minorEastAsia" w:hAnsiTheme="minorHAnsi" w:cstheme="minorBidi"/>
          <w:b w:val="0"/>
          <w:lang w:eastAsia="es-CO"/>
        </w:rPr>
      </w:pPr>
      <w:hyperlink w:anchor="_Toc536195560" w:history="1">
        <w:r w:rsidR="00ED62E1" w:rsidRPr="007205BC">
          <w:rPr>
            <w:rStyle w:val="Hipervnculo"/>
          </w:rPr>
          <w:t>6.2. Mejores Prácticas y Logros</w:t>
        </w:r>
        <w:r w:rsidR="00ED62E1">
          <w:rPr>
            <w:webHidden/>
          </w:rPr>
          <w:tab/>
        </w:r>
        <w:r w:rsidR="00ED62E1">
          <w:rPr>
            <w:webHidden/>
          </w:rPr>
          <w:fldChar w:fldCharType="begin"/>
        </w:r>
        <w:r w:rsidR="00ED62E1">
          <w:rPr>
            <w:webHidden/>
          </w:rPr>
          <w:instrText xml:space="preserve"> PAGEREF _Toc536195560 \h </w:instrText>
        </w:r>
        <w:r w:rsidR="00ED62E1">
          <w:rPr>
            <w:webHidden/>
          </w:rPr>
        </w:r>
        <w:r w:rsidR="00ED62E1">
          <w:rPr>
            <w:webHidden/>
          </w:rPr>
          <w:fldChar w:fldCharType="separate"/>
        </w:r>
        <w:r w:rsidR="00ED62E1">
          <w:rPr>
            <w:webHidden/>
          </w:rPr>
          <w:t>95</w:t>
        </w:r>
        <w:r w:rsidR="00ED62E1">
          <w:rPr>
            <w:webHidden/>
          </w:rPr>
          <w:fldChar w:fldCharType="end"/>
        </w:r>
      </w:hyperlink>
    </w:p>
    <w:p w:rsidR="00ED62E1" w:rsidRDefault="00152F03">
      <w:pPr>
        <w:pStyle w:val="TDC1"/>
        <w:rPr>
          <w:rFonts w:asciiTheme="minorHAnsi" w:eastAsiaTheme="minorEastAsia" w:hAnsiTheme="minorHAnsi" w:cstheme="minorBidi"/>
          <w:b w:val="0"/>
          <w:lang w:eastAsia="es-CO"/>
        </w:rPr>
      </w:pPr>
      <w:hyperlink w:anchor="_Toc536195561" w:history="1">
        <w:r w:rsidR="00ED62E1" w:rsidRPr="007205BC">
          <w:rPr>
            <w:rStyle w:val="Hipervnculo"/>
          </w:rPr>
          <w:t>6.3 Recomendaciones para el mejoramiento de la gestión</w:t>
        </w:r>
        <w:r w:rsidR="00ED62E1">
          <w:rPr>
            <w:webHidden/>
          </w:rPr>
          <w:tab/>
        </w:r>
        <w:r w:rsidR="00ED62E1">
          <w:rPr>
            <w:webHidden/>
          </w:rPr>
          <w:fldChar w:fldCharType="begin"/>
        </w:r>
        <w:r w:rsidR="00ED62E1">
          <w:rPr>
            <w:webHidden/>
          </w:rPr>
          <w:instrText xml:space="preserve"> PAGEREF _Toc536195561 \h </w:instrText>
        </w:r>
        <w:r w:rsidR="00ED62E1">
          <w:rPr>
            <w:webHidden/>
          </w:rPr>
        </w:r>
        <w:r w:rsidR="00ED62E1">
          <w:rPr>
            <w:webHidden/>
          </w:rPr>
          <w:fldChar w:fldCharType="separate"/>
        </w:r>
        <w:r w:rsidR="00ED62E1">
          <w:rPr>
            <w:webHidden/>
          </w:rPr>
          <w:t>99</w:t>
        </w:r>
        <w:r w:rsidR="00ED62E1">
          <w:rPr>
            <w:webHidden/>
          </w:rPr>
          <w:fldChar w:fldCharType="end"/>
        </w:r>
      </w:hyperlink>
    </w:p>
    <w:p w:rsidR="00ED62E1" w:rsidRDefault="00152F03">
      <w:pPr>
        <w:pStyle w:val="TDC1"/>
        <w:rPr>
          <w:rFonts w:asciiTheme="minorHAnsi" w:eastAsiaTheme="minorEastAsia" w:hAnsiTheme="minorHAnsi" w:cstheme="minorBidi"/>
          <w:b w:val="0"/>
          <w:lang w:eastAsia="es-CO"/>
        </w:rPr>
      </w:pPr>
      <w:hyperlink w:anchor="_Toc536195562" w:history="1">
        <w:r w:rsidR="00ED62E1" w:rsidRPr="007205BC">
          <w:rPr>
            <w:rStyle w:val="Hipervnculo"/>
          </w:rPr>
          <w:t>6.4 Dificultades en la ejecución de la gestión a cargo</w:t>
        </w:r>
        <w:r w:rsidR="00ED62E1">
          <w:rPr>
            <w:webHidden/>
          </w:rPr>
          <w:tab/>
        </w:r>
        <w:r w:rsidR="00ED62E1">
          <w:rPr>
            <w:webHidden/>
          </w:rPr>
          <w:fldChar w:fldCharType="begin"/>
        </w:r>
        <w:r w:rsidR="00ED62E1">
          <w:rPr>
            <w:webHidden/>
          </w:rPr>
          <w:instrText xml:space="preserve"> PAGEREF _Toc536195562 \h </w:instrText>
        </w:r>
        <w:r w:rsidR="00ED62E1">
          <w:rPr>
            <w:webHidden/>
          </w:rPr>
        </w:r>
        <w:r w:rsidR="00ED62E1">
          <w:rPr>
            <w:webHidden/>
          </w:rPr>
          <w:fldChar w:fldCharType="separate"/>
        </w:r>
        <w:r w:rsidR="00ED62E1">
          <w:rPr>
            <w:webHidden/>
          </w:rPr>
          <w:t>100</w:t>
        </w:r>
        <w:r w:rsidR="00ED62E1">
          <w:rPr>
            <w:webHidden/>
          </w:rPr>
          <w:fldChar w:fldCharType="end"/>
        </w:r>
      </w:hyperlink>
    </w:p>
    <w:p w:rsidR="00ED62E1" w:rsidRDefault="00152F03">
      <w:pPr>
        <w:pStyle w:val="TDC1"/>
        <w:rPr>
          <w:rFonts w:asciiTheme="minorHAnsi" w:eastAsiaTheme="minorEastAsia" w:hAnsiTheme="minorHAnsi" w:cstheme="minorBidi"/>
          <w:b w:val="0"/>
          <w:lang w:eastAsia="es-CO"/>
        </w:rPr>
      </w:pPr>
      <w:hyperlink w:anchor="_Toc536195563" w:history="1">
        <w:r w:rsidR="00ED62E1" w:rsidRPr="007205BC">
          <w:rPr>
            <w:rStyle w:val="Hipervnculo"/>
          </w:rPr>
          <w:t>CAPITULO 7. GESTIÓN CORPORATIVA</w:t>
        </w:r>
        <w:r w:rsidR="00ED62E1">
          <w:rPr>
            <w:webHidden/>
          </w:rPr>
          <w:tab/>
        </w:r>
        <w:r w:rsidR="00ED62E1">
          <w:rPr>
            <w:webHidden/>
          </w:rPr>
          <w:fldChar w:fldCharType="begin"/>
        </w:r>
        <w:r w:rsidR="00ED62E1">
          <w:rPr>
            <w:webHidden/>
          </w:rPr>
          <w:instrText xml:space="preserve"> PAGEREF _Toc536195563 \h </w:instrText>
        </w:r>
        <w:r w:rsidR="00ED62E1">
          <w:rPr>
            <w:webHidden/>
          </w:rPr>
        </w:r>
        <w:r w:rsidR="00ED62E1">
          <w:rPr>
            <w:webHidden/>
          </w:rPr>
          <w:fldChar w:fldCharType="separate"/>
        </w:r>
        <w:r w:rsidR="00ED62E1">
          <w:rPr>
            <w:webHidden/>
          </w:rPr>
          <w:t>103</w:t>
        </w:r>
        <w:r w:rsidR="00ED62E1">
          <w:rPr>
            <w:webHidden/>
          </w:rPr>
          <w:fldChar w:fldCharType="end"/>
        </w:r>
      </w:hyperlink>
    </w:p>
    <w:p w:rsidR="00ED62E1" w:rsidRDefault="00152F03">
      <w:pPr>
        <w:pStyle w:val="TDC1"/>
        <w:rPr>
          <w:rFonts w:asciiTheme="minorHAnsi" w:eastAsiaTheme="minorEastAsia" w:hAnsiTheme="minorHAnsi" w:cstheme="minorBidi"/>
          <w:b w:val="0"/>
          <w:lang w:eastAsia="es-CO"/>
        </w:rPr>
      </w:pPr>
      <w:hyperlink w:anchor="_Toc536195564" w:history="1">
        <w:r w:rsidR="00ED62E1" w:rsidRPr="007205BC">
          <w:rPr>
            <w:rStyle w:val="Hipervnculo"/>
          </w:rPr>
          <w:t>7.1 Gestiones a Cargo</w:t>
        </w:r>
        <w:r w:rsidR="00ED62E1">
          <w:rPr>
            <w:webHidden/>
          </w:rPr>
          <w:tab/>
        </w:r>
        <w:r w:rsidR="00ED62E1">
          <w:rPr>
            <w:webHidden/>
          </w:rPr>
          <w:fldChar w:fldCharType="begin"/>
        </w:r>
        <w:r w:rsidR="00ED62E1">
          <w:rPr>
            <w:webHidden/>
          </w:rPr>
          <w:instrText xml:space="preserve"> PAGEREF _Toc536195564 \h </w:instrText>
        </w:r>
        <w:r w:rsidR="00ED62E1">
          <w:rPr>
            <w:webHidden/>
          </w:rPr>
        </w:r>
        <w:r w:rsidR="00ED62E1">
          <w:rPr>
            <w:webHidden/>
          </w:rPr>
          <w:fldChar w:fldCharType="separate"/>
        </w:r>
        <w:r w:rsidR="00ED62E1">
          <w:rPr>
            <w:webHidden/>
          </w:rPr>
          <w:t>103</w:t>
        </w:r>
        <w:r w:rsidR="00ED62E1">
          <w:rPr>
            <w:webHidden/>
          </w:rPr>
          <w:fldChar w:fldCharType="end"/>
        </w:r>
      </w:hyperlink>
    </w:p>
    <w:p w:rsidR="00ED62E1" w:rsidRDefault="00152F03">
      <w:pPr>
        <w:pStyle w:val="TDC1"/>
        <w:rPr>
          <w:rFonts w:asciiTheme="minorHAnsi" w:eastAsiaTheme="minorEastAsia" w:hAnsiTheme="minorHAnsi" w:cstheme="minorBidi"/>
          <w:b w:val="0"/>
          <w:lang w:eastAsia="es-CO"/>
        </w:rPr>
      </w:pPr>
      <w:hyperlink w:anchor="_Toc536195565" w:history="1">
        <w:r w:rsidR="00ED62E1" w:rsidRPr="007205BC">
          <w:rPr>
            <w:rStyle w:val="Hipervnculo"/>
          </w:rPr>
          <w:t>7.1.1 DIRECCIÓN TÉCNICA ADMINISTRATIVA Y FINANCIERA</w:t>
        </w:r>
        <w:r w:rsidR="00ED62E1">
          <w:rPr>
            <w:webHidden/>
          </w:rPr>
          <w:tab/>
        </w:r>
        <w:r w:rsidR="00ED62E1">
          <w:rPr>
            <w:webHidden/>
          </w:rPr>
          <w:fldChar w:fldCharType="begin"/>
        </w:r>
        <w:r w:rsidR="00ED62E1">
          <w:rPr>
            <w:webHidden/>
          </w:rPr>
          <w:instrText xml:space="preserve"> PAGEREF _Toc536195565 \h </w:instrText>
        </w:r>
        <w:r w:rsidR="00ED62E1">
          <w:rPr>
            <w:webHidden/>
          </w:rPr>
        </w:r>
        <w:r w:rsidR="00ED62E1">
          <w:rPr>
            <w:webHidden/>
          </w:rPr>
          <w:fldChar w:fldCharType="separate"/>
        </w:r>
        <w:r w:rsidR="00ED62E1">
          <w:rPr>
            <w:webHidden/>
          </w:rPr>
          <w:t>104</w:t>
        </w:r>
        <w:r w:rsidR="00ED62E1">
          <w:rPr>
            <w:webHidden/>
          </w:rPr>
          <w:fldChar w:fldCharType="end"/>
        </w:r>
      </w:hyperlink>
    </w:p>
    <w:p w:rsidR="00ED62E1" w:rsidRDefault="00152F03">
      <w:pPr>
        <w:pStyle w:val="TDC1"/>
        <w:rPr>
          <w:rFonts w:asciiTheme="minorHAnsi" w:eastAsiaTheme="minorEastAsia" w:hAnsiTheme="minorHAnsi" w:cstheme="minorBidi"/>
          <w:b w:val="0"/>
          <w:lang w:eastAsia="es-CO"/>
        </w:rPr>
      </w:pPr>
      <w:hyperlink w:anchor="_Toc536195566" w:history="1">
        <w:r w:rsidR="00ED62E1" w:rsidRPr="007205BC">
          <w:rPr>
            <w:rStyle w:val="Hipervnculo"/>
          </w:rPr>
          <w:t>7.1.2 GESTIÓN DIRECCIÓN TÉCNICA DE APOYO A LA VALORIZACIÓN</w:t>
        </w:r>
        <w:r w:rsidR="00ED62E1">
          <w:rPr>
            <w:webHidden/>
          </w:rPr>
          <w:tab/>
        </w:r>
        <w:r w:rsidR="00ED62E1">
          <w:rPr>
            <w:webHidden/>
          </w:rPr>
          <w:fldChar w:fldCharType="begin"/>
        </w:r>
        <w:r w:rsidR="00ED62E1">
          <w:rPr>
            <w:webHidden/>
          </w:rPr>
          <w:instrText xml:space="preserve"> PAGEREF _Toc536195566 \h </w:instrText>
        </w:r>
        <w:r w:rsidR="00ED62E1">
          <w:rPr>
            <w:webHidden/>
          </w:rPr>
        </w:r>
        <w:r w:rsidR="00ED62E1">
          <w:rPr>
            <w:webHidden/>
          </w:rPr>
          <w:fldChar w:fldCharType="separate"/>
        </w:r>
        <w:r w:rsidR="00ED62E1">
          <w:rPr>
            <w:webHidden/>
          </w:rPr>
          <w:t>110</w:t>
        </w:r>
        <w:r w:rsidR="00ED62E1">
          <w:rPr>
            <w:webHidden/>
          </w:rPr>
          <w:fldChar w:fldCharType="end"/>
        </w:r>
      </w:hyperlink>
    </w:p>
    <w:p w:rsidR="00ED62E1" w:rsidRDefault="00152F03">
      <w:pPr>
        <w:pStyle w:val="TDC1"/>
        <w:rPr>
          <w:rFonts w:asciiTheme="minorHAnsi" w:eastAsiaTheme="minorEastAsia" w:hAnsiTheme="minorHAnsi" w:cstheme="minorBidi"/>
          <w:b w:val="0"/>
          <w:lang w:eastAsia="es-CO"/>
        </w:rPr>
      </w:pPr>
      <w:hyperlink w:anchor="_Toc536195567" w:history="1">
        <w:r w:rsidR="00ED62E1" w:rsidRPr="007205BC">
          <w:rPr>
            <w:rStyle w:val="Hipervnculo"/>
          </w:rPr>
          <w:t>7.2  Mejores prácticas y logros</w:t>
        </w:r>
        <w:r w:rsidR="00ED62E1">
          <w:rPr>
            <w:webHidden/>
          </w:rPr>
          <w:tab/>
        </w:r>
        <w:r w:rsidR="00ED62E1">
          <w:rPr>
            <w:webHidden/>
          </w:rPr>
          <w:fldChar w:fldCharType="begin"/>
        </w:r>
        <w:r w:rsidR="00ED62E1">
          <w:rPr>
            <w:webHidden/>
          </w:rPr>
          <w:instrText xml:space="preserve"> PAGEREF _Toc536195567 \h </w:instrText>
        </w:r>
        <w:r w:rsidR="00ED62E1">
          <w:rPr>
            <w:webHidden/>
          </w:rPr>
        </w:r>
        <w:r w:rsidR="00ED62E1">
          <w:rPr>
            <w:webHidden/>
          </w:rPr>
          <w:fldChar w:fldCharType="separate"/>
        </w:r>
        <w:r w:rsidR="00ED62E1">
          <w:rPr>
            <w:webHidden/>
          </w:rPr>
          <w:t>111</w:t>
        </w:r>
        <w:r w:rsidR="00ED62E1">
          <w:rPr>
            <w:webHidden/>
          </w:rPr>
          <w:fldChar w:fldCharType="end"/>
        </w:r>
      </w:hyperlink>
    </w:p>
    <w:p w:rsidR="00ED62E1" w:rsidRDefault="00152F03">
      <w:pPr>
        <w:pStyle w:val="TDC1"/>
        <w:rPr>
          <w:rFonts w:asciiTheme="minorHAnsi" w:eastAsiaTheme="minorEastAsia" w:hAnsiTheme="minorHAnsi" w:cstheme="minorBidi"/>
          <w:b w:val="0"/>
          <w:lang w:eastAsia="es-CO"/>
        </w:rPr>
      </w:pPr>
      <w:hyperlink w:anchor="_Toc536195568" w:history="1">
        <w:r w:rsidR="00ED62E1" w:rsidRPr="007205BC">
          <w:rPr>
            <w:rStyle w:val="Hipervnculo"/>
          </w:rPr>
          <w:t>Cobro coactivo</w:t>
        </w:r>
        <w:r w:rsidR="00ED62E1">
          <w:rPr>
            <w:webHidden/>
          </w:rPr>
          <w:tab/>
        </w:r>
        <w:r w:rsidR="00ED62E1">
          <w:rPr>
            <w:webHidden/>
          </w:rPr>
          <w:fldChar w:fldCharType="begin"/>
        </w:r>
        <w:r w:rsidR="00ED62E1">
          <w:rPr>
            <w:webHidden/>
          </w:rPr>
          <w:instrText xml:space="preserve"> PAGEREF _Toc536195568 \h </w:instrText>
        </w:r>
        <w:r w:rsidR="00ED62E1">
          <w:rPr>
            <w:webHidden/>
          </w:rPr>
        </w:r>
        <w:r w:rsidR="00ED62E1">
          <w:rPr>
            <w:webHidden/>
          </w:rPr>
          <w:fldChar w:fldCharType="separate"/>
        </w:r>
        <w:r w:rsidR="00ED62E1">
          <w:rPr>
            <w:webHidden/>
          </w:rPr>
          <w:t>112</w:t>
        </w:r>
        <w:r w:rsidR="00ED62E1">
          <w:rPr>
            <w:webHidden/>
          </w:rPr>
          <w:fldChar w:fldCharType="end"/>
        </w:r>
      </w:hyperlink>
    </w:p>
    <w:p w:rsidR="00ED62E1" w:rsidRDefault="00152F03">
      <w:pPr>
        <w:pStyle w:val="TDC1"/>
        <w:rPr>
          <w:rFonts w:asciiTheme="minorHAnsi" w:eastAsiaTheme="minorEastAsia" w:hAnsiTheme="minorHAnsi" w:cstheme="minorBidi"/>
          <w:b w:val="0"/>
          <w:lang w:eastAsia="es-CO"/>
        </w:rPr>
      </w:pPr>
      <w:hyperlink w:anchor="_Toc536195569" w:history="1">
        <w:r w:rsidR="00ED62E1" w:rsidRPr="007205BC">
          <w:rPr>
            <w:rStyle w:val="Hipervnculo"/>
          </w:rPr>
          <w:t>Actos administrativos</w:t>
        </w:r>
        <w:r w:rsidR="00ED62E1">
          <w:rPr>
            <w:webHidden/>
          </w:rPr>
          <w:tab/>
        </w:r>
        <w:r w:rsidR="00ED62E1">
          <w:rPr>
            <w:webHidden/>
          </w:rPr>
          <w:fldChar w:fldCharType="begin"/>
        </w:r>
        <w:r w:rsidR="00ED62E1">
          <w:rPr>
            <w:webHidden/>
          </w:rPr>
          <w:instrText xml:space="preserve"> PAGEREF _Toc536195569 \h </w:instrText>
        </w:r>
        <w:r w:rsidR="00ED62E1">
          <w:rPr>
            <w:webHidden/>
          </w:rPr>
        </w:r>
        <w:r w:rsidR="00ED62E1">
          <w:rPr>
            <w:webHidden/>
          </w:rPr>
          <w:fldChar w:fldCharType="separate"/>
        </w:r>
        <w:r w:rsidR="00ED62E1">
          <w:rPr>
            <w:webHidden/>
          </w:rPr>
          <w:t>112</w:t>
        </w:r>
        <w:r w:rsidR="00ED62E1">
          <w:rPr>
            <w:webHidden/>
          </w:rPr>
          <w:fldChar w:fldCharType="end"/>
        </w:r>
      </w:hyperlink>
    </w:p>
    <w:p w:rsidR="00ED62E1" w:rsidRDefault="00152F03">
      <w:pPr>
        <w:pStyle w:val="TDC1"/>
        <w:rPr>
          <w:rFonts w:asciiTheme="minorHAnsi" w:eastAsiaTheme="minorEastAsia" w:hAnsiTheme="minorHAnsi" w:cstheme="minorBidi"/>
          <w:b w:val="0"/>
          <w:lang w:eastAsia="es-CO"/>
        </w:rPr>
      </w:pPr>
      <w:hyperlink w:anchor="_Toc536195570" w:history="1">
        <w:r w:rsidR="00ED62E1" w:rsidRPr="007205BC">
          <w:rPr>
            <w:rStyle w:val="Hipervnculo"/>
          </w:rPr>
          <w:t>7.3  Recomendaciones para el mejoramiento de la gestión</w:t>
        </w:r>
        <w:r w:rsidR="00ED62E1">
          <w:rPr>
            <w:webHidden/>
          </w:rPr>
          <w:tab/>
        </w:r>
        <w:r w:rsidR="00ED62E1">
          <w:rPr>
            <w:webHidden/>
          </w:rPr>
          <w:fldChar w:fldCharType="begin"/>
        </w:r>
        <w:r w:rsidR="00ED62E1">
          <w:rPr>
            <w:webHidden/>
          </w:rPr>
          <w:instrText xml:space="preserve"> PAGEREF _Toc536195570 \h </w:instrText>
        </w:r>
        <w:r w:rsidR="00ED62E1">
          <w:rPr>
            <w:webHidden/>
          </w:rPr>
        </w:r>
        <w:r w:rsidR="00ED62E1">
          <w:rPr>
            <w:webHidden/>
          </w:rPr>
          <w:fldChar w:fldCharType="separate"/>
        </w:r>
        <w:r w:rsidR="00ED62E1">
          <w:rPr>
            <w:webHidden/>
          </w:rPr>
          <w:t>112</w:t>
        </w:r>
        <w:r w:rsidR="00ED62E1">
          <w:rPr>
            <w:webHidden/>
          </w:rPr>
          <w:fldChar w:fldCharType="end"/>
        </w:r>
      </w:hyperlink>
    </w:p>
    <w:p w:rsidR="00ED62E1" w:rsidRDefault="00152F03">
      <w:pPr>
        <w:pStyle w:val="TDC1"/>
        <w:rPr>
          <w:rFonts w:asciiTheme="minorHAnsi" w:eastAsiaTheme="minorEastAsia" w:hAnsiTheme="minorHAnsi" w:cstheme="minorBidi"/>
          <w:b w:val="0"/>
          <w:lang w:eastAsia="es-CO"/>
        </w:rPr>
      </w:pPr>
      <w:hyperlink w:anchor="_Toc536195571" w:history="1">
        <w:r w:rsidR="00ED62E1" w:rsidRPr="007205BC">
          <w:rPr>
            <w:rStyle w:val="Hipervnculo"/>
          </w:rPr>
          <w:t>7.4 Dificultades en la ejecución de la gestión a cargo</w:t>
        </w:r>
        <w:r w:rsidR="00ED62E1">
          <w:rPr>
            <w:webHidden/>
          </w:rPr>
          <w:tab/>
        </w:r>
        <w:r w:rsidR="00ED62E1">
          <w:rPr>
            <w:webHidden/>
          </w:rPr>
          <w:fldChar w:fldCharType="begin"/>
        </w:r>
        <w:r w:rsidR="00ED62E1">
          <w:rPr>
            <w:webHidden/>
          </w:rPr>
          <w:instrText xml:space="preserve"> PAGEREF _Toc536195571 \h </w:instrText>
        </w:r>
        <w:r w:rsidR="00ED62E1">
          <w:rPr>
            <w:webHidden/>
          </w:rPr>
        </w:r>
        <w:r w:rsidR="00ED62E1">
          <w:rPr>
            <w:webHidden/>
          </w:rPr>
          <w:fldChar w:fldCharType="separate"/>
        </w:r>
        <w:r w:rsidR="00ED62E1">
          <w:rPr>
            <w:webHidden/>
          </w:rPr>
          <w:t>113</w:t>
        </w:r>
        <w:r w:rsidR="00ED62E1">
          <w:rPr>
            <w:webHidden/>
          </w:rPr>
          <w:fldChar w:fldCharType="end"/>
        </w:r>
      </w:hyperlink>
    </w:p>
    <w:p w:rsidR="00ED62E1" w:rsidRDefault="00152F03">
      <w:pPr>
        <w:pStyle w:val="TDC1"/>
        <w:rPr>
          <w:rFonts w:asciiTheme="minorHAnsi" w:eastAsiaTheme="minorEastAsia" w:hAnsiTheme="minorHAnsi" w:cstheme="minorBidi"/>
          <w:b w:val="0"/>
          <w:lang w:eastAsia="es-CO"/>
        </w:rPr>
      </w:pPr>
      <w:hyperlink w:anchor="_Toc536195572" w:history="1">
        <w:r w:rsidR="00ED62E1" w:rsidRPr="007205BC">
          <w:rPr>
            <w:rStyle w:val="Hipervnculo"/>
          </w:rPr>
          <w:t>CONCLUSIÓN</w:t>
        </w:r>
        <w:r w:rsidR="00ED62E1">
          <w:rPr>
            <w:webHidden/>
          </w:rPr>
          <w:tab/>
        </w:r>
        <w:r w:rsidR="00ED62E1">
          <w:rPr>
            <w:webHidden/>
          </w:rPr>
          <w:fldChar w:fldCharType="begin"/>
        </w:r>
        <w:r w:rsidR="00ED62E1">
          <w:rPr>
            <w:webHidden/>
          </w:rPr>
          <w:instrText xml:space="preserve"> PAGEREF _Toc536195572 \h </w:instrText>
        </w:r>
        <w:r w:rsidR="00ED62E1">
          <w:rPr>
            <w:webHidden/>
          </w:rPr>
        </w:r>
        <w:r w:rsidR="00ED62E1">
          <w:rPr>
            <w:webHidden/>
          </w:rPr>
          <w:fldChar w:fldCharType="separate"/>
        </w:r>
        <w:r w:rsidR="00ED62E1">
          <w:rPr>
            <w:webHidden/>
          </w:rPr>
          <w:t>115</w:t>
        </w:r>
        <w:r w:rsidR="00ED62E1">
          <w:rPr>
            <w:webHidden/>
          </w:rPr>
          <w:fldChar w:fldCharType="end"/>
        </w:r>
      </w:hyperlink>
    </w:p>
    <w:p w:rsidR="00D555C5" w:rsidRPr="00104F4B" w:rsidRDefault="00D555C5" w:rsidP="00F359BF">
      <w:pPr>
        <w:pStyle w:val="TDC1"/>
        <w:rPr>
          <w:rStyle w:val="Hipervnculo"/>
        </w:rPr>
      </w:pPr>
      <w:r w:rsidRPr="00104F4B">
        <w:rPr>
          <w:rStyle w:val="Hipervnculo"/>
        </w:rPr>
        <w:fldChar w:fldCharType="end"/>
      </w:r>
    </w:p>
    <w:p w:rsidR="0091299B" w:rsidRPr="00104F4B" w:rsidRDefault="0091299B" w:rsidP="003A39AD">
      <w:pPr>
        <w:jc w:val="center"/>
        <w:rPr>
          <w:rFonts w:cs="Arial"/>
          <w:b/>
          <w:szCs w:val="22"/>
        </w:rPr>
      </w:pPr>
    </w:p>
    <w:p w:rsidR="0091299B" w:rsidRPr="00104F4B" w:rsidRDefault="0091299B" w:rsidP="003A39AD">
      <w:pPr>
        <w:jc w:val="center"/>
        <w:rPr>
          <w:rFonts w:cs="Arial"/>
          <w:b/>
          <w:szCs w:val="22"/>
        </w:rPr>
      </w:pPr>
    </w:p>
    <w:p w:rsidR="0091299B" w:rsidRPr="00104F4B" w:rsidRDefault="0091299B" w:rsidP="003A39AD">
      <w:pPr>
        <w:jc w:val="center"/>
        <w:rPr>
          <w:rFonts w:cs="Arial"/>
          <w:b/>
          <w:szCs w:val="22"/>
        </w:rPr>
      </w:pPr>
    </w:p>
    <w:p w:rsidR="0091299B" w:rsidRPr="00104F4B" w:rsidRDefault="0091299B" w:rsidP="003A39AD">
      <w:pPr>
        <w:jc w:val="center"/>
        <w:rPr>
          <w:rFonts w:cs="Arial"/>
          <w:b/>
          <w:szCs w:val="22"/>
        </w:rPr>
      </w:pPr>
    </w:p>
    <w:p w:rsidR="00881D30" w:rsidRDefault="00881D30" w:rsidP="003A39AD">
      <w:pPr>
        <w:jc w:val="center"/>
        <w:rPr>
          <w:rFonts w:cs="Arial"/>
          <w:b/>
          <w:szCs w:val="22"/>
        </w:rPr>
      </w:pPr>
    </w:p>
    <w:p w:rsidR="004101DF" w:rsidRDefault="002F387B" w:rsidP="003A39AD">
      <w:pPr>
        <w:jc w:val="center"/>
        <w:rPr>
          <w:rFonts w:cs="Arial"/>
          <w:b/>
          <w:szCs w:val="22"/>
        </w:rPr>
      </w:pPr>
      <w:r w:rsidRPr="00104F4B">
        <w:rPr>
          <w:rFonts w:cs="Arial"/>
          <w:b/>
          <w:szCs w:val="22"/>
        </w:rPr>
        <w:lastRenderedPageBreak/>
        <w:t>INTRODUCCION</w:t>
      </w:r>
    </w:p>
    <w:p w:rsidR="00104F4B" w:rsidRDefault="00104F4B" w:rsidP="003A39AD">
      <w:pPr>
        <w:jc w:val="center"/>
        <w:rPr>
          <w:rFonts w:cs="Arial"/>
          <w:b/>
          <w:szCs w:val="22"/>
        </w:rPr>
      </w:pPr>
    </w:p>
    <w:p w:rsidR="00881D30" w:rsidRPr="00104F4B" w:rsidRDefault="00881D30" w:rsidP="003A39AD">
      <w:pPr>
        <w:jc w:val="center"/>
        <w:rPr>
          <w:rFonts w:cs="Arial"/>
          <w:b/>
          <w:szCs w:val="22"/>
        </w:rPr>
      </w:pPr>
    </w:p>
    <w:p w:rsidR="00A24B17" w:rsidRPr="00104F4B" w:rsidRDefault="00A24B17" w:rsidP="00A24B17">
      <w:pPr>
        <w:rPr>
          <w:rFonts w:cs="Arial"/>
          <w:szCs w:val="22"/>
        </w:rPr>
      </w:pPr>
      <w:r w:rsidRPr="00104F4B">
        <w:rPr>
          <w:rFonts w:cs="Arial"/>
          <w:szCs w:val="22"/>
        </w:rPr>
        <w:t xml:space="preserve">El Instituto de Desarrollo Urbano -IDU- es una entidad del orden Distrital, descentralizada, adscrita al sector movilidad, encargada de atender la ejecución integral y el mantenimiento de los proyectos de infraestructura de los sistemas de movilidad y espacio público construido del Distrito Capital, contemplados dentro del Plan de ordenamiento Territorial, el Plan de Desarrollo Económico y Social y de Obras Públicas del Distrito Capital </w:t>
      </w:r>
      <w:r w:rsidR="009D34AA" w:rsidRPr="00104F4B">
        <w:rPr>
          <w:rFonts w:cs="Arial"/>
          <w:szCs w:val="22"/>
        </w:rPr>
        <w:t>“</w:t>
      </w:r>
      <w:r w:rsidR="008E6A3D" w:rsidRPr="00104F4B">
        <w:rPr>
          <w:rFonts w:cs="Arial"/>
          <w:szCs w:val="22"/>
        </w:rPr>
        <w:t>Bogotá Mejor Para Todos</w:t>
      </w:r>
      <w:r w:rsidR="009D34AA" w:rsidRPr="00104F4B">
        <w:rPr>
          <w:rFonts w:cs="Arial"/>
          <w:szCs w:val="22"/>
        </w:rPr>
        <w:t xml:space="preserve">” </w:t>
      </w:r>
      <w:r w:rsidRPr="00104F4B">
        <w:rPr>
          <w:rFonts w:cs="Arial"/>
          <w:szCs w:val="22"/>
        </w:rPr>
        <w:t>y los planes y programas sectoriales, así como de las operaciones necesarias para la distribución, asignación y cobro de las contribuciones de la valorización.</w:t>
      </w:r>
    </w:p>
    <w:p w:rsidR="00A24B17" w:rsidRPr="00104F4B" w:rsidRDefault="00A24B17" w:rsidP="00A24B17">
      <w:pPr>
        <w:rPr>
          <w:rFonts w:cs="Arial"/>
          <w:szCs w:val="22"/>
        </w:rPr>
      </w:pPr>
      <w:r w:rsidRPr="00104F4B">
        <w:rPr>
          <w:rFonts w:cs="Arial"/>
          <w:szCs w:val="22"/>
        </w:rPr>
        <w:t>Lo anterior, orientado principalmente a disminuir los costos sociales de la población, entendidos estos como los costos de operación vehicular, tiempos de viaje, costos ambientales y costos por accidentes. Para lograr este objetivo, se dispone de información del estado de la infraestructura administrada por la Entidad, así como de la formulación, por personal especializado, de programas de mantenimiento que permitan la prevención y corrección de deterioros oportunamente. Con este objetivo, se utilizan los sistemas de gestión de infraestructura que sirven de herramienta en la toma de decisiones.</w:t>
      </w:r>
    </w:p>
    <w:p w:rsidR="00A24B17" w:rsidRPr="00104F4B" w:rsidRDefault="00A24B17" w:rsidP="00A24B17">
      <w:pPr>
        <w:rPr>
          <w:rFonts w:cs="Arial"/>
          <w:szCs w:val="22"/>
        </w:rPr>
      </w:pPr>
      <w:r w:rsidRPr="00104F4B">
        <w:rPr>
          <w:rFonts w:cs="Arial"/>
          <w:szCs w:val="22"/>
        </w:rPr>
        <w:t>El IDU cuenta con un sistema de gestión de la infraestructura que le permite a la entidad conocer el valor del patrimonio de la malla vial y del espacio público, así como su magnitud y sus necesidades. Por otro lado, el sistema permite disponer de la información sobre composición y caract</w:t>
      </w:r>
      <w:r w:rsidR="009364AB" w:rsidRPr="00104F4B">
        <w:rPr>
          <w:rFonts w:cs="Arial"/>
          <w:szCs w:val="22"/>
        </w:rPr>
        <w:t>erísticas cuadra a cuadra, para</w:t>
      </w:r>
      <w:r w:rsidRPr="00104F4B">
        <w:rPr>
          <w:rFonts w:cs="Arial"/>
          <w:szCs w:val="22"/>
        </w:rPr>
        <w:t xml:space="preserve"> de esta manera, plantear estrategias de rehabilitación y mantenimiento, y programar la inversión de recursos de manera óptima, con base en datos confiables.</w:t>
      </w:r>
    </w:p>
    <w:p w:rsidR="00A24B17" w:rsidRPr="00104F4B" w:rsidRDefault="00A24B17" w:rsidP="00A24B17">
      <w:pPr>
        <w:rPr>
          <w:rFonts w:cs="Arial"/>
          <w:szCs w:val="22"/>
        </w:rPr>
      </w:pPr>
      <w:r w:rsidRPr="00104F4B">
        <w:rPr>
          <w:rFonts w:cs="Arial"/>
          <w:szCs w:val="22"/>
        </w:rPr>
        <w:t>El principal componente del Sistema de Gestión de Infraestructura del IDU es el inventario de la malla vial, el espacio público y los puentes. Se destaca que el IDU tiene la condición de administrador de la totalidad de la malla vial, lo cual implica que los Fondos de Desarrollo Local y la Unidad Administrativa Especial de Rehabilitación y Mantenimiento deben reportar al IDU la priorización de las inversiones a su cargo, y asegurar el registro de las intervenciones realizadas en el sistema de información del IDU, a efecto de mantener actualizado el inventario.</w:t>
      </w:r>
    </w:p>
    <w:p w:rsidR="0029644B" w:rsidRPr="00104F4B" w:rsidRDefault="0029644B" w:rsidP="0029644B">
      <w:pPr>
        <w:spacing w:before="0"/>
        <w:rPr>
          <w:rFonts w:cs="Arial"/>
          <w:szCs w:val="22"/>
        </w:rPr>
      </w:pPr>
    </w:p>
    <w:p w:rsidR="00A24B17" w:rsidRPr="00104F4B" w:rsidRDefault="00A24B17" w:rsidP="0029644B">
      <w:pPr>
        <w:spacing w:before="0"/>
        <w:rPr>
          <w:rFonts w:cs="Arial"/>
          <w:szCs w:val="22"/>
        </w:rPr>
      </w:pPr>
      <w:r w:rsidRPr="00104F4B">
        <w:rPr>
          <w:rFonts w:cs="Arial"/>
          <w:szCs w:val="22"/>
        </w:rPr>
        <w:t>Con el desarrollo de las obras que ejecuta el IDU, se plantea que la ciudad tenga una mayor capacidad en su movilidad mejorando de manera considerable la calidad de vida de los capitalinos. Bogotá está encaminada a ser un escenario similar a las grandes ciudades a nivel internacional con vías amplias y corredores estratégicos pa</w:t>
      </w:r>
      <w:r w:rsidR="00D45F2F" w:rsidRPr="00104F4B">
        <w:rPr>
          <w:rFonts w:cs="Arial"/>
          <w:szCs w:val="22"/>
        </w:rPr>
        <w:t xml:space="preserve">ra agilizar los desplazamientos y así quedó planeado en el Plan de Desarrollo “Bogotá Mejor Para Todos” 2016 </w:t>
      </w:r>
      <w:r w:rsidR="00881D30">
        <w:rPr>
          <w:rFonts w:cs="Arial"/>
          <w:szCs w:val="22"/>
        </w:rPr>
        <w:t>–</w:t>
      </w:r>
      <w:r w:rsidR="00D45F2F" w:rsidRPr="00104F4B">
        <w:rPr>
          <w:rFonts w:cs="Arial"/>
          <w:szCs w:val="22"/>
        </w:rPr>
        <w:t xml:space="preserve"> 2020</w:t>
      </w:r>
      <w:r w:rsidR="00881D30">
        <w:rPr>
          <w:rFonts w:cs="Arial"/>
          <w:szCs w:val="22"/>
        </w:rPr>
        <w:t>.</w:t>
      </w:r>
    </w:p>
    <w:p w:rsidR="0029644B" w:rsidRPr="00104F4B" w:rsidRDefault="0029644B" w:rsidP="0029644B">
      <w:pPr>
        <w:spacing w:before="0"/>
        <w:rPr>
          <w:rFonts w:cs="Arial"/>
          <w:szCs w:val="22"/>
        </w:rPr>
      </w:pPr>
    </w:p>
    <w:p w:rsidR="0012464B" w:rsidRDefault="00A24B17" w:rsidP="0029644B">
      <w:pPr>
        <w:spacing w:before="0"/>
        <w:rPr>
          <w:rFonts w:cs="Arial"/>
          <w:szCs w:val="22"/>
        </w:rPr>
      </w:pPr>
      <w:r w:rsidRPr="00104F4B">
        <w:rPr>
          <w:rFonts w:cs="Arial"/>
          <w:szCs w:val="22"/>
        </w:rPr>
        <w:t xml:space="preserve">Por otra parte, nuestra ciudad se proyecta como una urbe, donde su principal actor, es decir el peatón, cuente con espacios  de esparcimiento y de movilidad no motorizada, teniendo en cuenta el planteamiento del Plan de Ordenamiento Territorial donde se establece que los espacios peatonales están constituidos por los bienes de uso público destinados al desplazamiento, uso y goce por parte de los peatones, y por los elementos arquitectónicos y naturales de los inmuebles de propiedad privada que se integran visualmente para conformar el espacio urbano. </w:t>
      </w:r>
    </w:p>
    <w:p w:rsidR="00A45C48" w:rsidRDefault="00A45C48" w:rsidP="00A45C48">
      <w:pPr>
        <w:rPr>
          <w:rFonts w:cs="Arial"/>
          <w:szCs w:val="22"/>
        </w:rPr>
      </w:pPr>
      <w:r>
        <w:rPr>
          <w:rFonts w:cs="Arial"/>
          <w:szCs w:val="22"/>
        </w:rPr>
        <w:t xml:space="preserve">Nuestra misión institucional es generar bienestar a los habitantes de la ciudad, mejorando la calidad de vida, mediante el desarrollo de infraestructura y hacia </w:t>
      </w:r>
      <w:r w:rsidR="00881D30">
        <w:rPr>
          <w:rFonts w:cs="Arial"/>
          <w:szCs w:val="22"/>
        </w:rPr>
        <w:t xml:space="preserve">este objetivo </w:t>
      </w:r>
      <w:r>
        <w:rPr>
          <w:rFonts w:cs="Arial"/>
          <w:szCs w:val="22"/>
        </w:rPr>
        <w:t xml:space="preserve">hemos estado constantemente orientados, mostrando resultados con grandes proyectos viales y de espacio público que la presente administración en su último año de gobierno pretende dejar a la Ciudad; así mismo </w:t>
      </w:r>
      <w:r>
        <w:rPr>
          <w:rFonts w:cs="Arial"/>
          <w:szCs w:val="22"/>
        </w:rPr>
        <w:lastRenderedPageBreak/>
        <w:t>nuestra Directora, Doctora Yaneth Mantilla Barón ha desarrollado su gestión realizando acciones orientadas a fortalecer la confianza y credibilidad Institucional, prueba de ello es que se tuvo pluralidad de participantes en los proceso contractuales, y una planeación muy rigurosa y responsable que garantice la efectividad en la ejecución de los proyectos.</w:t>
      </w:r>
    </w:p>
    <w:p w:rsidR="00A45C48" w:rsidRDefault="00A45C48" w:rsidP="00A45C48">
      <w:pPr>
        <w:rPr>
          <w:rFonts w:cs="Arial"/>
          <w:szCs w:val="22"/>
        </w:rPr>
      </w:pPr>
      <w:r>
        <w:rPr>
          <w:rFonts w:cs="Arial"/>
          <w:szCs w:val="22"/>
        </w:rPr>
        <w:t>En el 201</w:t>
      </w:r>
      <w:r w:rsidR="0016397F">
        <w:rPr>
          <w:rFonts w:cs="Arial"/>
          <w:szCs w:val="22"/>
        </w:rPr>
        <w:t>9</w:t>
      </w:r>
      <w:r>
        <w:rPr>
          <w:rFonts w:cs="Arial"/>
          <w:szCs w:val="22"/>
        </w:rPr>
        <w:t xml:space="preserve"> se trabajará en obra 24/7, donde se debe resaltar que en el IDU se trabaja con Dedicación, Determinación y Convicción; nos encontramos ejecutando el Plan de Desarrollo más ambicioso que la ciudad ha tenido desde su nueva constitución en lo referente al desarrollo de infraestructura. </w:t>
      </w:r>
    </w:p>
    <w:p w:rsidR="00A45C48" w:rsidRPr="00104F4B" w:rsidRDefault="00A45C48" w:rsidP="0029644B">
      <w:pPr>
        <w:spacing w:before="0"/>
        <w:rPr>
          <w:rFonts w:cs="Arial"/>
          <w:szCs w:val="22"/>
        </w:rPr>
      </w:pPr>
    </w:p>
    <w:p w:rsidR="0012464B" w:rsidRPr="00104F4B" w:rsidRDefault="0012464B" w:rsidP="0029644B">
      <w:pPr>
        <w:spacing w:before="0"/>
        <w:rPr>
          <w:rFonts w:cs="Arial"/>
          <w:szCs w:val="22"/>
        </w:rPr>
      </w:pPr>
      <w:r w:rsidRPr="00104F4B">
        <w:rPr>
          <w:rFonts w:cs="Arial"/>
          <w:szCs w:val="22"/>
        </w:rPr>
        <w:t>La Entidad realizó durante la vigencia 201</w:t>
      </w:r>
      <w:r w:rsidR="00A67B3A" w:rsidRPr="00104F4B">
        <w:rPr>
          <w:rFonts w:cs="Arial"/>
          <w:szCs w:val="22"/>
        </w:rPr>
        <w:t>8</w:t>
      </w:r>
      <w:r w:rsidRPr="00104F4B">
        <w:rPr>
          <w:rFonts w:cs="Arial"/>
          <w:szCs w:val="22"/>
        </w:rPr>
        <w:t xml:space="preserve"> importantes avances en materia de seguimiento de proyectos; a través del </w:t>
      </w:r>
      <w:r w:rsidR="00A67B3A" w:rsidRPr="00104F4B">
        <w:rPr>
          <w:rFonts w:cs="Arial"/>
          <w:szCs w:val="22"/>
        </w:rPr>
        <w:t xml:space="preserve">fortalecimiento </w:t>
      </w:r>
      <w:r w:rsidRPr="00104F4B">
        <w:rPr>
          <w:rFonts w:cs="Arial"/>
          <w:szCs w:val="22"/>
        </w:rPr>
        <w:t xml:space="preserve"> de la plataforma ZIPA; herramienta fundamental para el control y seguimiento de los proyectos que ejecuta la Entidad basado en el estándar del PMI.</w:t>
      </w:r>
    </w:p>
    <w:p w:rsidR="00BE108A" w:rsidRPr="00104F4B" w:rsidRDefault="00BE108A" w:rsidP="0029644B">
      <w:pPr>
        <w:spacing w:before="0"/>
        <w:rPr>
          <w:rFonts w:cs="Arial"/>
          <w:szCs w:val="22"/>
        </w:rPr>
      </w:pPr>
    </w:p>
    <w:p w:rsidR="00A67B3A" w:rsidRPr="00104F4B" w:rsidRDefault="00BE108A" w:rsidP="0029644B">
      <w:pPr>
        <w:spacing w:before="0"/>
        <w:rPr>
          <w:rFonts w:cs="Arial"/>
          <w:szCs w:val="22"/>
        </w:rPr>
      </w:pPr>
      <w:r w:rsidRPr="00104F4B">
        <w:rPr>
          <w:rFonts w:cs="Arial"/>
          <w:szCs w:val="22"/>
        </w:rPr>
        <w:t xml:space="preserve">Finalmente y en resumen resaltamos </w:t>
      </w:r>
      <w:r w:rsidR="00F64FA4" w:rsidRPr="00104F4B">
        <w:rPr>
          <w:rFonts w:cs="Arial"/>
          <w:szCs w:val="22"/>
        </w:rPr>
        <w:t>los</w:t>
      </w:r>
      <w:r w:rsidRPr="00104F4B">
        <w:rPr>
          <w:rFonts w:cs="Arial"/>
          <w:szCs w:val="22"/>
        </w:rPr>
        <w:t xml:space="preserve"> </w:t>
      </w:r>
      <w:r w:rsidR="0029644B" w:rsidRPr="00104F4B">
        <w:rPr>
          <w:rFonts w:cs="Arial"/>
          <w:szCs w:val="22"/>
        </w:rPr>
        <w:t xml:space="preserve">principales logros obtenidos en materia de infraestructura en </w:t>
      </w:r>
      <w:r w:rsidRPr="00104F4B">
        <w:rPr>
          <w:rFonts w:cs="Arial"/>
          <w:szCs w:val="22"/>
        </w:rPr>
        <w:t>201</w:t>
      </w:r>
      <w:r w:rsidR="005F4B5B">
        <w:rPr>
          <w:rFonts w:cs="Arial"/>
          <w:szCs w:val="22"/>
        </w:rPr>
        <w:t>8</w:t>
      </w:r>
      <w:r w:rsidRPr="00104F4B">
        <w:rPr>
          <w:rFonts w:cs="Arial"/>
          <w:szCs w:val="22"/>
        </w:rPr>
        <w:t>, así:</w:t>
      </w:r>
    </w:p>
    <w:p w:rsidR="00A67B3A" w:rsidRPr="00104F4B" w:rsidRDefault="00A67B3A" w:rsidP="001C7B13">
      <w:pPr>
        <w:spacing w:before="0"/>
        <w:jc w:val="center"/>
        <w:rPr>
          <w:rFonts w:cs="Arial"/>
          <w:szCs w:val="22"/>
        </w:rPr>
      </w:pPr>
      <w:r w:rsidRPr="00104F4B">
        <w:rPr>
          <w:rFonts w:cs="Arial"/>
          <w:noProof/>
          <w:szCs w:val="22"/>
          <w:lang w:val="es-CO" w:eastAsia="es-CO"/>
        </w:rPr>
        <w:drawing>
          <wp:inline distT="0" distB="0" distL="0" distR="0" wp14:anchorId="73BEA512" wp14:editId="73CF9846">
            <wp:extent cx="5394775" cy="2895600"/>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18466" cy="2908316"/>
                    </a:xfrm>
                    <a:prstGeom prst="rect">
                      <a:avLst/>
                    </a:prstGeom>
                    <a:noFill/>
                    <a:ln>
                      <a:noFill/>
                    </a:ln>
                  </pic:spPr>
                </pic:pic>
              </a:graphicData>
            </a:graphic>
          </wp:inline>
        </w:drawing>
      </w:r>
    </w:p>
    <w:p w:rsidR="00F021DA" w:rsidRPr="00104F4B" w:rsidRDefault="00F021DA" w:rsidP="001C7B13">
      <w:pPr>
        <w:spacing w:before="0"/>
        <w:jc w:val="center"/>
        <w:rPr>
          <w:rFonts w:cs="Arial"/>
          <w:szCs w:val="22"/>
        </w:rPr>
      </w:pPr>
    </w:p>
    <w:p w:rsidR="009D34AA" w:rsidRPr="00881D30" w:rsidRDefault="00845AA4" w:rsidP="00881D30">
      <w:pPr>
        <w:spacing w:before="0" w:after="160" w:line="259" w:lineRule="auto"/>
        <w:contextualSpacing/>
        <w:rPr>
          <w:rFonts w:cs="Arial"/>
        </w:rPr>
      </w:pPr>
      <w:r w:rsidRPr="00881D30">
        <w:rPr>
          <w:rFonts w:cs="Arial"/>
        </w:rPr>
        <w:t>En lo corrido de la ejecución de plan de desarrollo “Bogotá Mejor Para Todos” 2016-2020 se han entregado al servicio de la Ciudad un total de 27</w:t>
      </w:r>
      <w:r w:rsidR="009D34AA" w:rsidRPr="00881D30">
        <w:rPr>
          <w:rFonts w:cs="Arial"/>
        </w:rPr>
        <w:t xml:space="preserve"> obras nuevas con una inversión cercana a los $</w:t>
      </w:r>
      <w:r w:rsidRPr="00881D30">
        <w:rPr>
          <w:rFonts w:cs="Arial"/>
        </w:rPr>
        <w:t>1.173 B</w:t>
      </w:r>
      <w:r w:rsidR="009D34AA" w:rsidRPr="00881D30">
        <w:rPr>
          <w:rFonts w:cs="Arial"/>
        </w:rPr>
        <w:t>illones</w:t>
      </w:r>
      <w:r w:rsidRPr="00881D30">
        <w:rPr>
          <w:rFonts w:cs="Arial"/>
        </w:rPr>
        <w:t xml:space="preserve"> de pesos</w:t>
      </w:r>
      <w:r w:rsidR="009D34AA" w:rsidRPr="00881D30">
        <w:rPr>
          <w:rFonts w:cs="Arial"/>
        </w:rPr>
        <w:t>.</w:t>
      </w:r>
      <w:r w:rsidRPr="00881D30">
        <w:rPr>
          <w:rFonts w:cs="Arial"/>
        </w:rPr>
        <w:t xml:space="preserve"> La cuales se relacionan a continuación:</w:t>
      </w:r>
    </w:p>
    <w:p w:rsidR="00845AA4" w:rsidRPr="00104F4B" w:rsidRDefault="00881D30" w:rsidP="00845AA4">
      <w:pPr>
        <w:spacing w:before="0" w:after="160" w:line="259" w:lineRule="auto"/>
        <w:contextualSpacing/>
        <w:jc w:val="center"/>
        <w:rPr>
          <w:rFonts w:cs="Arial"/>
          <w:szCs w:val="22"/>
        </w:rPr>
      </w:pPr>
      <w:r w:rsidRPr="00104F4B">
        <w:rPr>
          <w:rFonts w:cs="Arial"/>
          <w:szCs w:val="22"/>
          <w:lang w:val="es-CO"/>
        </w:rPr>
        <w:object w:dxaOrig="11403" w:dyaOrig="873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6.5pt;height:244.5pt" o:ole="">
            <v:imagedata r:id="rId10" o:title=""/>
          </v:shape>
          <o:OLEObject Type="Embed" ProgID="Excel.Sheet.12" ShapeID="_x0000_i1025" DrawAspect="Content" ObjectID="_1611472854" r:id="rId11"/>
        </w:object>
      </w:r>
    </w:p>
    <w:p w:rsidR="00845AA4" w:rsidRPr="00104F4B" w:rsidRDefault="00845AA4" w:rsidP="002625A5">
      <w:pPr>
        <w:pStyle w:val="Prrafodelista"/>
        <w:numPr>
          <w:ilvl w:val="0"/>
          <w:numId w:val="28"/>
        </w:numPr>
        <w:spacing w:before="0" w:after="160" w:line="259" w:lineRule="auto"/>
        <w:contextualSpacing/>
        <w:rPr>
          <w:rFonts w:ascii="Arial" w:hAnsi="Arial" w:cs="Arial"/>
        </w:rPr>
      </w:pPr>
      <w:r w:rsidRPr="00104F4B">
        <w:rPr>
          <w:rFonts w:ascii="Arial" w:hAnsi="Arial" w:cs="Arial"/>
        </w:rPr>
        <w:t>Actualmente continúan su ejecución para ser entregadas en la vigencia 2019 un total de 18 obras, las cuales se relacionan a continuación:</w:t>
      </w:r>
    </w:p>
    <w:p w:rsidR="00845AA4" w:rsidRPr="00104F4B" w:rsidRDefault="00881D30" w:rsidP="00845AA4">
      <w:pPr>
        <w:spacing w:before="0" w:after="160" w:line="259" w:lineRule="auto"/>
        <w:ind w:left="360"/>
        <w:contextualSpacing/>
        <w:jc w:val="center"/>
        <w:rPr>
          <w:rFonts w:cs="Arial"/>
          <w:szCs w:val="22"/>
        </w:rPr>
      </w:pPr>
      <w:r w:rsidRPr="00104F4B">
        <w:rPr>
          <w:rFonts w:cs="Arial"/>
          <w:szCs w:val="22"/>
          <w:lang w:val="es-CO"/>
        </w:rPr>
        <w:object w:dxaOrig="12050" w:dyaOrig="6991">
          <v:shape id="_x0000_i1026" type="#_x0000_t75" style="width:384.75pt;height:222.75pt" o:ole="">
            <v:imagedata r:id="rId12" o:title=""/>
          </v:shape>
          <o:OLEObject Type="Embed" ProgID="Excel.Sheet.12" ShapeID="_x0000_i1026" DrawAspect="Content" ObjectID="_1611472855" r:id="rId13"/>
        </w:object>
      </w:r>
    </w:p>
    <w:p w:rsidR="009D34AA" w:rsidRPr="00104F4B" w:rsidRDefault="009D34AA" w:rsidP="002625A5">
      <w:pPr>
        <w:pStyle w:val="Prrafodelista"/>
        <w:numPr>
          <w:ilvl w:val="0"/>
          <w:numId w:val="28"/>
        </w:numPr>
        <w:spacing w:before="0" w:after="160" w:line="259" w:lineRule="auto"/>
        <w:contextualSpacing/>
        <w:rPr>
          <w:rFonts w:ascii="Arial" w:hAnsi="Arial" w:cs="Arial"/>
        </w:rPr>
      </w:pPr>
      <w:r w:rsidRPr="00104F4B">
        <w:rPr>
          <w:rFonts w:ascii="Arial" w:hAnsi="Arial" w:cs="Arial"/>
        </w:rPr>
        <w:t>S</w:t>
      </w:r>
      <w:r w:rsidR="00845AA4" w:rsidRPr="00104F4B">
        <w:rPr>
          <w:rFonts w:ascii="Arial" w:hAnsi="Arial" w:cs="Arial"/>
        </w:rPr>
        <w:t>e adjudicaron 26</w:t>
      </w:r>
      <w:r w:rsidRPr="00104F4B">
        <w:rPr>
          <w:rFonts w:ascii="Arial" w:hAnsi="Arial" w:cs="Arial"/>
        </w:rPr>
        <w:t xml:space="preserve"> proyectos </w:t>
      </w:r>
      <w:r w:rsidR="00845AA4" w:rsidRPr="00104F4B">
        <w:rPr>
          <w:rFonts w:ascii="Arial" w:hAnsi="Arial" w:cs="Arial"/>
        </w:rPr>
        <w:t>que iniciarán ejecución en la vigencia 2019, por un monto de $ 1.930 billones, así</w:t>
      </w:r>
      <w:r w:rsidRPr="00104F4B">
        <w:rPr>
          <w:rFonts w:ascii="Arial" w:hAnsi="Arial" w:cs="Arial"/>
        </w:rPr>
        <w:t>:</w:t>
      </w:r>
    </w:p>
    <w:p w:rsidR="00845AA4" w:rsidRPr="00104F4B" w:rsidRDefault="00881D30" w:rsidP="00845AA4">
      <w:pPr>
        <w:spacing w:before="0" w:after="160" w:line="259" w:lineRule="auto"/>
        <w:contextualSpacing/>
        <w:jc w:val="center"/>
        <w:rPr>
          <w:rFonts w:cs="Arial"/>
          <w:szCs w:val="22"/>
        </w:rPr>
      </w:pPr>
      <w:r w:rsidRPr="00104F4B">
        <w:rPr>
          <w:rFonts w:cs="Arial"/>
          <w:szCs w:val="22"/>
          <w:lang w:val="es-CO"/>
        </w:rPr>
        <w:object w:dxaOrig="12828" w:dyaOrig="9896">
          <v:shape id="_x0000_i1027" type="#_x0000_t75" style="width:370.5pt;height:295.5pt" o:ole="">
            <v:imagedata r:id="rId14" o:title=""/>
          </v:shape>
          <o:OLEObject Type="Embed" ProgID="Excel.Sheet.12" ShapeID="_x0000_i1027" DrawAspect="Content" ObjectID="_1611472856" r:id="rId15"/>
        </w:object>
      </w:r>
    </w:p>
    <w:p w:rsidR="00881D30" w:rsidRDefault="00881D30" w:rsidP="0029644B">
      <w:pPr>
        <w:spacing w:before="0"/>
        <w:rPr>
          <w:rFonts w:cs="Arial"/>
          <w:szCs w:val="22"/>
        </w:rPr>
      </w:pPr>
    </w:p>
    <w:p w:rsidR="00381D1D" w:rsidRPr="00104F4B" w:rsidRDefault="00381D1D" w:rsidP="0029644B">
      <w:pPr>
        <w:spacing w:before="0"/>
        <w:rPr>
          <w:rFonts w:cs="Arial"/>
          <w:szCs w:val="22"/>
        </w:rPr>
      </w:pPr>
      <w:r w:rsidRPr="00104F4B">
        <w:rPr>
          <w:rFonts w:cs="Arial"/>
          <w:szCs w:val="22"/>
        </w:rPr>
        <w:t>Así mismo se realizó un esfuerzo importante en materia de mantenimiento de la malla arterial, intermedia y Troncal de la Ciudad, lo cual se adelantó mediante un esquema de vigencias futuras, lo que permite dar continuidad a la atención de los diferentes corredores, por cuanto cuen</w:t>
      </w:r>
      <w:r w:rsidR="003E447B" w:rsidRPr="00104F4B">
        <w:rPr>
          <w:rFonts w:cs="Arial"/>
          <w:szCs w:val="22"/>
        </w:rPr>
        <w:t>ta con 3 vigencias de ejecución y reduce los tiempos contractuales necesarios cuando los programas operan para una sola vigencia.</w:t>
      </w:r>
    </w:p>
    <w:p w:rsidR="00381D1D" w:rsidRPr="00104F4B" w:rsidRDefault="00381D1D" w:rsidP="0029644B">
      <w:pPr>
        <w:spacing w:before="0"/>
        <w:rPr>
          <w:rFonts w:cs="Arial"/>
          <w:szCs w:val="22"/>
        </w:rPr>
      </w:pPr>
    </w:p>
    <w:p w:rsidR="00381D1D" w:rsidRPr="00104F4B" w:rsidRDefault="00381D1D" w:rsidP="0029644B">
      <w:pPr>
        <w:spacing w:before="0"/>
        <w:rPr>
          <w:rFonts w:cs="Arial"/>
          <w:szCs w:val="22"/>
        </w:rPr>
      </w:pPr>
      <w:r w:rsidRPr="00104F4B">
        <w:rPr>
          <w:rFonts w:cs="Arial"/>
          <w:szCs w:val="22"/>
        </w:rPr>
        <w:t>Para esta administración es de vital importancia mantener de manera adecuada la red de puentes peatonales y vehiculares de la Ciudad que presentan un importante deterioro, razón por la cual en la vigencia 201</w:t>
      </w:r>
      <w:r w:rsidR="006C10C4" w:rsidRPr="00104F4B">
        <w:rPr>
          <w:rFonts w:cs="Arial"/>
          <w:szCs w:val="22"/>
        </w:rPr>
        <w:t>8</w:t>
      </w:r>
      <w:r w:rsidRPr="00104F4B">
        <w:rPr>
          <w:rFonts w:cs="Arial"/>
          <w:szCs w:val="22"/>
        </w:rPr>
        <w:t xml:space="preserve"> se invirtieron recursos importantes en dichos temas.</w:t>
      </w:r>
    </w:p>
    <w:p w:rsidR="00BE108A" w:rsidRPr="00104F4B" w:rsidRDefault="001A4A9C" w:rsidP="00A24B17">
      <w:pPr>
        <w:rPr>
          <w:rFonts w:cs="Arial"/>
          <w:szCs w:val="22"/>
        </w:rPr>
      </w:pPr>
      <w:r w:rsidRPr="00104F4B">
        <w:rPr>
          <w:rFonts w:cs="Arial"/>
          <w:szCs w:val="22"/>
        </w:rPr>
        <w:t>La presente administración comprende de manera clara las necesidades de la ciudadanía en materia de movilidad y espacio p</w:t>
      </w:r>
      <w:r w:rsidR="00E75A09" w:rsidRPr="00104F4B">
        <w:rPr>
          <w:rFonts w:cs="Arial"/>
          <w:szCs w:val="22"/>
        </w:rPr>
        <w:t xml:space="preserve">úblico, por esta razón su enfoque para la inversión de recursos se fundamenta en la construcción y conservación de vías y calles completas, infraestructura para peatones, infraestructura para el transporte público de la Ciudad, </w:t>
      </w:r>
      <w:r w:rsidR="00214E19" w:rsidRPr="00104F4B">
        <w:rPr>
          <w:rFonts w:cs="Arial"/>
          <w:szCs w:val="22"/>
        </w:rPr>
        <w:t xml:space="preserve">Desarrollo de infraestructura para la </w:t>
      </w:r>
      <w:r w:rsidR="00E75A09" w:rsidRPr="00104F4B">
        <w:rPr>
          <w:rFonts w:cs="Arial"/>
          <w:szCs w:val="22"/>
        </w:rPr>
        <w:t>articulación regional y el fortalec</w:t>
      </w:r>
      <w:r w:rsidR="00214E19" w:rsidRPr="00104F4B">
        <w:rPr>
          <w:rFonts w:cs="Arial"/>
          <w:szCs w:val="22"/>
        </w:rPr>
        <w:t>imiento de la Entidad, en torno</w:t>
      </w:r>
      <w:r w:rsidR="00103958" w:rsidRPr="00104F4B">
        <w:rPr>
          <w:rFonts w:cs="Arial"/>
          <w:szCs w:val="22"/>
        </w:rPr>
        <w:t xml:space="preserve"> a esta perspectivas de ciudad y como anexo a esta introducción,</w:t>
      </w:r>
      <w:r w:rsidR="00214E19" w:rsidRPr="00104F4B">
        <w:rPr>
          <w:rFonts w:cs="Arial"/>
          <w:szCs w:val="22"/>
        </w:rPr>
        <w:t xml:space="preserve"> presentamos a continuación </w:t>
      </w:r>
      <w:r w:rsidR="00103958" w:rsidRPr="00104F4B">
        <w:rPr>
          <w:rFonts w:cs="Arial"/>
          <w:szCs w:val="22"/>
        </w:rPr>
        <w:t xml:space="preserve">algunas generalidades y la </w:t>
      </w:r>
      <w:r w:rsidR="00214E19" w:rsidRPr="00104F4B">
        <w:rPr>
          <w:rFonts w:cs="Arial"/>
          <w:szCs w:val="22"/>
        </w:rPr>
        <w:t xml:space="preserve">gestión </w:t>
      </w:r>
      <w:r w:rsidR="00FD0439" w:rsidRPr="00104F4B">
        <w:rPr>
          <w:rFonts w:cs="Arial"/>
          <w:szCs w:val="22"/>
        </w:rPr>
        <w:t>por cada una de las subdirecciones generales y oficinas d</w:t>
      </w:r>
      <w:r w:rsidR="00103958" w:rsidRPr="00104F4B">
        <w:rPr>
          <w:rFonts w:cs="Arial"/>
          <w:szCs w:val="22"/>
        </w:rPr>
        <w:t>el IDU en la vigencia 201</w:t>
      </w:r>
      <w:r w:rsidR="006C10C4" w:rsidRPr="00104F4B">
        <w:rPr>
          <w:rFonts w:cs="Arial"/>
          <w:szCs w:val="22"/>
        </w:rPr>
        <w:t>8</w:t>
      </w:r>
      <w:r w:rsidR="00103958" w:rsidRPr="00104F4B">
        <w:rPr>
          <w:rFonts w:cs="Arial"/>
          <w:szCs w:val="22"/>
        </w:rPr>
        <w:t>.</w:t>
      </w:r>
    </w:p>
    <w:p w:rsidR="006C10C4" w:rsidRPr="00104F4B" w:rsidRDefault="00103958" w:rsidP="005C593F">
      <w:pPr>
        <w:rPr>
          <w:rFonts w:cs="Arial"/>
          <w:szCs w:val="22"/>
        </w:rPr>
      </w:pPr>
      <w:r w:rsidRPr="00104F4B">
        <w:rPr>
          <w:rFonts w:cs="Arial"/>
          <w:szCs w:val="22"/>
        </w:rPr>
        <w:t>Cordialmente</w:t>
      </w:r>
      <w:r w:rsidR="003A6E45" w:rsidRPr="00104F4B">
        <w:rPr>
          <w:rFonts w:cs="Arial"/>
          <w:szCs w:val="22"/>
        </w:rPr>
        <w:t>,</w:t>
      </w:r>
      <w:r w:rsidR="005C593F" w:rsidRPr="00104F4B">
        <w:rPr>
          <w:rFonts w:cs="Arial"/>
          <w:szCs w:val="22"/>
        </w:rPr>
        <w:tab/>
      </w:r>
      <w:r w:rsidR="005C593F" w:rsidRPr="00104F4B">
        <w:rPr>
          <w:rFonts w:cs="Arial"/>
          <w:szCs w:val="22"/>
        </w:rPr>
        <w:tab/>
      </w:r>
      <w:r w:rsidR="005C593F" w:rsidRPr="00104F4B">
        <w:rPr>
          <w:rFonts w:cs="Arial"/>
          <w:szCs w:val="22"/>
        </w:rPr>
        <w:tab/>
      </w:r>
    </w:p>
    <w:p w:rsidR="00103958" w:rsidRPr="00104F4B" w:rsidRDefault="005C593F" w:rsidP="006C10C4">
      <w:pPr>
        <w:jc w:val="center"/>
        <w:rPr>
          <w:rFonts w:cs="Arial"/>
          <w:b/>
          <w:szCs w:val="22"/>
        </w:rPr>
      </w:pPr>
      <w:r w:rsidRPr="00104F4B">
        <w:rPr>
          <w:rFonts w:cs="Arial"/>
          <w:szCs w:val="22"/>
        </w:rPr>
        <w:t xml:space="preserve">ORIGINAL FIRMADO POR: </w:t>
      </w:r>
      <w:r w:rsidR="00103958" w:rsidRPr="00104F4B">
        <w:rPr>
          <w:rFonts w:cs="Arial"/>
          <w:b/>
          <w:szCs w:val="22"/>
        </w:rPr>
        <w:t>YANETH ROCÍO MANTILLA BARÓN</w:t>
      </w:r>
    </w:p>
    <w:p w:rsidR="008B124E" w:rsidRPr="00104F4B" w:rsidRDefault="00103958" w:rsidP="006C10C4">
      <w:pPr>
        <w:jc w:val="center"/>
        <w:rPr>
          <w:rFonts w:cs="Arial"/>
          <w:b/>
          <w:szCs w:val="22"/>
        </w:rPr>
      </w:pPr>
      <w:r w:rsidRPr="00104F4B">
        <w:rPr>
          <w:rFonts w:cs="Arial"/>
          <w:b/>
          <w:szCs w:val="22"/>
        </w:rPr>
        <w:t>Directora General</w:t>
      </w:r>
    </w:p>
    <w:p w:rsidR="00FA27A2" w:rsidRDefault="00FA27A2" w:rsidP="00103958">
      <w:pPr>
        <w:jc w:val="center"/>
        <w:rPr>
          <w:rFonts w:cs="Arial"/>
          <w:b/>
          <w:szCs w:val="22"/>
        </w:rPr>
      </w:pPr>
    </w:p>
    <w:p w:rsidR="00881D30" w:rsidRDefault="00881D30" w:rsidP="00103958">
      <w:pPr>
        <w:jc w:val="center"/>
        <w:rPr>
          <w:rFonts w:cs="Arial"/>
          <w:b/>
          <w:szCs w:val="22"/>
        </w:rPr>
      </w:pPr>
    </w:p>
    <w:p w:rsidR="00187416" w:rsidRPr="00104F4B" w:rsidRDefault="00E34588" w:rsidP="0027370F">
      <w:pPr>
        <w:jc w:val="center"/>
        <w:rPr>
          <w:rFonts w:cs="Arial"/>
          <w:b/>
          <w:szCs w:val="22"/>
        </w:rPr>
      </w:pPr>
      <w:bookmarkStart w:id="1" w:name="_Toc472944022"/>
      <w:r w:rsidRPr="00104F4B">
        <w:rPr>
          <w:rFonts w:cs="Arial"/>
          <w:b/>
          <w:szCs w:val="22"/>
        </w:rPr>
        <w:lastRenderedPageBreak/>
        <w:t>CAPITULO I</w:t>
      </w:r>
      <w:r w:rsidR="00187416" w:rsidRPr="00104F4B">
        <w:rPr>
          <w:rFonts w:cs="Arial"/>
          <w:b/>
          <w:szCs w:val="22"/>
        </w:rPr>
        <w:t>. GENERALIDADES DE LA ENTIDAD</w:t>
      </w:r>
      <w:bookmarkEnd w:id="1"/>
    </w:p>
    <w:p w:rsidR="005534F5" w:rsidRPr="00104F4B" w:rsidRDefault="00187416" w:rsidP="00F35347">
      <w:pPr>
        <w:pStyle w:val="Ttulo1"/>
        <w:numPr>
          <w:ilvl w:val="1"/>
          <w:numId w:val="18"/>
        </w:numPr>
        <w:rPr>
          <w:rFonts w:ascii="Arial" w:hAnsi="Arial" w:cs="Arial"/>
          <w:sz w:val="22"/>
          <w:szCs w:val="22"/>
        </w:rPr>
      </w:pPr>
      <w:bookmarkStart w:id="2" w:name="_Toc472944023"/>
      <w:bookmarkStart w:id="3" w:name="_Toc536195515"/>
      <w:r w:rsidRPr="00104F4B">
        <w:rPr>
          <w:rFonts w:ascii="Arial" w:hAnsi="Arial" w:cs="Arial"/>
          <w:sz w:val="22"/>
          <w:szCs w:val="22"/>
        </w:rPr>
        <w:t>FUNCIONES GENERALES DE LA ENTIDAD</w:t>
      </w:r>
      <w:bookmarkEnd w:id="2"/>
      <w:bookmarkEnd w:id="3"/>
    </w:p>
    <w:p w:rsidR="005534F5" w:rsidRPr="00104F4B" w:rsidRDefault="005534F5" w:rsidP="006305F8">
      <w:pPr>
        <w:rPr>
          <w:rFonts w:cs="Arial"/>
          <w:szCs w:val="22"/>
        </w:rPr>
      </w:pPr>
      <w:r w:rsidRPr="00104F4B">
        <w:rPr>
          <w:rFonts w:cs="Arial"/>
          <w:szCs w:val="22"/>
        </w:rPr>
        <w:t xml:space="preserve">En el </w:t>
      </w:r>
      <w:r w:rsidR="008B124E" w:rsidRPr="00104F4B">
        <w:rPr>
          <w:rFonts w:cs="Arial"/>
          <w:szCs w:val="22"/>
        </w:rPr>
        <w:t>A</w:t>
      </w:r>
      <w:r w:rsidRPr="00104F4B">
        <w:rPr>
          <w:rFonts w:cs="Arial"/>
          <w:szCs w:val="22"/>
        </w:rPr>
        <w:t>cuerdo No. 001 de febrero 03 de 2009 del Consejo Directivo, por el cual se expiden los estatutos del Instituto de Desarrollo Urbano –IDU, se establece que el objeto social de la entidad es atender en el ámbito de sus competencias la ejecución integral y el mantenimiento de los proyectos de infraestructura de los sistemas de movilidad y espacio público construido del distrito capital, contemplados dentro del plan de ordenamiento territorial, el plan de desarrollo económico y social y de obras públicas del distrito capital y los planes y programas sectoriales, así como las operaciones necesarias para la distribución, asignación y cobro de las contribuciones de valorización y de pavimentación.  Además se indica las funciones generales del Instituto que son:</w:t>
      </w:r>
    </w:p>
    <w:p w:rsidR="005534F5" w:rsidRPr="00104F4B" w:rsidRDefault="005534F5" w:rsidP="002625A5">
      <w:pPr>
        <w:pStyle w:val="NormalWeb"/>
        <w:numPr>
          <w:ilvl w:val="0"/>
          <w:numId w:val="25"/>
        </w:numPr>
        <w:rPr>
          <w:rFonts w:cs="Arial"/>
          <w:szCs w:val="22"/>
        </w:rPr>
      </w:pPr>
      <w:r w:rsidRPr="00104F4B">
        <w:rPr>
          <w:rFonts w:cs="Arial"/>
          <w:szCs w:val="22"/>
        </w:rPr>
        <w:t>Proponer en el marco de sus competencias a la Secretaria Distrital de Movilidad, como líder del comité sectorial de movilidad, la adopción de políticas sectoriales.</w:t>
      </w:r>
    </w:p>
    <w:p w:rsidR="005534F5" w:rsidRPr="00104F4B" w:rsidRDefault="005534F5" w:rsidP="002625A5">
      <w:pPr>
        <w:pStyle w:val="NormalWeb"/>
        <w:numPr>
          <w:ilvl w:val="0"/>
          <w:numId w:val="25"/>
        </w:numPr>
        <w:rPr>
          <w:rFonts w:cs="Arial"/>
          <w:szCs w:val="22"/>
        </w:rPr>
      </w:pPr>
      <w:r w:rsidRPr="00104F4B">
        <w:rPr>
          <w:rFonts w:cs="Arial"/>
          <w:szCs w:val="22"/>
        </w:rPr>
        <w:t>Diseñar estrategias, planes, programas y proyectos de infraestructura de los sistemas de movilidad y de espacio público construido, de parqueaderos públicos y de operaciones urbanas a cargo de la entidad.</w:t>
      </w:r>
    </w:p>
    <w:p w:rsidR="005534F5" w:rsidRPr="00104F4B" w:rsidRDefault="005534F5" w:rsidP="002625A5">
      <w:pPr>
        <w:pStyle w:val="NormalWeb"/>
        <w:numPr>
          <w:ilvl w:val="0"/>
          <w:numId w:val="25"/>
        </w:numPr>
        <w:rPr>
          <w:rFonts w:cs="Arial"/>
          <w:szCs w:val="22"/>
        </w:rPr>
      </w:pPr>
      <w:r w:rsidRPr="00104F4B">
        <w:rPr>
          <w:rFonts w:cs="Arial"/>
          <w:szCs w:val="22"/>
        </w:rPr>
        <w:t>Ejecutar la construcción y mantenimiento de los proyectos de los sistemas de movilidad y de espacio público construido, de operaciones urbanas y de parqueaderos públicos a cargo de la entidad.</w:t>
      </w:r>
    </w:p>
    <w:p w:rsidR="005534F5" w:rsidRPr="00104F4B" w:rsidRDefault="005534F5" w:rsidP="002625A5">
      <w:pPr>
        <w:pStyle w:val="NormalWeb"/>
        <w:numPr>
          <w:ilvl w:val="0"/>
          <w:numId w:val="25"/>
        </w:numPr>
        <w:rPr>
          <w:rFonts w:cs="Arial"/>
          <w:szCs w:val="22"/>
        </w:rPr>
      </w:pPr>
      <w:r w:rsidRPr="00104F4B">
        <w:rPr>
          <w:rFonts w:cs="Arial"/>
          <w:szCs w:val="22"/>
        </w:rPr>
        <w:t>Realizar, conforme a las disposiciones vigentes, las operaciones administrativas de cálculo, liquidación, distribución, asignación y cobro de la contribución de valorización.</w:t>
      </w:r>
    </w:p>
    <w:p w:rsidR="005534F5" w:rsidRPr="00104F4B" w:rsidRDefault="005534F5" w:rsidP="002625A5">
      <w:pPr>
        <w:pStyle w:val="NormalWeb"/>
        <w:numPr>
          <w:ilvl w:val="0"/>
          <w:numId w:val="25"/>
        </w:numPr>
        <w:rPr>
          <w:rFonts w:cs="Arial"/>
          <w:szCs w:val="22"/>
        </w:rPr>
      </w:pPr>
      <w:r w:rsidRPr="00104F4B">
        <w:rPr>
          <w:rFonts w:cs="Arial"/>
          <w:szCs w:val="22"/>
        </w:rPr>
        <w:t>Realizar el seguimiento y control de la estabilidad de las obras.</w:t>
      </w:r>
    </w:p>
    <w:p w:rsidR="005534F5" w:rsidRPr="00104F4B" w:rsidRDefault="005534F5" w:rsidP="002625A5">
      <w:pPr>
        <w:pStyle w:val="NormalWeb"/>
        <w:numPr>
          <w:ilvl w:val="0"/>
          <w:numId w:val="25"/>
        </w:numPr>
        <w:rPr>
          <w:rFonts w:cs="Arial"/>
          <w:szCs w:val="22"/>
        </w:rPr>
      </w:pPr>
      <w:r w:rsidRPr="00104F4B">
        <w:rPr>
          <w:rFonts w:cs="Arial"/>
          <w:szCs w:val="22"/>
        </w:rPr>
        <w:t>Realizar la supervisión, seguimiento y recibo de las obras y proyectos de infraestructura vial y del espacio público realizados en zonas a desarrollar por urbanizadores y/o terceros particulares o públicos.</w:t>
      </w:r>
    </w:p>
    <w:p w:rsidR="005534F5" w:rsidRPr="00104F4B" w:rsidRDefault="005534F5" w:rsidP="002625A5">
      <w:pPr>
        <w:pStyle w:val="NormalWeb"/>
        <w:numPr>
          <w:ilvl w:val="0"/>
          <w:numId w:val="25"/>
        </w:numPr>
        <w:rPr>
          <w:rFonts w:cs="Arial"/>
          <w:szCs w:val="22"/>
        </w:rPr>
      </w:pPr>
      <w:r w:rsidRPr="00104F4B">
        <w:rPr>
          <w:rFonts w:cs="Arial"/>
          <w:szCs w:val="22"/>
        </w:rPr>
        <w:t>Actualizar y administrar el sistema de información de los sistemas de movilidad y de espacio público construido, definidos en el plan de ordenamiento territorial.</w:t>
      </w:r>
    </w:p>
    <w:p w:rsidR="005534F5" w:rsidRPr="00104F4B" w:rsidRDefault="005534F5" w:rsidP="002625A5">
      <w:pPr>
        <w:pStyle w:val="NormalWeb"/>
        <w:numPr>
          <w:ilvl w:val="0"/>
          <w:numId w:val="25"/>
        </w:numPr>
        <w:rPr>
          <w:rFonts w:cs="Arial"/>
          <w:szCs w:val="22"/>
        </w:rPr>
      </w:pPr>
      <w:r w:rsidRPr="00104F4B">
        <w:rPr>
          <w:rFonts w:cs="Arial"/>
          <w:szCs w:val="22"/>
        </w:rPr>
        <w:t>Realizar la investigación constante de nuevas tecnologías, técnicas y normas en materia de gestión y desarrollo de la infraestructura para los sistemas de movilidad y de espacio público construido.</w:t>
      </w:r>
    </w:p>
    <w:p w:rsidR="005534F5" w:rsidRPr="00104F4B" w:rsidRDefault="005534F5" w:rsidP="002625A5">
      <w:pPr>
        <w:pStyle w:val="NormalWeb"/>
        <w:numPr>
          <w:ilvl w:val="0"/>
          <w:numId w:val="25"/>
        </w:numPr>
        <w:rPr>
          <w:rFonts w:cs="Arial"/>
          <w:szCs w:val="22"/>
        </w:rPr>
      </w:pPr>
      <w:r w:rsidRPr="00104F4B">
        <w:rPr>
          <w:rFonts w:cs="Arial"/>
          <w:szCs w:val="22"/>
        </w:rPr>
        <w:t>Desarrollar e implementar el plan de administración, mantenimiento, dotación, preservación y aprovechamiento económico del espacio público de los sistemas de movilidad y de espacio público construido a cargo de la entidad.</w:t>
      </w:r>
    </w:p>
    <w:p w:rsidR="005534F5" w:rsidRPr="00104F4B" w:rsidRDefault="005534F5" w:rsidP="002625A5">
      <w:pPr>
        <w:pStyle w:val="NormalWeb"/>
        <w:numPr>
          <w:ilvl w:val="0"/>
          <w:numId w:val="25"/>
        </w:numPr>
        <w:rPr>
          <w:rFonts w:cs="Arial"/>
          <w:szCs w:val="22"/>
        </w:rPr>
      </w:pPr>
      <w:r w:rsidRPr="00104F4B">
        <w:rPr>
          <w:rFonts w:cs="Arial"/>
          <w:szCs w:val="22"/>
        </w:rPr>
        <w:t>Adquirir los predios necesarios para la ejecución de los proyectos de infraestructura de los sistemas de movilidad y de espacio público construido a cargo de la entidad.</w:t>
      </w:r>
    </w:p>
    <w:p w:rsidR="005534F5" w:rsidRPr="00104F4B" w:rsidRDefault="005534F5" w:rsidP="002625A5">
      <w:pPr>
        <w:pStyle w:val="NormalWeb"/>
        <w:numPr>
          <w:ilvl w:val="0"/>
          <w:numId w:val="25"/>
        </w:numPr>
        <w:rPr>
          <w:rFonts w:cs="Arial"/>
          <w:szCs w:val="22"/>
        </w:rPr>
      </w:pPr>
      <w:r w:rsidRPr="00104F4B">
        <w:rPr>
          <w:rFonts w:cs="Arial"/>
          <w:szCs w:val="22"/>
        </w:rPr>
        <w:t>Implementar y ejecutar las estrategias, planes, programas y acciones a cargo de la entidad para el debido cumplimiento de las obligaciones en materia de atención y prevención de emergencias, de conformidad con el plan distrital respectivo.</w:t>
      </w:r>
    </w:p>
    <w:p w:rsidR="005534F5" w:rsidRPr="00104F4B" w:rsidRDefault="005534F5" w:rsidP="002625A5">
      <w:pPr>
        <w:pStyle w:val="NormalWeb"/>
        <w:numPr>
          <w:ilvl w:val="0"/>
          <w:numId w:val="25"/>
        </w:numPr>
        <w:rPr>
          <w:rFonts w:cs="Arial"/>
          <w:szCs w:val="22"/>
        </w:rPr>
      </w:pPr>
      <w:r w:rsidRPr="00104F4B">
        <w:rPr>
          <w:rFonts w:cs="Arial"/>
          <w:szCs w:val="22"/>
        </w:rPr>
        <w:t>Aprobar y expedir licencias de excavación, en los términos contemplados en el plan de ordenamiento territorial.</w:t>
      </w:r>
    </w:p>
    <w:p w:rsidR="005534F5" w:rsidRPr="00104F4B" w:rsidRDefault="005534F5" w:rsidP="002625A5">
      <w:pPr>
        <w:pStyle w:val="NormalWeb"/>
        <w:numPr>
          <w:ilvl w:val="0"/>
          <w:numId w:val="25"/>
        </w:numPr>
        <w:rPr>
          <w:rFonts w:cs="Arial"/>
          <w:szCs w:val="22"/>
        </w:rPr>
      </w:pPr>
      <w:r w:rsidRPr="00104F4B">
        <w:rPr>
          <w:rFonts w:cs="Arial"/>
          <w:szCs w:val="22"/>
        </w:rPr>
        <w:t>Otorgar los permisos de uso temporal del espacio público a cargo de la entidad, en los términos contemplados en el plan de ordenamiento territorial.</w:t>
      </w:r>
    </w:p>
    <w:p w:rsidR="005534F5" w:rsidRPr="00104F4B" w:rsidRDefault="005534F5" w:rsidP="002625A5">
      <w:pPr>
        <w:pStyle w:val="NormalWeb"/>
        <w:numPr>
          <w:ilvl w:val="0"/>
          <w:numId w:val="25"/>
        </w:numPr>
        <w:rPr>
          <w:rFonts w:cs="Arial"/>
          <w:szCs w:val="22"/>
        </w:rPr>
      </w:pPr>
      <w:r w:rsidRPr="00104F4B">
        <w:rPr>
          <w:rFonts w:cs="Arial"/>
          <w:szCs w:val="22"/>
        </w:rPr>
        <w:t>Autorizar el uso temporal de los antejardines ubicados sobre ejes comerciales, previa certificación de la culminación de las obras correspondientes a los proyectos integrales de espacio público, presentados por los interesados en ejercer actividades comerciales.</w:t>
      </w:r>
    </w:p>
    <w:p w:rsidR="005534F5" w:rsidRPr="00104F4B" w:rsidRDefault="005534F5" w:rsidP="002625A5">
      <w:pPr>
        <w:pStyle w:val="NormalWeb"/>
        <w:numPr>
          <w:ilvl w:val="0"/>
          <w:numId w:val="25"/>
        </w:numPr>
        <w:rPr>
          <w:rFonts w:cs="Arial"/>
          <w:szCs w:val="22"/>
        </w:rPr>
      </w:pPr>
      <w:r w:rsidRPr="00104F4B">
        <w:rPr>
          <w:rFonts w:cs="Arial"/>
          <w:szCs w:val="22"/>
        </w:rPr>
        <w:t xml:space="preserve">Las demás que establezca las normas especiales.  </w:t>
      </w:r>
    </w:p>
    <w:p w:rsidR="005534F5" w:rsidRPr="00104F4B" w:rsidRDefault="005534F5" w:rsidP="005534F5">
      <w:pPr>
        <w:pStyle w:val="Prrafodelista"/>
        <w:numPr>
          <w:ilvl w:val="1"/>
          <w:numId w:val="18"/>
        </w:numPr>
        <w:rPr>
          <w:rFonts w:ascii="Arial" w:hAnsi="Arial" w:cs="Arial"/>
          <w:b/>
          <w:bCs/>
          <w:kern w:val="32"/>
        </w:rPr>
      </w:pPr>
      <w:bookmarkStart w:id="4" w:name="_Toc472944024"/>
      <w:bookmarkStart w:id="5" w:name="_Toc536195516"/>
      <w:r w:rsidRPr="00104F4B">
        <w:rPr>
          <w:rStyle w:val="Ttulo1Car"/>
          <w:rFonts w:ascii="Arial" w:eastAsia="Calibri" w:hAnsi="Arial" w:cs="Arial"/>
          <w:sz w:val="22"/>
          <w:szCs w:val="22"/>
        </w:rPr>
        <w:lastRenderedPageBreak/>
        <w:t>ORGANIGRAMA DE LA ENTIDA</w:t>
      </w:r>
      <w:r w:rsidR="00196691" w:rsidRPr="00104F4B">
        <w:rPr>
          <w:rStyle w:val="Ttulo1Car"/>
          <w:rFonts w:ascii="Arial" w:eastAsia="Calibri" w:hAnsi="Arial" w:cs="Arial"/>
          <w:sz w:val="22"/>
          <w:szCs w:val="22"/>
        </w:rPr>
        <w:t>D</w:t>
      </w:r>
      <w:bookmarkEnd w:id="4"/>
      <w:bookmarkEnd w:id="5"/>
    </w:p>
    <w:p w:rsidR="007F2F5A" w:rsidRDefault="00D03FD5" w:rsidP="00F021DA">
      <w:pPr>
        <w:jc w:val="center"/>
        <w:rPr>
          <w:rStyle w:val="Ttulo1Car"/>
          <w:rFonts w:ascii="Arial" w:hAnsi="Arial" w:cs="Arial"/>
          <w:sz w:val="22"/>
          <w:szCs w:val="22"/>
        </w:rPr>
      </w:pPr>
      <w:bookmarkStart w:id="6" w:name="_Toc472944026"/>
      <w:r w:rsidRPr="00104F4B">
        <w:rPr>
          <w:rFonts w:cs="Arial"/>
          <w:noProof/>
          <w:lang w:val="es-CO" w:eastAsia="es-CO"/>
        </w:rPr>
        <w:drawing>
          <wp:inline distT="0" distB="0" distL="0" distR="0">
            <wp:extent cx="4544452" cy="3252083"/>
            <wp:effectExtent l="0" t="0" r="8890" b="5715"/>
            <wp:docPr id="35" name="Imagen 35" descr="Odoo CMS - una imagen 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Odoo CMS - una imagen grand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64160" cy="3266186"/>
                    </a:xfrm>
                    <a:prstGeom prst="rect">
                      <a:avLst/>
                    </a:prstGeom>
                    <a:noFill/>
                    <a:ln>
                      <a:noFill/>
                    </a:ln>
                  </pic:spPr>
                </pic:pic>
              </a:graphicData>
            </a:graphic>
          </wp:inline>
        </w:drawing>
      </w:r>
    </w:p>
    <w:p w:rsidR="005C3D90" w:rsidRDefault="005C3D90" w:rsidP="00F021DA">
      <w:pPr>
        <w:jc w:val="center"/>
        <w:rPr>
          <w:rStyle w:val="Ttulo1Car"/>
          <w:rFonts w:ascii="Arial" w:hAnsi="Arial" w:cs="Arial"/>
          <w:sz w:val="22"/>
          <w:szCs w:val="22"/>
        </w:rPr>
      </w:pPr>
    </w:p>
    <w:p w:rsidR="005534F5" w:rsidRPr="00104F4B" w:rsidRDefault="004B7ED5" w:rsidP="007F2F5A">
      <w:pPr>
        <w:rPr>
          <w:rStyle w:val="Ttulo1Car"/>
          <w:rFonts w:ascii="Arial" w:hAnsi="Arial" w:cs="Arial"/>
          <w:sz w:val="22"/>
          <w:szCs w:val="22"/>
        </w:rPr>
      </w:pPr>
      <w:bookmarkStart w:id="7" w:name="_Toc536195517"/>
      <w:r w:rsidRPr="00104F4B">
        <w:rPr>
          <w:rStyle w:val="Ttulo1Car"/>
          <w:rFonts w:ascii="Arial" w:hAnsi="Arial" w:cs="Arial"/>
          <w:sz w:val="22"/>
          <w:szCs w:val="22"/>
        </w:rPr>
        <w:t xml:space="preserve">1.3 </w:t>
      </w:r>
      <w:r w:rsidR="00BD7636" w:rsidRPr="00104F4B">
        <w:rPr>
          <w:rStyle w:val="Ttulo1Car"/>
          <w:rFonts w:ascii="Arial" w:hAnsi="Arial" w:cs="Arial"/>
          <w:sz w:val="22"/>
          <w:szCs w:val="22"/>
        </w:rPr>
        <w:t>MODELO DE OPERACIÓN DEL IDU</w:t>
      </w:r>
      <w:bookmarkEnd w:id="6"/>
      <w:bookmarkEnd w:id="7"/>
    </w:p>
    <w:p w:rsidR="00BD7636" w:rsidRPr="00104F4B" w:rsidRDefault="00BD7636" w:rsidP="0006528A">
      <w:pPr>
        <w:rPr>
          <w:rFonts w:cs="Arial"/>
          <w:szCs w:val="22"/>
        </w:rPr>
      </w:pPr>
      <w:r w:rsidRPr="00104F4B">
        <w:rPr>
          <w:rFonts w:cs="Arial"/>
          <w:szCs w:val="22"/>
        </w:rPr>
        <w:t>Con el propósito de asegurar el logro de los propósitos institucionales y facilitar el desarrollo del ciclo de vida de los proyectos misionales, el IDU articuló sus 22 procesos en 4 tipologías, conocidas gráficamente como Mapa de Procesos. En 2015, el modelo de operación fue actualizado por medio de la Resolución 64994 “Por medio de la cual se actualiza el modelo</w:t>
      </w:r>
      <w:r w:rsidRPr="00104F4B">
        <w:rPr>
          <w:rFonts w:cs="Arial"/>
          <w:color w:val="FF0000"/>
          <w:szCs w:val="22"/>
        </w:rPr>
        <w:t xml:space="preserve"> </w:t>
      </w:r>
      <w:r w:rsidRPr="00104F4B">
        <w:rPr>
          <w:rFonts w:cs="Arial"/>
          <w:szCs w:val="22"/>
        </w:rPr>
        <w:t xml:space="preserve">de operación por procesos y el Sistema Integrado de gestión del IDU” (ver </w:t>
      </w:r>
      <w:r w:rsidRPr="00104F4B">
        <w:rPr>
          <w:rFonts w:cs="Arial"/>
          <w:szCs w:val="22"/>
        </w:rPr>
        <w:fldChar w:fldCharType="begin"/>
      </w:r>
      <w:r w:rsidRPr="00104F4B">
        <w:rPr>
          <w:rFonts w:cs="Arial"/>
          <w:szCs w:val="22"/>
        </w:rPr>
        <w:instrText xml:space="preserve"> REF _Ref440362104 \h  \* MERGEFORMAT </w:instrText>
      </w:r>
      <w:r w:rsidRPr="00104F4B">
        <w:rPr>
          <w:rFonts w:cs="Arial"/>
          <w:szCs w:val="22"/>
        </w:rPr>
      </w:r>
      <w:r w:rsidRPr="00104F4B">
        <w:rPr>
          <w:rFonts w:cs="Arial"/>
          <w:szCs w:val="22"/>
        </w:rPr>
        <w:fldChar w:fldCharType="separate"/>
      </w:r>
      <w:r w:rsidR="00881D30" w:rsidRPr="00881D30">
        <w:rPr>
          <w:rFonts w:cs="Arial"/>
          <w:szCs w:val="22"/>
        </w:rPr>
        <w:t>Mapa de procesos 2016</w:t>
      </w:r>
      <w:r w:rsidRPr="00104F4B">
        <w:rPr>
          <w:rFonts w:cs="Arial"/>
          <w:szCs w:val="22"/>
        </w:rPr>
        <w:fldChar w:fldCharType="end"/>
      </w:r>
      <w:r w:rsidRPr="00104F4B">
        <w:rPr>
          <w:rFonts w:cs="Arial"/>
          <w:szCs w:val="22"/>
        </w:rPr>
        <w:t>). El mapa de procesos vigente para el IDU se presenta a continuación:</w:t>
      </w:r>
    </w:p>
    <w:p w:rsidR="00BD7636" w:rsidRPr="00104F4B" w:rsidRDefault="00682334" w:rsidP="00196691">
      <w:pPr>
        <w:jc w:val="center"/>
        <w:rPr>
          <w:rFonts w:cs="Arial"/>
          <w:szCs w:val="22"/>
        </w:rPr>
      </w:pPr>
      <w:r w:rsidRPr="00104F4B">
        <w:rPr>
          <w:rFonts w:cs="Arial"/>
          <w:noProof/>
          <w:szCs w:val="22"/>
          <w:lang w:val="es-CO" w:eastAsia="es-CO"/>
        </w:rPr>
        <w:drawing>
          <wp:inline distT="0" distB="0" distL="0" distR="0">
            <wp:extent cx="4619427" cy="2569644"/>
            <wp:effectExtent l="0" t="0" r="0" b="254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68974" cy="2597206"/>
                    </a:xfrm>
                    <a:prstGeom prst="rect">
                      <a:avLst/>
                    </a:prstGeom>
                    <a:noFill/>
                    <a:ln>
                      <a:noFill/>
                    </a:ln>
                  </pic:spPr>
                </pic:pic>
              </a:graphicData>
            </a:graphic>
          </wp:inline>
        </w:drawing>
      </w:r>
    </w:p>
    <w:p w:rsidR="00BD7636" w:rsidRPr="00104F4B" w:rsidRDefault="00BD7636" w:rsidP="00B71766">
      <w:pPr>
        <w:pStyle w:val="NormalWeb"/>
        <w:spacing w:before="0" w:beforeAutospacing="0" w:after="0" w:afterAutospacing="0"/>
        <w:jc w:val="center"/>
        <w:rPr>
          <w:rFonts w:cs="Arial"/>
          <w:sz w:val="18"/>
          <w:szCs w:val="18"/>
        </w:rPr>
      </w:pPr>
      <w:r w:rsidRPr="00104F4B">
        <w:rPr>
          <w:rFonts w:cs="Arial"/>
          <w:sz w:val="18"/>
          <w:szCs w:val="18"/>
        </w:rPr>
        <w:t xml:space="preserve">Fuente: </w:t>
      </w:r>
      <w:r w:rsidR="00682334" w:rsidRPr="00104F4B">
        <w:rPr>
          <w:rFonts w:cs="Arial"/>
          <w:sz w:val="18"/>
          <w:szCs w:val="18"/>
        </w:rPr>
        <w:t>OAP-</w:t>
      </w:r>
      <w:bookmarkStart w:id="8" w:name="_Ref440362104"/>
      <w:r w:rsidR="00682334" w:rsidRPr="00104F4B">
        <w:rPr>
          <w:rFonts w:cs="Arial"/>
          <w:sz w:val="18"/>
          <w:szCs w:val="18"/>
        </w:rPr>
        <w:t>Mapa de procesos 2016</w:t>
      </w:r>
      <w:bookmarkEnd w:id="8"/>
      <w:r w:rsidR="00682334" w:rsidRPr="00104F4B">
        <w:rPr>
          <w:rFonts w:cs="Arial"/>
          <w:sz w:val="18"/>
          <w:szCs w:val="18"/>
        </w:rPr>
        <w:t xml:space="preserve"> - </w:t>
      </w:r>
      <w:r w:rsidRPr="00104F4B">
        <w:rPr>
          <w:rFonts w:cs="Arial"/>
          <w:sz w:val="18"/>
          <w:szCs w:val="18"/>
        </w:rPr>
        <w:t>Resolución 64944 de 2015.</w:t>
      </w:r>
    </w:p>
    <w:p w:rsidR="00BD7636" w:rsidRPr="00104F4B" w:rsidRDefault="00BD7636" w:rsidP="0006528A">
      <w:pPr>
        <w:rPr>
          <w:rFonts w:cs="Arial"/>
          <w:szCs w:val="22"/>
        </w:rPr>
      </w:pPr>
      <w:r w:rsidRPr="00104F4B">
        <w:rPr>
          <w:rFonts w:cs="Arial"/>
          <w:szCs w:val="22"/>
        </w:rPr>
        <w:lastRenderedPageBreak/>
        <w:t>La Plataforma Estratégica (PG) es una herramienta participativa de alineación, planeación, seguimiento y comunicación del Sistema Integrado. A través de su construcción son especificadas las necesidades, retos y roles de la Entidad sobre las necesidades de ciudad.</w:t>
      </w:r>
      <w:r w:rsidR="006472B4" w:rsidRPr="00104F4B">
        <w:rPr>
          <w:rFonts w:cs="Arial"/>
          <w:szCs w:val="22"/>
        </w:rPr>
        <w:t xml:space="preserve"> </w:t>
      </w:r>
      <w:r w:rsidR="003E09C4" w:rsidRPr="00104F4B">
        <w:rPr>
          <w:rFonts w:cs="Arial"/>
          <w:szCs w:val="22"/>
        </w:rPr>
        <w:t xml:space="preserve">La visión, misión, objetivos, principios de la planeación estratégica institucional fue aprobada por el Comité </w:t>
      </w:r>
      <w:r w:rsidR="006472B4" w:rsidRPr="00104F4B">
        <w:rPr>
          <w:rFonts w:cs="Arial"/>
          <w:szCs w:val="22"/>
        </w:rPr>
        <w:t xml:space="preserve">Directivo </w:t>
      </w:r>
      <w:r w:rsidR="003E09C4" w:rsidRPr="00104F4B">
        <w:rPr>
          <w:rFonts w:cs="Arial"/>
          <w:szCs w:val="22"/>
        </w:rPr>
        <w:t>del 28 de noviembre del 2016, como se muestra a continuación:</w:t>
      </w:r>
    </w:p>
    <w:p w:rsidR="005C5A2B" w:rsidRPr="00104F4B" w:rsidRDefault="005C5A2B" w:rsidP="002625A5">
      <w:pPr>
        <w:pStyle w:val="Prrafodelista"/>
        <w:numPr>
          <w:ilvl w:val="0"/>
          <w:numId w:val="21"/>
        </w:numPr>
        <w:rPr>
          <w:rFonts w:ascii="Arial" w:hAnsi="Arial" w:cs="Arial"/>
        </w:rPr>
      </w:pPr>
      <w:bookmarkStart w:id="9" w:name="_Toc472944027"/>
      <w:r w:rsidRPr="00104F4B">
        <w:rPr>
          <w:rFonts w:ascii="Arial" w:hAnsi="Arial" w:cs="Arial"/>
          <w:b/>
          <w:bCs/>
        </w:rPr>
        <w:t>Propósito Central (Misión)</w:t>
      </w:r>
    </w:p>
    <w:p w:rsidR="005C5A2B" w:rsidRPr="00104F4B" w:rsidRDefault="005C5A2B" w:rsidP="005C5A2B">
      <w:pPr>
        <w:rPr>
          <w:rFonts w:cs="Arial"/>
          <w:szCs w:val="22"/>
        </w:rPr>
      </w:pPr>
      <w:r w:rsidRPr="00104F4B">
        <w:rPr>
          <w:rFonts w:cs="Arial"/>
          <w:szCs w:val="22"/>
        </w:rPr>
        <w:t>Generar bienestar en los habitantes de la ciudad mejorando la calidad de vida, mediante el desarrollo de infraestructura para la movilidad, contribuyendo a la construcción de una ciudad incluyente, sostenible y moderna.</w:t>
      </w:r>
    </w:p>
    <w:p w:rsidR="00E1723E" w:rsidRPr="00104F4B" w:rsidRDefault="00E1723E" w:rsidP="002625A5">
      <w:pPr>
        <w:pStyle w:val="Prrafodelista"/>
        <w:numPr>
          <w:ilvl w:val="0"/>
          <w:numId w:val="21"/>
        </w:numPr>
        <w:rPr>
          <w:rFonts w:ascii="Arial" w:hAnsi="Arial" w:cs="Arial"/>
          <w:b/>
        </w:rPr>
      </w:pPr>
      <w:r w:rsidRPr="00104F4B">
        <w:rPr>
          <w:rFonts w:ascii="Arial" w:hAnsi="Arial" w:cs="Arial"/>
          <w:b/>
        </w:rPr>
        <w:t>Visión:</w:t>
      </w:r>
    </w:p>
    <w:p w:rsidR="00E1723E" w:rsidRPr="00104F4B" w:rsidRDefault="005C5A2B" w:rsidP="002625A5">
      <w:pPr>
        <w:pStyle w:val="Prrafodelista"/>
        <w:numPr>
          <w:ilvl w:val="0"/>
          <w:numId w:val="21"/>
        </w:numPr>
        <w:rPr>
          <w:rFonts w:ascii="Arial" w:hAnsi="Arial" w:cs="Arial"/>
        </w:rPr>
      </w:pPr>
      <w:r w:rsidRPr="00104F4B">
        <w:rPr>
          <w:rFonts w:ascii="Arial" w:hAnsi="Arial" w:cs="Arial"/>
          <w:b/>
        </w:rPr>
        <w:t xml:space="preserve">Objetivo retador </w:t>
      </w:r>
    </w:p>
    <w:p w:rsidR="005C5A2B" w:rsidRPr="00104F4B" w:rsidRDefault="005C5A2B" w:rsidP="00E1723E">
      <w:pPr>
        <w:rPr>
          <w:rFonts w:cs="Arial"/>
          <w:szCs w:val="22"/>
        </w:rPr>
      </w:pPr>
      <w:r w:rsidRPr="00104F4B">
        <w:rPr>
          <w:rFonts w:cs="Arial"/>
          <w:szCs w:val="22"/>
        </w:rPr>
        <w:t>En el 2027 el IDU será la Entidad líder en Colombia en la planeación y desarrollo de infraestructura urbana, con credibilidad y reconocimiento en América Latina por su gestión para el desarrollo urbano de Bogotá D.C.</w:t>
      </w:r>
    </w:p>
    <w:p w:rsidR="005C5A2B" w:rsidRPr="00104F4B" w:rsidRDefault="005C5A2B" w:rsidP="002625A5">
      <w:pPr>
        <w:pStyle w:val="Prrafodelista"/>
        <w:numPr>
          <w:ilvl w:val="0"/>
          <w:numId w:val="21"/>
        </w:numPr>
        <w:rPr>
          <w:rFonts w:ascii="Arial" w:hAnsi="Arial" w:cs="Arial"/>
          <w:b/>
        </w:rPr>
      </w:pPr>
      <w:r w:rsidRPr="00104F4B">
        <w:rPr>
          <w:rFonts w:ascii="Arial" w:hAnsi="Arial" w:cs="Arial"/>
          <w:b/>
        </w:rPr>
        <w:t>Valores</w:t>
      </w:r>
    </w:p>
    <w:p w:rsidR="005C5A2B" w:rsidRPr="00104F4B" w:rsidRDefault="00D67573" w:rsidP="005C5A2B">
      <w:pPr>
        <w:jc w:val="center"/>
        <w:rPr>
          <w:rFonts w:cs="Arial"/>
          <w:color w:val="FF0000"/>
          <w:szCs w:val="22"/>
        </w:rPr>
      </w:pPr>
      <w:r w:rsidRPr="00104F4B">
        <w:rPr>
          <w:rFonts w:cs="Arial"/>
          <w:noProof/>
          <w:color w:val="FF0000"/>
          <w:szCs w:val="22"/>
          <w:lang w:val="es-CO" w:eastAsia="es-CO"/>
        </w:rPr>
        <w:drawing>
          <wp:inline distT="0" distB="0" distL="0" distR="0" wp14:anchorId="01AC86FF" wp14:editId="52C3A3F3">
            <wp:extent cx="3721210" cy="2481678"/>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743384" cy="2496466"/>
                    </a:xfrm>
                    <a:prstGeom prst="rect">
                      <a:avLst/>
                    </a:prstGeom>
                    <a:noFill/>
                  </pic:spPr>
                </pic:pic>
              </a:graphicData>
            </a:graphic>
          </wp:inline>
        </w:drawing>
      </w:r>
    </w:p>
    <w:p w:rsidR="005C5A2B" w:rsidRPr="00104F4B" w:rsidRDefault="005C5A2B" w:rsidP="002625A5">
      <w:pPr>
        <w:pStyle w:val="Prrafodelista"/>
        <w:numPr>
          <w:ilvl w:val="0"/>
          <w:numId w:val="21"/>
        </w:numPr>
        <w:rPr>
          <w:rFonts w:ascii="Arial" w:hAnsi="Arial" w:cs="Arial"/>
          <w:b/>
        </w:rPr>
      </w:pPr>
      <w:r w:rsidRPr="00104F4B">
        <w:rPr>
          <w:rFonts w:ascii="Arial" w:hAnsi="Arial" w:cs="Arial"/>
          <w:b/>
        </w:rPr>
        <w:t>Objetivos</w:t>
      </w:r>
    </w:p>
    <w:p w:rsidR="00D67573" w:rsidRPr="00104F4B" w:rsidRDefault="00D67573" w:rsidP="00D67573">
      <w:pPr>
        <w:pStyle w:val="Prrafodelista"/>
        <w:rPr>
          <w:rFonts w:ascii="Arial" w:hAnsi="Arial" w:cs="Arial"/>
          <w:b/>
        </w:rPr>
      </w:pPr>
    </w:p>
    <w:p w:rsidR="005C5A2B" w:rsidRPr="00104F4B" w:rsidRDefault="005C5A2B" w:rsidP="0091299B">
      <w:pPr>
        <w:pStyle w:val="Prrafodelista"/>
        <w:numPr>
          <w:ilvl w:val="0"/>
          <w:numId w:val="27"/>
        </w:numPr>
        <w:spacing w:before="0" w:after="200"/>
        <w:ind w:left="714" w:hanging="357"/>
        <w:contextualSpacing/>
        <w:rPr>
          <w:rFonts w:ascii="Arial" w:hAnsi="Arial" w:cs="Arial"/>
        </w:rPr>
      </w:pPr>
      <w:r w:rsidRPr="00104F4B">
        <w:rPr>
          <w:rFonts w:ascii="Arial" w:hAnsi="Arial" w:cs="Arial"/>
        </w:rPr>
        <w:t>Contribuir en el mejoramiento de la calidad de vida de los habitantes de la ciudad, respondiendo a las necesidades de la ciudad, mediante la estructuración y desarrollo de proyectos integrales de infraestructura para la movilidad y espacio público.</w:t>
      </w:r>
    </w:p>
    <w:p w:rsidR="005C5A2B" w:rsidRPr="00104F4B" w:rsidRDefault="005C5A2B" w:rsidP="0091299B">
      <w:pPr>
        <w:pStyle w:val="Prrafodelista"/>
        <w:numPr>
          <w:ilvl w:val="0"/>
          <w:numId w:val="27"/>
        </w:numPr>
        <w:spacing w:before="0" w:after="200"/>
        <w:ind w:left="714" w:hanging="357"/>
        <w:contextualSpacing/>
        <w:rPr>
          <w:rFonts w:ascii="Arial" w:hAnsi="Arial" w:cs="Arial"/>
        </w:rPr>
      </w:pPr>
      <w:r w:rsidRPr="00104F4B">
        <w:rPr>
          <w:rFonts w:ascii="Arial" w:hAnsi="Arial" w:cs="Arial"/>
        </w:rPr>
        <w:t>Mejorar la gestión de los proyectos, incorporando la gerencia integral en todas las fases del ciclo de vida de los proyectos ejecutados por el IDU.</w:t>
      </w:r>
    </w:p>
    <w:p w:rsidR="005C5A2B" w:rsidRPr="00104F4B" w:rsidRDefault="005C5A2B" w:rsidP="0091299B">
      <w:pPr>
        <w:pStyle w:val="Prrafodelista"/>
        <w:numPr>
          <w:ilvl w:val="0"/>
          <w:numId w:val="27"/>
        </w:numPr>
        <w:spacing w:before="0"/>
        <w:ind w:left="714" w:hanging="357"/>
        <w:contextualSpacing/>
        <w:rPr>
          <w:rFonts w:ascii="Arial" w:hAnsi="Arial" w:cs="Arial"/>
        </w:rPr>
      </w:pPr>
      <w:r w:rsidRPr="00104F4B">
        <w:rPr>
          <w:rFonts w:ascii="Arial" w:hAnsi="Arial" w:cs="Arial"/>
        </w:rPr>
        <w:t>Formular y concretar proyectos de infraestructura pública mediante el esquema de Asociaciones Público Privadas</w:t>
      </w:r>
    </w:p>
    <w:p w:rsidR="005C5A2B" w:rsidRPr="00104F4B" w:rsidRDefault="005C5A2B" w:rsidP="0091299B">
      <w:pPr>
        <w:pStyle w:val="Prrafodelista"/>
        <w:numPr>
          <w:ilvl w:val="0"/>
          <w:numId w:val="27"/>
        </w:numPr>
        <w:spacing w:before="0" w:after="200"/>
        <w:ind w:left="714" w:hanging="357"/>
        <w:contextualSpacing/>
        <w:rPr>
          <w:rFonts w:ascii="Arial" w:hAnsi="Arial" w:cs="Arial"/>
        </w:rPr>
      </w:pPr>
      <w:r w:rsidRPr="00104F4B">
        <w:rPr>
          <w:rFonts w:ascii="Arial" w:hAnsi="Arial" w:cs="Arial"/>
        </w:rPr>
        <w:t>Lograr la apropiación, por parte de los ciudadanos, de la infraestructura  para la movilidad, implementando estrategias de gestión social.</w:t>
      </w:r>
    </w:p>
    <w:p w:rsidR="005C5A2B" w:rsidRPr="00104F4B" w:rsidRDefault="005C5A2B" w:rsidP="0091299B">
      <w:pPr>
        <w:pStyle w:val="Prrafodelista"/>
        <w:numPr>
          <w:ilvl w:val="0"/>
          <w:numId w:val="27"/>
        </w:numPr>
        <w:spacing w:before="0" w:after="200"/>
        <w:ind w:left="714" w:hanging="357"/>
        <w:contextualSpacing/>
        <w:rPr>
          <w:rFonts w:ascii="Arial" w:hAnsi="Arial" w:cs="Arial"/>
        </w:rPr>
      </w:pPr>
      <w:r w:rsidRPr="00104F4B">
        <w:rPr>
          <w:rFonts w:ascii="Arial" w:hAnsi="Arial" w:cs="Arial"/>
        </w:rPr>
        <w:t>Implementar nuevas prácticas en los procesos internos del IDU y en los proyectos de infraestructura que ejecute</w:t>
      </w:r>
    </w:p>
    <w:p w:rsidR="005C5A2B" w:rsidRPr="00104F4B" w:rsidRDefault="005C5A2B" w:rsidP="0091299B">
      <w:pPr>
        <w:pStyle w:val="Prrafodelista"/>
        <w:numPr>
          <w:ilvl w:val="0"/>
          <w:numId w:val="27"/>
        </w:numPr>
        <w:spacing w:before="0" w:after="200"/>
        <w:ind w:left="714" w:hanging="357"/>
        <w:contextualSpacing/>
        <w:rPr>
          <w:rFonts w:ascii="Arial" w:hAnsi="Arial" w:cs="Arial"/>
        </w:rPr>
      </w:pPr>
      <w:r w:rsidRPr="00104F4B">
        <w:rPr>
          <w:rFonts w:ascii="Arial" w:hAnsi="Arial" w:cs="Arial"/>
        </w:rPr>
        <w:lastRenderedPageBreak/>
        <w:t>Alinear la estructura, los procesos, el talento humano y la cultura del IDU hacia el logro de las metas planteadas para los próximos 12 años.</w:t>
      </w:r>
    </w:p>
    <w:p w:rsidR="00F270D6" w:rsidRPr="00104F4B" w:rsidRDefault="00F270D6" w:rsidP="00F270D6">
      <w:pPr>
        <w:spacing w:before="0" w:after="200" w:line="276" w:lineRule="auto"/>
        <w:contextualSpacing/>
        <w:rPr>
          <w:rFonts w:cs="Arial"/>
          <w:szCs w:val="22"/>
        </w:rPr>
      </w:pPr>
    </w:p>
    <w:p w:rsidR="00F270D6" w:rsidRPr="00104F4B" w:rsidRDefault="00F270D6" w:rsidP="00F270D6">
      <w:pPr>
        <w:spacing w:before="0" w:after="200" w:line="276" w:lineRule="auto"/>
        <w:contextualSpacing/>
        <w:rPr>
          <w:rFonts w:cs="Arial"/>
          <w:szCs w:val="22"/>
        </w:rPr>
      </w:pPr>
    </w:p>
    <w:p w:rsidR="00F270D6" w:rsidRPr="00104F4B" w:rsidRDefault="00F270D6" w:rsidP="00F270D6">
      <w:pPr>
        <w:spacing w:before="0" w:after="200" w:line="276" w:lineRule="auto"/>
        <w:contextualSpacing/>
        <w:rPr>
          <w:rFonts w:cs="Arial"/>
          <w:szCs w:val="22"/>
        </w:rPr>
      </w:pPr>
    </w:p>
    <w:p w:rsidR="00D974FF" w:rsidRPr="00104F4B" w:rsidRDefault="00D974FF" w:rsidP="00F270D6">
      <w:pPr>
        <w:spacing w:before="0" w:after="200" w:line="276" w:lineRule="auto"/>
        <w:contextualSpacing/>
        <w:rPr>
          <w:rFonts w:cs="Arial"/>
          <w:szCs w:val="22"/>
        </w:rPr>
      </w:pPr>
    </w:p>
    <w:p w:rsidR="00D974FF" w:rsidRPr="00104F4B" w:rsidRDefault="00D974FF" w:rsidP="00F270D6">
      <w:pPr>
        <w:spacing w:before="0" w:after="200" w:line="276" w:lineRule="auto"/>
        <w:contextualSpacing/>
        <w:rPr>
          <w:rFonts w:cs="Arial"/>
          <w:szCs w:val="22"/>
        </w:rPr>
      </w:pPr>
    </w:p>
    <w:p w:rsidR="00F021DA" w:rsidRPr="00104F4B" w:rsidRDefault="00F021DA" w:rsidP="00F270D6">
      <w:pPr>
        <w:spacing w:before="0" w:after="200" w:line="276" w:lineRule="auto"/>
        <w:contextualSpacing/>
        <w:rPr>
          <w:rFonts w:cs="Arial"/>
          <w:szCs w:val="22"/>
        </w:rPr>
      </w:pPr>
    </w:p>
    <w:p w:rsidR="00F021DA" w:rsidRPr="00104F4B" w:rsidRDefault="00F021DA" w:rsidP="00F270D6">
      <w:pPr>
        <w:spacing w:before="0" w:after="200" w:line="276" w:lineRule="auto"/>
        <w:contextualSpacing/>
        <w:rPr>
          <w:rFonts w:cs="Arial"/>
          <w:szCs w:val="22"/>
        </w:rPr>
      </w:pPr>
    </w:p>
    <w:p w:rsidR="00F021DA" w:rsidRPr="00104F4B" w:rsidRDefault="00F021DA" w:rsidP="00F270D6">
      <w:pPr>
        <w:spacing w:before="0" w:after="200" w:line="276" w:lineRule="auto"/>
        <w:contextualSpacing/>
        <w:rPr>
          <w:rFonts w:cs="Arial"/>
          <w:szCs w:val="22"/>
        </w:rPr>
      </w:pPr>
    </w:p>
    <w:p w:rsidR="00F021DA" w:rsidRPr="00104F4B" w:rsidRDefault="00F021DA" w:rsidP="00F270D6">
      <w:pPr>
        <w:spacing w:before="0" w:after="200" w:line="276" w:lineRule="auto"/>
        <w:contextualSpacing/>
        <w:rPr>
          <w:rFonts w:cs="Arial"/>
          <w:szCs w:val="22"/>
        </w:rPr>
      </w:pPr>
    </w:p>
    <w:p w:rsidR="00F021DA" w:rsidRPr="00104F4B" w:rsidRDefault="00F021DA" w:rsidP="00F270D6">
      <w:pPr>
        <w:spacing w:before="0" w:after="200" w:line="276" w:lineRule="auto"/>
        <w:contextualSpacing/>
        <w:rPr>
          <w:rFonts w:cs="Arial"/>
          <w:szCs w:val="22"/>
        </w:rPr>
      </w:pPr>
    </w:p>
    <w:p w:rsidR="00F021DA" w:rsidRPr="00104F4B" w:rsidRDefault="00F021DA" w:rsidP="00F270D6">
      <w:pPr>
        <w:spacing w:before="0" w:after="200" w:line="276" w:lineRule="auto"/>
        <w:contextualSpacing/>
        <w:rPr>
          <w:rFonts w:cs="Arial"/>
          <w:szCs w:val="22"/>
        </w:rPr>
      </w:pPr>
    </w:p>
    <w:p w:rsidR="00F021DA" w:rsidRPr="00104F4B" w:rsidRDefault="00F021DA" w:rsidP="00F270D6">
      <w:pPr>
        <w:spacing w:before="0" w:after="200" w:line="276" w:lineRule="auto"/>
        <w:contextualSpacing/>
        <w:rPr>
          <w:rFonts w:cs="Arial"/>
          <w:szCs w:val="22"/>
        </w:rPr>
      </w:pPr>
    </w:p>
    <w:p w:rsidR="00F021DA" w:rsidRPr="00104F4B" w:rsidRDefault="00F021DA" w:rsidP="00F270D6">
      <w:pPr>
        <w:spacing w:before="0" w:after="200" w:line="276" w:lineRule="auto"/>
        <w:contextualSpacing/>
        <w:rPr>
          <w:rFonts w:cs="Arial"/>
          <w:szCs w:val="22"/>
        </w:rPr>
      </w:pPr>
    </w:p>
    <w:p w:rsidR="00F021DA" w:rsidRPr="00104F4B" w:rsidRDefault="00F021DA" w:rsidP="00F270D6">
      <w:pPr>
        <w:spacing w:before="0" w:after="200" w:line="276" w:lineRule="auto"/>
        <w:contextualSpacing/>
        <w:rPr>
          <w:rFonts w:cs="Arial"/>
          <w:szCs w:val="22"/>
        </w:rPr>
      </w:pPr>
    </w:p>
    <w:p w:rsidR="00F021DA" w:rsidRPr="00104F4B" w:rsidRDefault="00F021DA" w:rsidP="00F270D6">
      <w:pPr>
        <w:spacing w:before="0" w:after="200" w:line="276" w:lineRule="auto"/>
        <w:contextualSpacing/>
        <w:rPr>
          <w:rFonts w:cs="Arial"/>
          <w:szCs w:val="22"/>
        </w:rPr>
      </w:pPr>
    </w:p>
    <w:p w:rsidR="00F021DA" w:rsidRPr="00104F4B" w:rsidRDefault="00F021DA" w:rsidP="00F270D6">
      <w:pPr>
        <w:spacing w:before="0" w:after="200" w:line="276" w:lineRule="auto"/>
        <w:contextualSpacing/>
        <w:rPr>
          <w:rFonts w:cs="Arial"/>
          <w:szCs w:val="22"/>
        </w:rPr>
      </w:pPr>
    </w:p>
    <w:p w:rsidR="00F021DA" w:rsidRPr="00104F4B" w:rsidRDefault="00F021DA" w:rsidP="00F270D6">
      <w:pPr>
        <w:spacing w:before="0" w:after="200" w:line="276" w:lineRule="auto"/>
        <w:contextualSpacing/>
        <w:rPr>
          <w:rFonts w:cs="Arial"/>
          <w:szCs w:val="22"/>
        </w:rPr>
      </w:pPr>
    </w:p>
    <w:p w:rsidR="00F021DA" w:rsidRPr="00104F4B" w:rsidRDefault="00F021DA" w:rsidP="00F270D6">
      <w:pPr>
        <w:spacing w:before="0" w:after="200" w:line="276" w:lineRule="auto"/>
        <w:contextualSpacing/>
        <w:rPr>
          <w:rFonts w:cs="Arial"/>
          <w:szCs w:val="22"/>
        </w:rPr>
      </w:pPr>
    </w:p>
    <w:p w:rsidR="00F021DA" w:rsidRPr="00104F4B" w:rsidRDefault="00F021DA" w:rsidP="00F270D6">
      <w:pPr>
        <w:spacing w:before="0" w:after="200" w:line="276" w:lineRule="auto"/>
        <w:contextualSpacing/>
        <w:rPr>
          <w:rFonts w:cs="Arial"/>
          <w:szCs w:val="22"/>
        </w:rPr>
      </w:pPr>
    </w:p>
    <w:p w:rsidR="00F021DA" w:rsidRPr="00104F4B" w:rsidRDefault="00F021DA" w:rsidP="00F270D6">
      <w:pPr>
        <w:spacing w:before="0" w:after="200" w:line="276" w:lineRule="auto"/>
        <w:contextualSpacing/>
        <w:rPr>
          <w:rFonts w:cs="Arial"/>
          <w:szCs w:val="22"/>
        </w:rPr>
      </w:pPr>
    </w:p>
    <w:p w:rsidR="00F021DA" w:rsidRPr="00104F4B" w:rsidRDefault="00F021DA" w:rsidP="00F270D6">
      <w:pPr>
        <w:spacing w:before="0" w:after="200" w:line="276" w:lineRule="auto"/>
        <w:contextualSpacing/>
        <w:rPr>
          <w:rFonts w:cs="Arial"/>
          <w:szCs w:val="22"/>
        </w:rPr>
      </w:pPr>
    </w:p>
    <w:p w:rsidR="00F021DA" w:rsidRPr="00104F4B" w:rsidRDefault="00F021DA" w:rsidP="00F270D6">
      <w:pPr>
        <w:spacing w:before="0" w:after="200" w:line="276" w:lineRule="auto"/>
        <w:contextualSpacing/>
        <w:rPr>
          <w:rFonts w:cs="Arial"/>
          <w:szCs w:val="22"/>
        </w:rPr>
      </w:pPr>
    </w:p>
    <w:p w:rsidR="00F021DA" w:rsidRPr="00104F4B" w:rsidRDefault="00F021DA" w:rsidP="00F270D6">
      <w:pPr>
        <w:spacing w:before="0" w:after="200" w:line="276" w:lineRule="auto"/>
        <w:contextualSpacing/>
        <w:rPr>
          <w:rFonts w:cs="Arial"/>
          <w:szCs w:val="22"/>
        </w:rPr>
      </w:pPr>
    </w:p>
    <w:p w:rsidR="00F021DA" w:rsidRPr="00104F4B" w:rsidRDefault="00F021DA" w:rsidP="00F270D6">
      <w:pPr>
        <w:spacing w:before="0" w:after="200" w:line="276" w:lineRule="auto"/>
        <w:contextualSpacing/>
        <w:rPr>
          <w:rFonts w:cs="Arial"/>
          <w:szCs w:val="22"/>
        </w:rPr>
      </w:pPr>
    </w:p>
    <w:p w:rsidR="00F021DA" w:rsidRPr="00104F4B" w:rsidRDefault="00F021DA" w:rsidP="00F270D6">
      <w:pPr>
        <w:spacing w:before="0" w:after="200" w:line="276" w:lineRule="auto"/>
        <w:contextualSpacing/>
        <w:rPr>
          <w:rFonts w:cs="Arial"/>
          <w:szCs w:val="22"/>
        </w:rPr>
      </w:pPr>
    </w:p>
    <w:p w:rsidR="00F021DA" w:rsidRPr="00104F4B" w:rsidRDefault="00F021DA" w:rsidP="00F270D6">
      <w:pPr>
        <w:spacing w:before="0" w:after="200" w:line="276" w:lineRule="auto"/>
        <w:contextualSpacing/>
        <w:rPr>
          <w:rFonts w:cs="Arial"/>
          <w:szCs w:val="22"/>
        </w:rPr>
      </w:pPr>
    </w:p>
    <w:p w:rsidR="00F021DA" w:rsidRPr="00104F4B" w:rsidRDefault="00F021DA" w:rsidP="00F270D6">
      <w:pPr>
        <w:spacing w:before="0" w:after="200" w:line="276" w:lineRule="auto"/>
        <w:contextualSpacing/>
        <w:rPr>
          <w:rFonts w:cs="Arial"/>
          <w:szCs w:val="22"/>
        </w:rPr>
      </w:pPr>
    </w:p>
    <w:p w:rsidR="00D974FF" w:rsidRPr="00104F4B" w:rsidRDefault="00D974FF" w:rsidP="00F270D6">
      <w:pPr>
        <w:spacing w:before="0" w:after="200" w:line="276" w:lineRule="auto"/>
        <w:contextualSpacing/>
        <w:rPr>
          <w:rFonts w:cs="Arial"/>
          <w:szCs w:val="22"/>
        </w:rPr>
      </w:pPr>
    </w:p>
    <w:p w:rsidR="00D974FF" w:rsidRPr="00104F4B" w:rsidRDefault="00D974FF" w:rsidP="00F270D6">
      <w:pPr>
        <w:spacing w:before="0" w:after="200" w:line="276" w:lineRule="auto"/>
        <w:contextualSpacing/>
        <w:rPr>
          <w:rFonts w:cs="Arial"/>
          <w:szCs w:val="22"/>
        </w:rPr>
      </w:pPr>
    </w:p>
    <w:p w:rsidR="00D974FF" w:rsidRPr="00104F4B" w:rsidRDefault="00D974FF" w:rsidP="00F270D6">
      <w:pPr>
        <w:spacing w:before="0" w:after="200" w:line="276" w:lineRule="auto"/>
        <w:contextualSpacing/>
        <w:rPr>
          <w:rFonts w:cs="Arial"/>
          <w:szCs w:val="22"/>
        </w:rPr>
      </w:pPr>
    </w:p>
    <w:p w:rsidR="00D974FF" w:rsidRDefault="00D974FF" w:rsidP="00F270D6">
      <w:pPr>
        <w:spacing w:before="0" w:after="200" w:line="276" w:lineRule="auto"/>
        <w:contextualSpacing/>
        <w:rPr>
          <w:rFonts w:cs="Arial"/>
          <w:szCs w:val="22"/>
        </w:rPr>
      </w:pPr>
    </w:p>
    <w:p w:rsidR="005C3D90" w:rsidRDefault="005C3D90" w:rsidP="00F270D6">
      <w:pPr>
        <w:spacing w:before="0" w:after="200" w:line="276" w:lineRule="auto"/>
        <w:contextualSpacing/>
        <w:rPr>
          <w:rFonts w:cs="Arial"/>
          <w:szCs w:val="22"/>
        </w:rPr>
      </w:pPr>
    </w:p>
    <w:p w:rsidR="005C3D90" w:rsidRDefault="005C3D90" w:rsidP="00F270D6">
      <w:pPr>
        <w:spacing w:before="0" w:after="200" w:line="276" w:lineRule="auto"/>
        <w:contextualSpacing/>
        <w:rPr>
          <w:rFonts w:cs="Arial"/>
          <w:szCs w:val="22"/>
        </w:rPr>
      </w:pPr>
    </w:p>
    <w:p w:rsidR="005C3D90" w:rsidRDefault="005C3D90" w:rsidP="00F270D6">
      <w:pPr>
        <w:spacing w:before="0" w:after="200" w:line="276" w:lineRule="auto"/>
        <w:contextualSpacing/>
        <w:rPr>
          <w:rFonts w:cs="Arial"/>
          <w:szCs w:val="22"/>
        </w:rPr>
      </w:pPr>
    </w:p>
    <w:p w:rsidR="005C3D90" w:rsidRPr="00104F4B" w:rsidRDefault="005C3D90" w:rsidP="00F270D6">
      <w:pPr>
        <w:spacing w:before="0" w:after="200" w:line="276" w:lineRule="auto"/>
        <w:contextualSpacing/>
        <w:rPr>
          <w:rFonts w:cs="Arial"/>
          <w:szCs w:val="22"/>
        </w:rPr>
      </w:pPr>
    </w:p>
    <w:p w:rsidR="00D974FF" w:rsidRPr="00104F4B" w:rsidRDefault="00D974FF" w:rsidP="00F270D6">
      <w:pPr>
        <w:spacing w:before="0" w:after="200" w:line="276" w:lineRule="auto"/>
        <w:contextualSpacing/>
        <w:rPr>
          <w:rFonts w:cs="Arial"/>
          <w:szCs w:val="22"/>
        </w:rPr>
      </w:pPr>
    </w:p>
    <w:p w:rsidR="00D974FF" w:rsidRPr="00104F4B" w:rsidRDefault="00D974FF" w:rsidP="00F270D6">
      <w:pPr>
        <w:spacing w:before="0" w:after="200" w:line="276" w:lineRule="auto"/>
        <w:contextualSpacing/>
        <w:rPr>
          <w:rFonts w:cs="Arial"/>
          <w:szCs w:val="22"/>
        </w:rPr>
      </w:pPr>
    </w:p>
    <w:p w:rsidR="00D974FF" w:rsidRDefault="00D974FF" w:rsidP="00F270D6">
      <w:pPr>
        <w:spacing w:before="0" w:after="200" w:line="276" w:lineRule="auto"/>
        <w:contextualSpacing/>
        <w:rPr>
          <w:rFonts w:cs="Arial"/>
          <w:szCs w:val="22"/>
        </w:rPr>
      </w:pPr>
    </w:p>
    <w:p w:rsidR="005C3D90" w:rsidRDefault="005C3D90" w:rsidP="00F270D6">
      <w:pPr>
        <w:spacing w:before="0" w:after="200" w:line="276" w:lineRule="auto"/>
        <w:contextualSpacing/>
        <w:rPr>
          <w:rFonts w:cs="Arial"/>
          <w:szCs w:val="22"/>
        </w:rPr>
      </w:pPr>
    </w:p>
    <w:p w:rsidR="005C3D90" w:rsidRDefault="005C3D90" w:rsidP="00F270D6">
      <w:pPr>
        <w:spacing w:before="0" w:after="200" w:line="276" w:lineRule="auto"/>
        <w:contextualSpacing/>
        <w:rPr>
          <w:rFonts w:cs="Arial"/>
          <w:szCs w:val="22"/>
        </w:rPr>
      </w:pPr>
    </w:p>
    <w:p w:rsidR="005C3D90" w:rsidRPr="00104F4B" w:rsidRDefault="005C3D90" w:rsidP="00F270D6">
      <w:pPr>
        <w:spacing w:before="0" w:after="200" w:line="276" w:lineRule="auto"/>
        <w:contextualSpacing/>
        <w:rPr>
          <w:rFonts w:cs="Arial"/>
          <w:szCs w:val="22"/>
        </w:rPr>
      </w:pPr>
    </w:p>
    <w:p w:rsidR="00187416" w:rsidRPr="00104F4B" w:rsidRDefault="00F64FA4" w:rsidP="00187416">
      <w:pPr>
        <w:pStyle w:val="Ttulo1"/>
        <w:spacing w:after="120"/>
        <w:jc w:val="center"/>
        <w:rPr>
          <w:rFonts w:ascii="Arial" w:hAnsi="Arial" w:cs="Arial"/>
          <w:sz w:val="22"/>
          <w:szCs w:val="22"/>
        </w:rPr>
      </w:pPr>
      <w:bookmarkStart w:id="10" w:name="_Toc536195518"/>
      <w:r w:rsidRPr="00104F4B">
        <w:rPr>
          <w:rFonts w:ascii="Arial" w:hAnsi="Arial" w:cs="Arial"/>
          <w:sz w:val="22"/>
          <w:szCs w:val="22"/>
        </w:rPr>
        <w:t>C</w:t>
      </w:r>
      <w:r w:rsidR="00E34588" w:rsidRPr="00104F4B">
        <w:rPr>
          <w:rFonts w:ascii="Arial" w:hAnsi="Arial" w:cs="Arial"/>
          <w:sz w:val="22"/>
          <w:szCs w:val="22"/>
        </w:rPr>
        <w:t xml:space="preserve">APITULO </w:t>
      </w:r>
      <w:r w:rsidR="00485906" w:rsidRPr="00104F4B">
        <w:rPr>
          <w:rFonts w:ascii="Arial" w:hAnsi="Arial" w:cs="Arial"/>
          <w:sz w:val="22"/>
          <w:szCs w:val="22"/>
        </w:rPr>
        <w:t>2</w:t>
      </w:r>
      <w:r w:rsidR="00187416" w:rsidRPr="00104F4B">
        <w:rPr>
          <w:rFonts w:ascii="Arial" w:hAnsi="Arial" w:cs="Arial"/>
          <w:sz w:val="22"/>
          <w:szCs w:val="22"/>
        </w:rPr>
        <w:t xml:space="preserve">. </w:t>
      </w:r>
      <w:r w:rsidR="006D0752" w:rsidRPr="00104F4B">
        <w:rPr>
          <w:rFonts w:ascii="Arial" w:hAnsi="Arial" w:cs="Arial"/>
          <w:sz w:val="22"/>
          <w:szCs w:val="22"/>
        </w:rPr>
        <w:t>GESTIÓN PRESUPUESTAL</w:t>
      </w:r>
      <w:bookmarkEnd w:id="9"/>
      <w:bookmarkEnd w:id="10"/>
      <w:r w:rsidR="006D0752" w:rsidRPr="00104F4B">
        <w:rPr>
          <w:rFonts w:ascii="Arial" w:hAnsi="Arial" w:cs="Arial"/>
          <w:sz w:val="22"/>
          <w:szCs w:val="22"/>
        </w:rPr>
        <w:t xml:space="preserve"> </w:t>
      </w:r>
    </w:p>
    <w:p w:rsidR="00B6286B" w:rsidRPr="00104F4B" w:rsidRDefault="00B6286B" w:rsidP="00B6286B">
      <w:pPr>
        <w:rPr>
          <w:rFonts w:cs="Arial"/>
          <w:szCs w:val="22"/>
        </w:rPr>
      </w:pPr>
      <w:r w:rsidRPr="00104F4B">
        <w:rPr>
          <w:rFonts w:cs="Arial"/>
          <w:szCs w:val="22"/>
        </w:rPr>
        <w:t>A continuación se presenta en resumen la ejecución presupuestal para la vigencia 201</w:t>
      </w:r>
      <w:r w:rsidR="005F4B5B">
        <w:rPr>
          <w:rFonts w:cs="Arial"/>
          <w:szCs w:val="22"/>
        </w:rPr>
        <w:t>8</w:t>
      </w:r>
      <w:r w:rsidRPr="00104F4B">
        <w:rPr>
          <w:rFonts w:cs="Arial"/>
          <w:szCs w:val="22"/>
        </w:rPr>
        <w:t>, representada en los diferentes rubros que maneja la Entidad:</w:t>
      </w:r>
    </w:p>
    <w:p w:rsidR="003A6E45" w:rsidRPr="00104F4B" w:rsidRDefault="003A6E45" w:rsidP="00B6286B">
      <w:pPr>
        <w:rPr>
          <w:rFonts w:cs="Arial"/>
          <w:szCs w:val="22"/>
        </w:rPr>
      </w:pPr>
    </w:p>
    <w:p w:rsidR="00B6286B" w:rsidRPr="00104F4B" w:rsidRDefault="009C7C7D" w:rsidP="00B6286B">
      <w:pPr>
        <w:jc w:val="center"/>
        <w:rPr>
          <w:rFonts w:cs="Arial"/>
          <w:szCs w:val="22"/>
          <w:lang w:val="es-CO"/>
        </w:rPr>
      </w:pPr>
      <w:r w:rsidRPr="00104F4B">
        <w:rPr>
          <w:rFonts w:cs="Arial"/>
          <w:noProof/>
          <w:szCs w:val="22"/>
          <w:lang w:val="es-CO" w:eastAsia="es-CO"/>
        </w:rPr>
        <w:drawing>
          <wp:inline distT="0" distB="0" distL="0" distR="0" wp14:anchorId="2DAA1817" wp14:editId="1090E8AF">
            <wp:extent cx="5243520" cy="2429660"/>
            <wp:effectExtent l="0" t="0" r="0" b="8890"/>
            <wp:docPr id="9"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8"/>
                    <pic:cNvPicPr>
                      <a:picLocks noChangeAspect="1"/>
                    </pic:cNvPicPr>
                  </pic:nvPicPr>
                  <pic:blipFill>
                    <a:blip r:embed="rId19"/>
                    <a:stretch>
                      <a:fillRect/>
                    </a:stretch>
                  </pic:blipFill>
                  <pic:spPr>
                    <a:xfrm>
                      <a:off x="0" y="0"/>
                      <a:ext cx="5247776" cy="2431632"/>
                    </a:xfrm>
                    <a:prstGeom prst="rect">
                      <a:avLst/>
                    </a:prstGeom>
                  </pic:spPr>
                </pic:pic>
              </a:graphicData>
            </a:graphic>
          </wp:inline>
        </w:drawing>
      </w:r>
    </w:p>
    <w:p w:rsidR="00382B5C" w:rsidRPr="00104F4B" w:rsidRDefault="00382B5C" w:rsidP="00B6286B">
      <w:pPr>
        <w:jc w:val="center"/>
        <w:rPr>
          <w:rFonts w:cs="Arial"/>
          <w:szCs w:val="22"/>
          <w:lang w:val="es-CO"/>
        </w:rPr>
      </w:pPr>
    </w:p>
    <w:p w:rsidR="00E007F2" w:rsidRPr="00104F4B" w:rsidRDefault="009C7C7D" w:rsidP="00E007F2">
      <w:pPr>
        <w:jc w:val="center"/>
        <w:rPr>
          <w:rFonts w:cs="Arial"/>
          <w:b/>
          <w:bCs/>
          <w:kern w:val="32"/>
          <w:szCs w:val="22"/>
          <w:lang w:val="es-CO"/>
        </w:rPr>
      </w:pPr>
      <w:r w:rsidRPr="00104F4B">
        <w:rPr>
          <w:rFonts w:cs="Arial"/>
          <w:b/>
          <w:bCs/>
          <w:noProof/>
          <w:kern w:val="32"/>
          <w:szCs w:val="22"/>
          <w:lang w:val="es-CO" w:eastAsia="es-CO"/>
        </w:rPr>
        <w:drawing>
          <wp:inline distT="0" distB="0" distL="0" distR="0" wp14:anchorId="0752093D">
            <wp:extent cx="5987822" cy="3152633"/>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011848" cy="3165283"/>
                    </a:xfrm>
                    <a:prstGeom prst="rect">
                      <a:avLst/>
                    </a:prstGeom>
                    <a:noFill/>
                  </pic:spPr>
                </pic:pic>
              </a:graphicData>
            </a:graphic>
          </wp:inline>
        </w:drawing>
      </w:r>
    </w:p>
    <w:p w:rsidR="00E007F2" w:rsidRPr="00104F4B" w:rsidRDefault="00B6286B" w:rsidP="00E007F2">
      <w:pPr>
        <w:jc w:val="center"/>
        <w:rPr>
          <w:rFonts w:cs="Arial"/>
          <w:bCs/>
          <w:kern w:val="32"/>
          <w:sz w:val="16"/>
          <w:szCs w:val="16"/>
          <w:lang w:val="es-CO"/>
        </w:rPr>
      </w:pPr>
      <w:r w:rsidRPr="00104F4B">
        <w:rPr>
          <w:rFonts w:cs="Arial"/>
          <w:bCs/>
          <w:kern w:val="32"/>
          <w:sz w:val="16"/>
          <w:szCs w:val="16"/>
          <w:lang w:val="es-CO"/>
        </w:rPr>
        <w:t>Cifras en millones</w:t>
      </w:r>
    </w:p>
    <w:p w:rsidR="00F64FA4" w:rsidRPr="00104F4B" w:rsidRDefault="00F64FA4" w:rsidP="00E007F2">
      <w:pPr>
        <w:spacing w:before="0"/>
        <w:rPr>
          <w:rFonts w:cs="Arial"/>
          <w:b/>
          <w:bCs/>
          <w:kern w:val="32"/>
          <w:sz w:val="16"/>
          <w:szCs w:val="16"/>
          <w:lang w:val="es-CO"/>
        </w:rPr>
      </w:pPr>
    </w:p>
    <w:p w:rsidR="00F74063" w:rsidRPr="00104F4B" w:rsidRDefault="00F74063" w:rsidP="00E007F2">
      <w:pPr>
        <w:spacing w:before="0"/>
        <w:rPr>
          <w:rFonts w:cs="Arial"/>
          <w:b/>
          <w:bCs/>
          <w:kern w:val="32"/>
          <w:szCs w:val="22"/>
          <w:lang w:val="es-CO"/>
        </w:rPr>
      </w:pPr>
      <w:r w:rsidRPr="00104F4B">
        <w:rPr>
          <w:rFonts w:cs="Arial"/>
          <w:b/>
          <w:bCs/>
          <w:kern w:val="32"/>
          <w:szCs w:val="22"/>
          <w:lang w:val="es-CO"/>
        </w:rPr>
        <w:t xml:space="preserve">Ejecución por áreas del Instituto </w:t>
      </w:r>
    </w:p>
    <w:p w:rsidR="00F74063" w:rsidRPr="00104F4B" w:rsidRDefault="00F74063" w:rsidP="00E007F2">
      <w:pPr>
        <w:spacing w:before="0"/>
        <w:rPr>
          <w:rFonts w:cs="Arial"/>
          <w:b/>
          <w:bCs/>
          <w:kern w:val="32"/>
          <w:szCs w:val="22"/>
          <w:lang w:val="es-CO"/>
        </w:rPr>
      </w:pPr>
    </w:p>
    <w:p w:rsidR="00F74063" w:rsidRPr="00104F4B" w:rsidRDefault="00FE47EC" w:rsidP="007D3B7D">
      <w:pPr>
        <w:spacing w:before="0"/>
        <w:jc w:val="center"/>
        <w:rPr>
          <w:rFonts w:cs="Arial"/>
          <w:b/>
          <w:bCs/>
          <w:kern w:val="32"/>
          <w:szCs w:val="22"/>
          <w:lang w:val="es-CO"/>
        </w:rPr>
      </w:pPr>
      <w:r w:rsidRPr="00104F4B">
        <w:rPr>
          <w:rFonts w:cs="Arial"/>
          <w:noProof/>
          <w:szCs w:val="22"/>
          <w:highlight w:val="green"/>
          <w:lang w:val="es-CO" w:eastAsia="es-CO"/>
        </w:rPr>
        <w:lastRenderedPageBreak/>
        <w:drawing>
          <wp:inline distT="0" distB="0" distL="0" distR="0" wp14:anchorId="72B5E730" wp14:editId="24A32266">
            <wp:extent cx="4818491" cy="2814762"/>
            <wp:effectExtent l="0" t="0" r="1270" b="5080"/>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331958" w:rsidRPr="00104F4B" w:rsidRDefault="00331958" w:rsidP="00B6286B">
      <w:pPr>
        <w:spacing w:before="0"/>
        <w:rPr>
          <w:rFonts w:cs="Arial"/>
          <w:b/>
          <w:bCs/>
          <w:kern w:val="32"/>
          <w:szCs w:val="22"/>
          <w:lang w:val="es-CO"/>
        </w:rPr>
      </w:pPr>
    </w:p>
    <w:p w:rsidR="003B591A" w:rsidRPr="00104F4B" w:rsidRDefault="003B591A" w:rsidP="00B6286B">
      <w:pPr>
        <w:spacing w:before="0"/>
        <w:rPr>
          <w:rFonts w:cs="Arial"/>
          <w:b/>
          <w:bCs/>
          <w:kern w:val="32"/>
          <w:szCs w:val="22"/>
          <w:lang w:val="es-CO"/>
        </w:rPr>
      </w:pPr>
      <w:r w:rsidRPr="00104F4B">
        <w:rPr>
          <w:rFonts w:cs="Arial"/>
          <w:b/>
          <w:bCs/>
          <w:kern w:val="32"/>
          <w:szCs w:val="22"/>
          <w:lang w:val="es-CO"/>
        </w:rPr>
        <w:t>Ejecución por fuentes</w:t>
      </w:r>
    </w:p>
    <w:p w:rsidR="003B591A" w:rsidRPr="00104F4B" w:rsidRDefault="003B591A" w:rsidP="00B6286B">
      <w:pPr>
        <w:spacing w:before="0"/>
        <w:rPr>
          <w:rFonts w:cs="Arial"/>
          <w:bCs/>
          <w:kern w:val="32"/>
          <w:szCs w:val="22"/>
          <w:lang w:val="es-CO"/>
        </w:rPr>
      </w:pPr>
    </w:p>
    <w:p w:rsidR="005B6FC8" w:rsidRPr="00104F4B" w:rsidRDefault="003B591A" w:rsidP="003B591A">
      <w:pPr>
        <w:spacing w:before="0"/>
        <w:rPr>
          <w:rFonts w:cs="Arial"/>
          <w:bCs/>
          <w:kern w:val="32"/>
          <w:szCs w:val="22"/>
          <w:lang w:val="es-CO"/>
        </w:rPr>
      </w:pPr>
      <w:r w:rsidRPr="00104F4B">
        <w:rPr>
          <w:rFonts w:cs="Arial"/>
          <w:bCs/>
          <w:kern w:val="32"/>
          <w:szCs w:val="22"/>
          <w:lang w:val="es-CO"/>
        </w:rPr>
        <w:t xml:space="preserve">El presupuesto de inversión </w:t>
      </w:r>
      <w:r w:rsidR="00280A14" w:rsidRPr="00104F4B">
        <w:rPr>
          <w:rFonts w:cs="Arial"/>
          <w:bCs/>
          <w:kern w:val="32"/>
          <w:szCs w:val="22"/>
          <w:lang w:val="es-CO"/>
        </w:rPr>
        <w:t xml:space="preserve">definitiva </w:t>
      </w:r>
      <w:r w:rsidRPr="00104F4B">
        <w:rPr>
          <w:rFonts w:cs="Arial"/>
          <w:bCs/>
          <w:kern w:val="32"/>
          <w:szCs w:val="22"/>
          <w:lang w:val="es-CO"/>
        </w:rPr>
        <w:t>para el 201</w:t>
      </w:r>
      <w:r w:rsidR="00B76A83" w:rsidRPr="00104F4B">
        <w:rPr>
          <w:rFonts w:cs="Arial"/>
          <w:bCs/>
          <w:kern w:val="32"/>
          <w:szCs w:val="22"/>
          <w:lang w:val="es-CO"/>
        </w:rPr>
        <w:t>8</w:t>
      </w:r>
      <w:r w:rsidRPr="00104F4B">
        <w:rPr>
          <w:rFonts w:cs="Arial"/>
          <w:bCs/>
          <w:kern w:val="32"/>
          <w:szCs w:val="22"/>
          <w:lang w:val="es-CO"/>
        </w:rPr>
        <w:t xml:space="preserve"> ascendió a la suma de $</w:t>
      </w:r>
      <w:r w:rsidR="00280A14" w:rsidRPr="00104F4B">
        <w:rPr>
          <w:rFonts w:cs="Arial"/>
          <w:bCs/>
          <w:kern w:val="32"/>
          <w:szCs w:val="22"/>
          <w:lang w:val="es-CO"/>
        </w:rPr>
        <w:t xml:space="preserve"> </w:t>
      </w:r>
      <w:r w:rsidR="00B76A83" w:rsidRPr="00104F4B">
        <w:rPr>
          <w:rFonts w:cs="Arial"/>
          <w:bCs/>
          <w:kern w:val="32"/>
          <w:szCs w:val="22"/>
          <w:lang w:val="es-CO"/>
        </w:rPr>
        <w:t xml:space="preserve">1.962.888.678.345, </w:t>
      </w:r>
      <w:r w:rsidRPr="00104F4B">
        <w:rPr>
          <w:rFonts w:cs="Arial"/>
          <w:bCs/>
          <w:kern w:val="32"/>
          <w:szCs w:val="22"/>
          <w:lang w:val="es-CO"/>
        </w:rPr>
        <w:t xml:space="preserve">de los cuales se ejecutaron </w:t>
      </w:r>
      <w:r w:rsidR="00B76A83" w:rsidRPr="00104F4B">
        <w:rPr>
          <w:rFonts w:cs="Arial"/>
          <w:bCs/>
          <w:kern w:val="32"/>
          <w:szCs w:val="22"/>
          <w:lang w:val="es-CO"/>
        </w:rPr>
        <w:t>$ 1.172.495.274.069</w:t>
      </w:r>
      <w:r w:rsidRPr="00104F4B">
        <w:rPr>
          <w:rFonts w:cs="Arial"/>
          <w:bCs/>
          <w:kern w:val="32"/>
          <w:szCs w:val="22"/>
          <w:lang w:val="es-CO"/>
        </w:rPr>
        <w:t xml:space="preserve"> equivalentes al </w:t>
      </w:r>
      <w:r w:rsidR="00B76A83" w:rsidRPr="00104F4B">
        <w:rPr>
          <w:rFonts w:cs="Arial"/>
          <w:bCs/>
          <w:kern w:val="32"/>
          <w:szCs w:val="22"/>
          <w:lang w:val="es-CO"/>
        </w:rPr>
        <w:t>59,7</w:t>
      </w:r>
      <w:r w:rsidRPr="00104F4B">
        <w:rPr>
          <w:rFonts w:cs="Arial"/>
          <w:bCs/>
          <w:kern w:val="32"/>
          <w:szCs w:val="22"/>
          <w:lang w:val="es-CO"/>
        </w:rPr>
        <w:t xml:space="preserve">%, las fuentes con más ejecución  en la  vigencia son: Cupo de </w:t>
      </w:r>
      <w:r w:rsidR="008B124E" w:rsidRPr="00104F4B">
        <w:rPr>
          <w:rFonts w:cs="Arial"/>
          <w:bCs/>
          <w:kern w:val="32"/>
          <w:szCs w:val="22"/>
          <w:lang w:val="es-CO"/>
        </w:rPr>
        <w:t xml:space="preserve">endeudamiento </w:t>
      </w:r>
      <w:r w:rsidRPr="00104F4B">
        <w:rPr>
          <w:rFonts w:cs="Arial"/>
          <w:bCs/>
          <w:kern w:val="32"/>
          <w:szCs w:val="22"/>
          <w:lang w:val="es-CO"/>
        </w:rPr>
        <w:t>con $</w:t>
      </w:r>
      <w:r w:rsidR="00C166AA" w:rsidRPr="00104F4B">
        <w:rPr>
          <w:rFonts w:cs="Arial"/>
          <w:bCs/>
          <w:kern w:val="32"/>
          <w:szCs w:val="22"/>
          <w:lang w:val="es-CO"/>
        </w:rPr>
        <w:t xml:space="preserve"> </w:t>
      </w:r>
      <w:r w:rsidR="00064AF6" w:rsidRPr="00104F4B">
        <w:rPr>
          <w:rFonts w:cs="Arial"/>
          <w:bCs/>
          <w:kern w:val="32"/>
          <w:szCs w:val="22"/>
          <w:lang w:val="es-CO"/>
        </w:rPr>
        <w:t>440.721</w:t>
      </w:r>
      <w:r w:rsidR="00C166AA" w:rsidRPr="00104F4B">
        <w:rPr>
          <w:rFonts w:cs="Arial"/>
          <w:bCs/>
          <w:kern w:val="32"/>
          <w:szCs w:val="22"/>
          <w:lang w:val="es-CO"/>
        </w:rPr>
        <w:t xml:space="preserve"> </w:t>
      </w:r>
      <w:r w:rsidRPr="00104F4B">
        <w:rPr>
          <w:rFonts w:cs="Arial"/>
          <w:bCs/>
          <w:kern w:val="32"/>
          <w:szCs w:val="22"/>
          <w:lang w:val="es-CO"/>
        </w:rPr>
        <w:t>Millones,</w:t>
      </w:r>
      <w:r w:rsidR="00C166AA" w:rsidRPr="00104F4B">
        <w:rPr>
          <w:rFonts w:cs="Arial"/>
          <w:bCs/>
          <w:kern w:val="32"/>
          <w:szCs w:val="22"/>
          <w:lang w:val="es-CO"/>
        </w:rPr>
        <w:t xml:space="preserve"> </w:t>
      </w:r>
      <w:r w:rsidRPr="00104F4B">
        <w:rPr>
          <w:rFonts w:cs="Arial"/>
          <w:bCs/>
          <w:kern w:val="32"/>
          <w:szCs w:val="22"/>
          <w:lang w:val="es-CO"/>
        </w:rPr>
        <w:t xml:space="preserve"> Sobretasa a la Gasolina con $</w:t>
      </w:r>
      <w:r w:rsidR="00064AF6" w:rsidRPr="00104F4B">
        <w:rPr>
          <w:rFonts w:cs="Arial"/>
          <w:bCs/>
          <w:kern w:val="32"/>
          <w:szCs w:val="22"/>
          <w:lang w:val="es-CO"/>
        </w:rPr>
        <w:t>136.842</w:t>
      </w:r>
      <w:r w:rsidRPr="00104F4B">
        <w:rPr>
          <w:rFonts w:cs="Arial"/>
          <w:bCs/>
          <w:kern w:val="32"/>
          <w:szCs w:val="22"/>
          <w:lang w:val="es-CO"/>
        </w:rPr>
        <w:t xml:space="preserve"> Millones, Transferencias Ordinarias con $</w:t>
      </w:r>
      <w:r w:rsidR="00A35314" w:rsidRPr="00104F4B">
        <w:rPr>
          <w:rFonts w:cs="Arial"/>
          <w:bCs/>
          <w:kern w:val="32"/>
          <w:szCs w:val="22"/>
          <w:lang w:val="es-CO"/>
        </w:rPr>
        <w:t xml:space="preserve"> </w:t>
      </w:r>
      <w:r w:rsidR="00064AF6" w:rsidRPr="00104F4B">
        <w:rPr>
          <w:rFonts w:cs="Arial"/>
          <w:bCs/>
          <w:kern w:val="32"/>
          <w:szCs w:val="22"/>
          <w:lang w:val="es-CO"/>
        </w:rPr>
        <w:t>320.043 Millones, Valorización del Acuerdo 523 de 2013 por $ 52.059 millones y Cargas Urbanísticas por $ 39.168 millones.</w:t>
      </w:r>
    </w:p>
    <w:p w:rsidR="00C166AA" w:rsidRPr="00104F4B" w:rsidRDefault="00C166AA" w:rsidP="003B591A">
      <w:pPr>
        <w:spacing w:before="0"/>
        <w:rPr>
          <w:rFonts w:cs="Arial"/>
          <w:bCs/>
          <w:kern w:val="32"/>
          <w:szCs w:val="22"/>
          <w:lang w:val="es-CO"/>
        </w:rPr>
      </w:pPr>
    </w:p>
    <w:p w:rsidR="00C166AA" w:rsidRPr="00104F4B" w:rsidRDefault="00C166AA" w:rsidP="003B591A">
      <w:pPr>
        <w:spacing w:before="0"/>
        <w:rPr>
          <w:rFonts w:cs="Arial"/>
          <w:bCs/>
          <w:kern w:val="32"/>
          <w:szCs w:val="22"/>
          <w:lang w:val="es-CO"/>
        </w:rPr>
      </w:pPr>
      <w:r w:rsidRPr="00104F4B">
        <w:rPr>
          <w:rFonts w:cs="Arial"/>
          <w:bCs/>
          <w:kern w:val="32"/>
          <w:szCs w:val="22"/>
          <w:lang w:val="es-CO"/>
        </w:rPr>
        <w:t>A continuación se detalla la ejecución por fuente de financiación:</w:t>
      </w:r>
    </w:p>
    <w:p w:rsidR="005B6FC8" w:rsidRPr="00104F4B" w:rsidRDefault="005B6FC8" w:rsidP="005B6FC8">
      <w:pPr>
        <w:spacing w:before="0"/>
        <w:jc w:val="center"/>
        <w:rPr>
          <w:rFonts w:cs="Arial"/>
          <w:bCs/>
          <w:kern w:val="32"/>
          <w:szCs w:val="22"/>
          <w:lang w:val="es-CO"/>
        </w:rPr>
      </w:pPr>
    </w:p>
    <w:p w:rsidR="003B591A" w:rsidRPr="00104F4B" w:rsidRDefault="00B76A83" w:rsidP="005D4AFF">
      <w:pPr>
        <w:spacing w:before="0"/>
        <w:jc w:val="center"/>
        <w:rPr>
          <w:rFonts w:cs="Arial"/>
          <w:bCs/>
          <w:kern w:val="32"/>
          <w:szCs w:val="22"/>
          <w:lang w:val="es-CO"/>
        </w:rPr>
      </w:pPr>
      <w:r w:rsidRPr="00104F4B">
        <w:rPr>
          <w:rFonts w:cs="Arial"/>
          <w:noProof/>
          <w:lang w:val="es-CO" w:eastAsia="es-CO"/>
        </w:rPr>
        <w:drawing>
          <wp:inline distT="0" distB="0" distL="0" distR="0">
            <wp:extent cx="3821661" cy="2748810"/>
            <wp:effectExtent l="0" t="0" r="762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25214" cy="2751366"/>
                    </a:xfrm>
                    <a:prstGeom prst="rect">
                      <a:avLst/>
                    </a:prstGeom>
                    <a:noFill/>
                    <a:ln>
                      <a:noFill/>
                    </a:ln>
                  </pic:spPr>
                </pic:pic>
              </a:graphicData>
            </a:graphic>
          </wp:inline>
        </w:drawing>
      </w:r>
    </w:p>
    <w:p w:rsidR="00C166AA" w:rsidRPr="00104F4B" w:rsidRDefault="00C166AA" w:rsidP="00064AF6">
      <w:pPr>
        <w:spacing w:before="0"/>
        <w:jc w:val="center"/>
        <w:rPr>
          <w:rFonts w:cs="Arial"/>
          <w:bCs/>
          <w:kern w:val="32"/>
          <w:sz w:val="16"/>
          <w:szCs w:val="16"/>
          <w:lang w:val="es-CO"/>
        </w:rPr>
      </w:pPr>
      <w:r w:rsidRPr="00104F4B">
        <w:rPr>
          <w:rFonts w:cs="Arial"/>
          <w:bCs/>
          <w:kern w:val="32"/>
          <w:sz w:val="16"/>
          <w:szCs w:val="16"/>
          <w:lang w:val="es-CO"/>
        </w:rPr>
        <w:t>Cifras en millones</w:t>
      </w:r>
    </w:p>
    <w:p w:rsidR="00C166AA" w:rsidRPr="00104F4B" w:rsidRDefault="00C166AA" w:rsidP="003B591A">
      <w:pPr>
        <w:spacing w:before="0"/>
        <w:rPr>
          <w:rFonts w:cs="Arial"/>
          <w:b/>
          <w:bCs/>
          <w:kern w:val="32"/>
          <w:szCs w:val="22"/>
          <w:lang w:val="es-CO"/>
        </w:rPr>
      </w:pPr>
    </w:p>
    <w:p w:rsidR="003B591A" w:rsidRPr="00104F4B" w:rsidRDefault="003B591A" w:rsidP="003B591A">
      <w:pPr>
        <w:spacing w:before="0"/>
        <w:rPr>
          <w:rFonts w:cs="Arial"/>
          <w:b/>
          <w:bCs/>
          <w:kern w:val="32"/>
          <w:szCs w:val="22"/>
          <w:lang w:val="es-CO"/>
        </w:rPr>
      </w:pPr>
      <w:r w:rsidRPr="00104F4B">
        <w:rPr>
          <w:rFonts w:cs="Arial"/>
          <w:b/>
          <w:bCs/>
          <w:kern w:val="32"/>
          <w:szCs w:val="22"/>
          <w:lang w:val="es-CO"/>
        </w:rPr>
        <w:t xml:space="preserve">Ejecución por proyecto de inversión </w:t>
      </w:r>
    </w:p>
    <w:p w:rsidR="003B591A" w:rsidRPr="00104F4B" w:rsidRDefault="003B591A" w:rsidP="003B591A">
      <w:pPr>
        <w:spacing w:before="0"/>
        <w:rPr>
          <w:rFonts w:cs="Arial"/>
          <w:bCs/>
          <w:kern w:val="32"/>
          <w:szCs w:val="22"/>
          <w:lang w:val="es-CO"/>
        </w:rPr>
      </w:pPr>
    </w:p>
    <w:p w:rsidR="005D4AFF" w:rsidRPr="00104F4B" w:rsidRDefault="003B591A" w:rsidP="003B591A">
      <w:pPr>
        <w:spacing w:before="0"/>
        <w:rPr>
          <w:rFonts w:cs="Arial"/>
          <w:bCs/>
          <w:kern w:val="32"/>
          <w:szCs w:val="22"/>
          <w:lang w:val="es-CO"/>
        </w:rPr>
      </w:pPr>
      <w:r w:rsidRPr="00104F4B">
        <w:rPr>
          <w:rFonts w:cs="Arial"/>
          <w:bCs/>
          <w:kern w:val="32"/>
          <w:szCs w:val="22"/>
          <w:lang w:val="es-CO"/>
        </w:rPr>
        <w:t xml:space="preserve">El proyecto que presenta mayor ejecución es el </w:t>
      </w:r>
      <w:r w:rsidR="005D4AFF" w:rsidRPr="00104F4B">
        <w:rPr>
          <w:rFonts w:cs="Arial"/>
          <w:bCs/>
          <w:kern w:val="32"/>
          <w:szCs w:val="22"/>
          <w:lang w:val="es-CO"/>
        </w:rPr>
        <w:t>proyecto 1063 Conservación de Vías con una ejecución de recursos de $</w:t>
      </w:r>
      <w:r w:rsidR="00953969" w:rsidRPr="00104F4B">
        <w:rPr>
          <w:rFonts w:cs="Arial"/>
          <w:bCs/>
          <w:kern w:val="32"/>
          <w:szCs w:val="22"/>
          <w:lang w:val="es-CO"/>
        </w:rPr>
        <w:t>119.704</w:t>
      </w:r>
      <w:r w:rsidR="005D4AFF" w:rsidRPr="00104F4B">
        <w:rPr>
          <w:rFonts w:cs="Arial"/>
          <w:bCs/>
          <w:kern w:val="32"/>
          <w:szCs w:val="22"/>
          <w:lang w:val="es-CO"/>
        </w:rPr>
        <w:t xml:space="preserve"> Millones de pesos correspondiente al 9</w:t>
      </w:r>
      <w:r w:rsidR="00953969" w:rsidRPr="00104F4B">
        <w:rPr>
          <w:rFonts w:cs="Arial"/>
          <w:bCs/>
          <w:kern w:val="32"/>
          <w:szCs w:val="22"/>
          <w:lang w:val="es-CO"/>
        </w:rPr>
        <w:t>9</w:t>
      </w:r>
      <w:r w:rsidR="005D4AFF" w:rsidRPr="00104F4B">
        <w:rPr>
          <w:rFonts w:cs="Arial"/>
          <w:bCs/>
          <w:kern w:val="32"/>
          <w:szCs w:val="22"/>
          <w:lang w:val="es-CO"/>
        </w:rPr>
        <w:t>% del total previsto de re</w:t>
      </w:r>
      <w:r w:rsidR="00953969" w:rsidRPr="00104F4B">
        <w:rPr>
          <w:rFonts w:cs="Arial"/>
          <w:bCs/>
          <w:kern w:val="32"/>
          <w:szCs w:val="22"/>
          <w:lang w:val="es-CO"/>
        </w:rPr>
        <w:t>cursos, seguido del proyecto</w:t>
      </w:r>
      <w:r w:rsidR="005D4AFF" w:rsidRPr="00104F4B">
        <w:rPr>
          <w:rFonts w:cs="Arial"/>
          <w:bCs/>
          <w:kern w:val="32"/>
          <w:szCs w:val="22"/>
          <w:lang w:val="es-CO"/>
        </w:rPr>
        <w:t xml:space="preserve">1062 - </w:t>
      </w:r>
      <w:r w:rsidRPr="00104F4B">
        <w:rPr>
          <w:rFonts w:cs="Arial"/>
          <w:bCs/>
          <w:kern w:val="32"/>
          <w:szCs w:val="22"/>
          <w:lang w:val="es-CO"/>
        </w:rPr>
        <w:t>Construcción de Vías y Calles completas con $</w:t>
      </w:r>
      <w:r w:rsidR="00953969" w:rsidRPr="00104F4B">
        <w:rPr>
          <w:rFonts w:cs="Arial"/>
          <w:bCs/>
          <w:kern w:val="32"/>
          <w:szCs w:val="22"/>
          <w:lang w:val="es-CO"/>
        </w:rPr>
        <w:t xml:space="preserve"> 811</w:t>
      </w:r>
      <w:r w:rsidR="005D4AFF" w:rsidRPr="00104F4B">
        <w:rPr>
          <w:rFonts w:cs="Arial"/>
          <w:bCs/>
          <w:kern w:val="32"/>
          <w:szCs w:val="22"/>
          <w:lang w:val="es-CO"/>
        </w:rPr>
        <w:t>.</w:t>
      </w:r>
      <w:r w:rsidR="00953969" w:rsidRPr="00104F4B">
        <w:rPr>
          <w:rFonts w:cs="Arial"/>
          <w:bCs/>
          <w:kern w:val="32"/>
          <w:szCs w:val="22"/>
          <w:lang w:val="es-CO"/>
        </w:rPr>
        <w:t>249</w:t>
      </w:r>
      <w:r w:rsidR="005D4AFF" w:rsidRPr="00104F4B">
        <w:rPr>
          <w:rFonts w:cs="Arial"/>
          <w:bCs/>
          <w:kern w:val="32"/>
          <w:szCs w:val="22"/>
          <w:lang w:val="es-CO"/>
        </w:rPr>
        <w:t xml:space="preserve"> </w:t>
      </w:r>
      <w:r w:rsidRPr="00104F4B">
        <w:rPr>
          <w:rFonts w:cs="Arial"/>
          <w:bCs/>
          <w:kern w:val="32"/>
          <w:szCs w:val="22"/>
          <w:lang w:val="es-CO"/>
        </w:rPr>
        <w:t>Millones</w:t>
      </w:r>
      <w:r w:rsidR="00953969" w:rsidRPr="00104F4B">
        <w:rPr>
          <w:rFonts w:cs="Arial"/>
          <w:bCs/>
          <w:kern w:val="32"/>
          <w:szCs w:val="22"/>
          <w:lang w:val="es-CO"/>
        </w:rPr>
        <w:t xml:space="preserve"> de pesos correspondiente al 97% del total presupuestado.</w:t>
      </w:r>
    </w:p>
    <w:p w:rsidR="00953969" w:rsidRPr="00104F4B" w:rsidRDefault="00953969" w:rsidP="003B591A">
      <w:pPr>
        <w:spacing w:before="0"/>
        <w:rPr>
          <w:rFonts w:cs="Arial"/>
          <w:bCs/>
          <w:kern w:val="32"/>
          <w:szCs w:val="22"/>
          <w:lang w:val="es-CO"/>
        </w:rPr>
      </w:pPr>
    </w:p>
    <w:p w:rsidR="005D4AFF" w:rsidRPr="00104F4B" w:rsidRDefault="005D4AFF" w:rsidP="003B591A">
      <w:pPr>
        <w:spacing w:before="0"/>
        <w:rPr>
          <w:rFonts w:cs="Arial"/>
          <w:bCs/>
          <w:kern w:val="32"/>
          <w:szCs w:val="22"/>
          <w:lang w:val="es-CO"/>
        </w:rPr>
      </w:pPr>
      <w:r w:rsidRPr="00104F4B">
        <w:rPr>
          <w:rFonts w:cs="Arial"/>
          <w:bCs/>
          <w:kern w:val="32"/>
          <w:szCs w:val="22"/>
          <w:lang w:val="es-CO"/>
        </w:rPr>
        <w:t>Como es posible deducir a través de la ejecución, se observa que el Instituto realizó durante la vigencia 201</w:t>
      </w:r>
      <w:r w:rsidR="005F4B5B">
        <w:rPr>
          <w:rFonts w:cs="Arial"/>
          <w:bCs/>
          <w:kern w:val="32"/>
          <w:szCs w:val="22"/>
          <w:lang w:val="es-CO"/>
        </w:rPr>
        <w:t>8</w:t>
      </w:r>
      <w:r w:rsidRPr="00104F4B">
        <w:rPr>
          <w:rFonts w:cs="Arial"/>
          <w:bCs/>
          <w:kern w:val="32"/>
          <w:szCs w:val="22"/>
          <w:lang w:val="es-CO"/>
        </w:rPr>
        <w:t xml:space="preserve"> enormes esfuerzos para atender en la Ciudad temas relacionados con la conservación y construcción de nuevas obras para el servicio a la ciudadanía.</w:t>
      </w:r>
    </w:p>
    <w:p w:rsidR="00953969" w:rsidRPr="00104F4B" w:rsidRDefault="00953969" w:rsidP="003B591A">
      <w:pPr>
        <w:spacing w:before="0"/>
        <w:rPr>
          <w:rFonts w:cs="Arial"/>
          <w:bCs/>
          <w:kern w:val="32"/>
          <w:szCs w:val="22"/>
          <w:lang w:val="es-CO"/>
        </w:rPr>
      </w:pPr>
    </w:p>
    <w:p w:rsidR="00953969" w:rsidRPr="00104F4B" w:rsidRDefault="00953969" w:rsidP="003B591A">
      <w:pPr>
        <w:spacing w:before="0"/>
        <w:rPr>
          <w:rFonts w:cs="Arial"/>
          <w:bCs/>
          <w:kern w:val="32"/>
          <w:szCs w:val="22"/>
          <w:lang w:val="es-CO"/>
        </w:rPr>
      </w:pPr>
      <w:r w:rsidRPr="00104F4B">
        <w:rPr>
          <w:rFonts w:cs="Arial"/>
          <w:bCs/>
          <w:kern w:val="32"/>
          <w:szCs w:val="22"/>
          <w:lang w:val="es-CO"/>
        </w:rPr>
        <w:t>Así mismo se realizaron inversiones importantes en los componentes de peatones y bicicletas por valor de $ 89.710 millones correspondientes al 97% y en materia de Transporte público por valor de $  25.812 millones que corresponde al 95% del total previsto.</w:t>
      </w:r>
    </w:p>
    <w:p w:rsidR="00953969" w:rsidRPr="00104F4B" w:rsidRDefault="00953969" w:rsidP="003B591A">
      <w:pPr>
        <w:spacing w:before="0"/>
        <w:rPr>
          <w:rFonts w:cs="Arial"/>
          <w:bCs/>
          <w:kern w:val="32"/>
          <w:szCs w:val="22"/>
          <w:lang w:val="es-CO"/>
        </w:rPr>
      </w:pPr>
    </w:p>
    <w:p w:rsidR="00953969" w:rsidRPr="00104F4B" w:rsidRDefault="00953969" w:rsidP="003B591A">
      <w:pPr>
        <w:spacing w:before="0"/>
        <w:rPr>
          <w:rFonts w:cs="Arial"/>
          <w:bCs/>
          <w:kern w:val="32"/>
          <w:szCs w:val="22"/>
          <w:lang w:val="es-CO"/>
        </w:rPr>
      </w:pPr>
      <w:r w:rsidRPr="00104F4B">
        <w:rPr>
          <w:rFonts w:cs="Arial"/>
          <w:bCs/>
          <w:kern w:val="32"/>
          <w:szCs w:val="22"/>
          <w:lang w:val="es-CO"/>
        </w:rPr>
        <w:t xml:space="preserve">El proyecto con menor ejecución presupuestal fue el 1002 – Articulación Regional, con una ejecución del 3% del total presupuestado; en dicho proyecto se encontraban recursos por valor de $ 768.822 millones de pesos que ingresarían por la enajenación de acciones de la empresa de Energía de Bogotá y se tenían incorporados </w:t>
      </w:r>
      <w:r w:rsidR="00F47456" w:rsidRPr="00104F4B">
        <w:rPr>
          <w:rFonts w:cs="Arial"/>
          <w:bCs/>
          <w:kern w:val="32"/>
          <w:szCs w:val="22"/>
          <w:lang w:val="es-CO"/>
        </w:rPr>
        <w:t xml:space="preserve">en el gasto </w:t>
      </w:r>
      <w:r w:rsidRPr="00104F4B">
        <w:rPr>
          <w:rFonts w:cs="Arial"/>
          <w:bCs/>
          <w:kern w:val="32"/>
          <w:szCs w:val="22"/>
          <w:lang w:val="es-CO"/>
        </w:rPr>
        <w:t xml:space="preserve">para la adquisición predial de los proyectos ALO Y Calle 13; sin embargo, no fue posible su ejecución debido a que los recursos por la transacción mencionada solo estuvieron disponibles en agosto de 2018 y ante la incertidumbre sobre el ingreso solo en ese momento se </w:t>
      </w:r>
      <w:r w:rsidR="00F47456" w:rsidRPr="00104F4B">
        <w:rPr>
          <w:rFonts w:cs="Arial"/>
          <w:bCs/>
          <w:kern w:val="32"/>
          <w:szCs w:val="22"/>
          <w:lang w:val="es-CO"/>
        </w:rPr>
        <w:t>inició</w:t>
      </w:r>
      <w:r w:rsidRPr="00104F4B">
        <w:rPr>
          <w:rFonts w:cs="Arial"/>
          <w:bCs/>
          <w:kern w:val="32"/>
          <w:szCs w:val="22"/>
          <w:lang w:val="es-CO"/>
        </w:rPr>
        <w:t xml:space="preserve"> el proceso de adquisición predial que requiere al menos una vigencia completa.</w:t>
      </w:r>
    </w:p>
    <w:p w:rsidR="001B5B73" w:rsidRPr="00104F4B" w:rsidRDefault="003B591A" w:rsidP="003B591A">
      <w:pPr>
        <w:spacing w:before="0"/>
        <w:rPr>
          <w:rFonts w:cs="Arial"/>
          <w:bCs/>
          <w:kern w:val="32"/>
          <w:szCs w:val="22"/>
          <w:lang w:val="es-CO"/>
        </w:rPr>
      </w:pPr>
      <w:r w:rsidRPr="00104F4B">
        <w:rPr>
          <w:rFonts w:cs="Arial"/>
          <w:bCs/>
          <w:kern w:val="32"/>
          <w:szCs w:val="22"/>
          <w:lang w:val="es-CO"/>
        </w:rPr>
        <w:t xml:space="preserve"> </w:t>
      </w:r>
    </w:p>
    <w:p w:rsidR="001B5B73" w:rsidRPr="00104F4B" w:rsidRDefault="001B5B73" w:rsidP="003B591A">
      <w:pPr>
        <w:spacing w:before="0"/>
        <w:rPr>
          <w:rFonts w:cs="Arial"/>
          <w:bCs/>
          <w:kern w:val="32"/>
          <w:szCs w:val="22"/>
          <w:lang w:val="es-CO"/>
        </w:rPr>
      </w:pPr>
      <w:r w:rsidRPr="00104F4B">
        <w:rPr>
          <w:rFonts w:cs="Arial"/>
          <w:bCs/>
          <w:kern w:val="32"/>
          <w:szCs w:val="22"/>
          <w:lang w:val="es-CO"/>
        </w:rPr>
        <w:t>A continuación se presenta la ejecución por proyecto de inversión:</w:t>
      </w:r>
    </w:p>
    <w:p w:rsidR="000F2FCB" w:rsidRPr="00104F4B" w:rsidRDefault="000F2FCB" w:rsidP="003B591A">
      <w:pPr>
        <w:spacing w:before="0"/>
        <w:rPr>
          <w:rFonts w:cs="Arial"/>
          <w:bCs/>
          <w:kern w:val="32"/>
          <w:szCs w:val="22"/>
          <w:lang w:val="es-CO"/>
        </w:rPr>
      </w:pPr>
    </w:p>
    <w:p w:rsidR="003B591A" w:rsidRPr="00104F4B" w:rsidRDefault="00953969" w:rsidP="005B6FC8">
      <w:pPr>
        <w:spacing w:before="0"/>
        <w:jc w:val="center"/>
        <w:rPr>
          <w:rFonts w:cs="Arial"/>
          <w:bCs/>
          <w:kern w:val="32"/>
          <w:szCs w:val="22"/>
          <w:lang w:val="es-CO"/>
        </w:rPr>
      </w:pPr>
      <w:r w:rsidRPr="00104F4B">
        <w:rPr>
          <w:rFonts w:cs="Arial"/>
          <w:noProof/>
          <w:lang w:val="es-CO" w:eastAsia="es-CO"/>
        </w:rPr>
        <w:drawing>
          <wp:inline distT="0" distB="0" distL="0" distR="0">
            <wp:extent cx="5363412" cy="2655736"/>
            <wp:effectExtent l="0" t="0" r="889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87027" cy="2667429"/>
                    </a:xfrm>
                    <a:prstGeom prst="rect">
                      <a:avLst/>
                    </a:prstGeom>
                    <a:noFill/>
                    <a:ln>
                      <a:noFill/>
                    </a:ln>
                  </pic:spPr>
                </pic:pic>
              </a:graphicData>
            </a:graphic>
          </wp:inline>
        </w:drawing>
      </w:r>
    </w:p>
    <w:p w:rsidR="003A6E45" w:rsidRPr="00104F4B" w:rsidRDefault="003A6E45" w:rsidP="00E007F2">
      <w:pPr>
        <w:spacing w:before="0"/>
        <w:rPr>
          <w:rFonts w:cs="Arial"/>
          <w:bCs/>
          <w:kern w:val="32"/>
          <w:szCs w:val="22"/>
          <w:lang w:val="es-CO"/>
        </w:rPr>
      </w:pPr>
    </w:p>
    <w:p w:rsidR="00331958" w:rsidRDefault="00331958" w:rsidP="00E007F2">
      <w:pPr>
        <w:spacing w:before="0"/>
        <w:rPr>
          <w:rFonts w:cs="Arial"/>
          <w:bCs/>
          <w:kern w:val="32"/>
          <w:szCs w:val="22"/>
          <w:lang w:val="es-CO"/>
        </w:rPr>
      </w:pPr>
    </w:p>
    <w:p w:rsidR="005C3D90" w:rsidRDefault="005C3D90" w:rsidP="00E007F2">
      <w:pPr>
        <w:spacing w:before="0"/>
        <w:rPr>
          <w:rFonts w:cs="Arial"/>
          <w:bCs/>
          <w:kern w:val="32"/>
          <w:szCs w:val="22"/>
          <w:lang w:val="es-CO"/>
        </w:rPr>
      </w:pPr>
    </w:p>
    <w:p w:rsidR="005C3D90" w:rsidRDefault="005C3D90" w:rsidP="00E007F2">
      <w:pPr>
        <w:spacing w:before="0"/>
        <w:rPr>
          <w:rFonts w:cs="Arial"/>
          <w:bCs/>
          <w:kern w:val="32"/>
          <w:szCs w:val="22"/>
          <w:lang w:val="es-CO"/>
        </w:rPr>
      </w:pPr>
    </w:p>
    <w:p w:rsidR="005C3D90" w:rsidRDefault="005C3D90" w:rsidP="00E007F2">
      <w:pPr>
        <w:spacing w:before="0"/>
        <w:rPr>
          <w:rFonts w:cs="Arial"/>
          <w:bCs/>
          <w:kern w:val="32"/>
          <w:szCs w:val="22"/>
          <w:lang w:val="es-CO"/>
        </w:rPr>
      </w:pPr>
    </w:p>
    <w:p w:rsidR="005C3D90" w:rsidRDefault="005C3D90" w:rsidP="00E007F2">
      <w:pPr>
        <w:spacing w:before="0"/>
        <w:rPr>
          <w:rFonts w:cs="Arial"/>
          <w:bCs/>
          <w:kern w:val="32"/>
          <w:szCs w:val="22"/>
          <w:lang w:val="es-CO"/>
        </w:rPr>
      </w:pPr>
    </w:p>
    <w:p w:rsidR="005C3D90" w:rsidRPr="00104F4B" w:rsidRDefault="005C3D90" w:rsidP="00E007F2">
      <w:pPr>
        <w:spacing w:before="0"/>
        <w:rPr>
          <w:rFonts w:cs="Arial"/>
          <w:bCs/>
          <w:kern w:val="32"/>
          <w:szCs w:val="22"/>
          <w:lang w:val="es-CO"/>
        </w:rPr>
      </w:pPr>
    </w:p>
    <w:p w:rsidR="005C3D90" w:rsidRDefault="005C3D90" w:rsidP="004B33B5">
      <w:pPr>
        <w:pStyle w:val="Ttulo1"/>
        <w:spacing w:before="0" w:after="0"/>
        <w:jc w:val="center"/>
        <w:rPr>
          <w:rFonts w:ascii="Arial" w:hAnsi="Arial" w:cs="Arial"/>
          <w:sz w:val="22"/>
          <w:szCs w:val="22"/>
        </w:rPr>
      </w:pPr>
      <w:bookmarkStart w:id="11" w:name="_Toc472944028"/>
    </w:p>
    <w:p w:rsidR="006D0752" w:rsidRPr="00104F4B" w:rsidRDefault="006D0752" w:rsidP="004B33B5">
      <w:pPr>
        <w:pStyle w:val="Ttulo1"/>
        <w:spacing w:before="0" w:after="0"/>
        <w:jc w:val="center"/>
        <w:rPr>
          <w:rFonts w:ascii="Arial" w:hAnsi="Arial" w:cs="Arial"/>
          <w:sz w:val="22"/>
          <w:szCs w:val="22"/>
        </w:rPr>
      </w:pPr>
      <w:bookmarkStart w:id="12" w:name="_Toc536195519"/>
      <w:r w:rsidRPr="00104F4B">
        <w:rPr>
          <w:rFonts w:ascii="Arial" w:hAnsi="Arial" w:cs="Arial"/>
          <w:sz w:val="22"/>
          <w:szCs w:val="22"/>
        </w:rPr>
        <w:t xml:space="preserve">CAPITULO </w:t>
      </w:r>
      <w:r w:rsidR="004A0DA5" w:rsidRPr="00104F4B">
        <w:rPr>
          <w:rFonts w:ascii="Arial" w:hAnsi="Arial" w:cs="Arial"/>
          <w:sz w:val="22"/>
          <w:szCs w:val="22"/>
        </w:rPr>
        <w:t xml:space="preserve">3 </w:t>
      </w:r>
      <w:r w:rsidRPr="00104F4B">
        <w:rPr>
          <w:rFonts w:ascii="Arial" w:hAnsi="Arial" w:cs="Arial"/>
          <w:sz w:val="22"/>
          <w:szCs w:val="22"/>
        </w:rPr>
        <w:t xml:space="preserve"> GESTIÓN </w:t>
      </w:r>
      <w:r w:rsidR="008E3132" w:rsidRPr="00104F4B">
        <w:rPr>
          <w:rFonts w:ascii="Arial" w:hAnsi="Arial" w:cs="Arial"/>
          <w:sz w:val="22"/>
          <w:szCs w:val="22"/>
        </w:rPr>
        <w:t>DE  PROCESOS ESTRATÉGICOS Y DE CONTROL</w:t>
      </w:r>
      <w:bookmarkEnd w:id="11"/>
      <w:bookmarkEnd w:id="12"/>
      <w:r w:rsidRPr="00104F4B">
        <w:rPr>
          <w:rFonts w:ascii="Arial" w:hAnsi="Arial" w:cs="Arial"/>
          <w:sz w:val="22"/>
          <w:szCs w:val="22"/>
        </w:rPr>
        <w:t xml:space="preserve"> </w:t>
      </w:r>
    </w:p>
    <w:p w:rsidR="00501BF5" w:rsidRPr="00104F4B" w:rsidRDefault="00501BF5" w:rsidP="00F35347">
      <w:pPr>
        <w:pStyle w:val="Prrafodelista"/>
        <w:numPr>
          <w:ilvl w:val="1"/>
          <w:numId w:val="17"/>
        </w:numPr>
        <w:spacing w:before="240" w:after="120"/>
        <w:jc w:val="left"/>
        <w:rPr>
          <w:rStyle w:val="Ttulo1Car"/>
          <w:rFonts w:ascii="Arial" w:eastAsia="Calibri" w:hAnsi="Arial" w:cs="Arial"/>
          <w:sz w:val="22"/>
          <w:szCs w:val="22"/>
        </w:rPr>
      </w:pPr>
      <w:bookmarkStart w:id="13" w:name="_Toc472944038"/>
      <w:bookmarkStart w:id="14" w:name="_Toc536195520"/>
      <w:r w:rsidRPr="00104F4B">
        <w:rPr>
          <w:rStyle w:val="Ttulo1Car"/>
          <w:rFonts w:ascii="Arial" w:eastAsia="Calibri" w:hAnsi="Arial" w:cs="Arial"/>
          <w:sz w:val="22"/>
          <w:szCs w:val="22"/>
        </w:rPr>
        <w:t>OFICINA ASESORA DE PLANEACIÓN - OAP</w:t>
      </w:r>
      <w:bookmarkEnd w:id="13"/>
      <w:bookmarkEnd w:id="14"/>
    </w:p>
    <w:p w:rsidR="00501BF5" w:rsidRPr="00104F4B" w:rsidRDefault="00485906" w:rsidP="00F35347">
      <w:pPr>
        <w:pStyle w:val="Prrafodelista"/>
        <w:numPr>
          <w:ilvl w:val="2"/>
          <w:numId w:val="17"/>
        </w:numPr>
        <w:spacing w:before="0"/>
        <w:rPr>
          <w:rStyle w:val="Ttulo1Car"/>
          <w:rFonts w:ascii="Arial" w:eastAsia="Calibri" w:hAnsi="Arial" w:cs="Arial"/>
          <w:sz w:val="22"/>
          <w:szCs w:val="22"/>
        </w:rPr>
      </w:pPr>
      <w:bookmarkStart w:id="15" w:name="_Toc472944039"/>
      <w:bookmarkStart w:id="16" w:name="_Toc536195521"/>
      <w:r w:rsidRPr="00104F4B">
        <w:rPr>
          <w:rStyle w:val="Ttulo1Car"/>
          <w:rFonts w:ascii="Arial" w:eastAsia="Calibri" w:hAnsi="Arial" w:cs="Arial"/>
          <w:sz w:val="22"/>
          <w:szCs w:val="22"/>
        </w:rPr>
        <w:t>Gestiones a Cargo</w:t>
      </w:r>
      <w:bookmarkEnd w:id="15"/>
      <w:bookmarkEnd w:id="16"/>
    </w:p>
    <w:p w:rsidR="00B06C62" w:rsidRPr="00104F4B" w:rsidRDefault="00B06C62" w:rsidP="00B06C62">
      <w:pPr>
        <w:spacing w:before="0"/>
        <w:rPr>
          <w:rStyle w:val="Ttulo1Car"/>
          <w:rFonts w:ascii="Arial" w:eastAsia="Calibri" w:hAnsi="Arial" w:cs="Arial"/>
          <w:sz w:val="22"/>
          <w:szCs w:val="22"/>
        </w:rPr>
      </w:pPr>
    </w:p>
    <w:p w:rsidR="00B06C62" w:rsidRPr="00104F4B" w:rsidRDefault="004B33B5" w:rsidP="00F35347">
      <w:pPr>
        <w:pStyle w:val="Prrafodelista"/>
        <w:numPr>
          <w:ilvl w:val="3"/>
          <w:numId w:val="17"/>
        </w:numPr>
        <w:spacing w:before="0"/>
        <w:rPr>
          <w:rStyle w:val="Ttulo1Car"/>
          <w:rFonts w:ascii="Arial" w:eastAsia="Calibri" w:hAnsi="Arial" w:cs="Arial"/>
          <w:sz w:val="22"/>
          <w:szCs w:val="22"/>
        </w:rPr>
      </w:pPr>
      <w:bookmarkStart w:id="17" w:name="_Toc536195522"/>
      <w:r w:rsidRPr="00104F4B">
        <w:rPr>
          <w:rStyle w:val="Ttulo1Car"/>
          <w:rFonts w:ascii="Arial" w:eastAsia="Calibri" w:hAnsi="Arial" w:cs="Arial"/>
          <w:sz w:val="22"/>
          <w:szCs w:val="22"/>
        </w:rPr>
        <w:t>Programación y Ejecución Presupuestal</w:t>
      </w:r>
      <w:bookmarkEnd w:id="17"/>
    </w:p>
    <w:p w:rsidR="004B33B5" w:rsidRPr="00104F4B" w:rsidRDefault="004B33B5" w:rsidP="004B33B5">
      <w:pPr>
        <w:spacing w:before="0"/>
        <w:rPr>
          <w:rStyle w:val="Ttulo1Car"/>
          <w:rFonts w:ascii="Arial" w:eastAsia="Calibri" w:hAnsi="Arial" w:cs="Arial"/>
          <w:sz w:val="22"/>
          <w:szCs w:val="22"/>
        </w:rPr>
      </w:pPr>
    </w:p>
    <w:p w:rsidR="004B33B5" w:rsidRPr="00104F4B" w:rsidRDefault="003E4E33" w:rsidP="004B33B5">
      <w:pPr>
        <w:spacing w:before="0"/>
        <w:rPr>
          <w:rFonts w:cs="Arial"/>
          <w:szCs w:val="22"/>
        </w:rPr>
      </w:pPr>
      <w:r w:rsidRPr="00104F4B">
        <w:rPr>
          <w:rFonts w:cs="Arial"/>
          <w:szCs w:val="22"/>
        </w:rPr>
        <w:t>Durante la vigencia 201</w:t>
      </w:r>
      <w:r w:rsidR="00F021DA" w:rsidRPr="00104F4B">
        <w:rPr>
          <w:rFonts w:cs="Arial"/>
          <w:szCs w:val="22"/>
        </w:rPr>
        <w:t>8</w:t>
      </w:r>
      <w:r w:rsidR="004B33B5" w:rsidRPr="00104F4B">
        <w:rPr>
          <w:rFonts w:cs="Arial"/>
          <w:szCs w:val="22"/>
        </w:rPr>
        <w:t>, en el período de enero 1 a diciembre 31, la Oficina Asesora de Planeación ha desarrollado diferentes actividades asesorando, apoyando y efectuando seguimiento a las áreas que intervienen en la ejecución de los proyectos de inversión, presupuesto de la entidad, planes operativos de inversión (POAI) y Plurianual de inversiones; en el marco del plan de desarrollo “</w:t>
      </w:r>
      <w:r w:rsidR="00AA6432" w:rsidRPr="00104F4B">
        <w:rPr>
          <w:rFonts w:cs="Arial"/>
          <w:szCs w:val="22"/>
        </w:rPr>
        <w:t>Bogotá Mejor Para Todos 2016-2020</w:t>
      </w:r>
      <w:r w:rsidR="004B33B5" w:rsidRPr="00104F4B">
        <w:rPr>
          <w:rFonts w:cs="Arial"/>
          <w:szCs w:val="22"/>
        </w:rPr>
        <w:t>”, las cuales se presentan a continuación:</w:t>
      </w:r>
    </w:p>
    <w:p w:rsidR="004B33B5" w:rsidRPr="00104F4B" w:rsidRDefault="004B33B5" w:rsidP="004B33B5">
      <w:pPr>
        <w:spacing w:before="0"/>
        <w:rPr>
          <w:rFonts w:cs="Arial"/>
          <w:szCs w:val="22"/>
        </w:rPr>
      </w:pPr>
    </w:p>
    <w:p w:rsidR="004B33B5" w:rsidRPr="00104F4B" w:rsidRDefault="004B33B5" w:rsidP="002625A5">
      <w:pPr>
        <w:numPr>
          <w:ilvl w:val="0"/>
          <w:numId w:val="20"/>
        </w:numPr>
        <w:spacing w:before="0"/>
        <w:rPr>
          <w:rFonts w:cs="Arial"/>
          <w:szCs w:val="22"/>
        </w:rPr>
      </w:pPr>
      <w:r w:rsidRPr="00104F4B">
        <w:rPr>
          <w:rFonts w:cs="Arial"/>
          <w:b/>
          <w:szCs w:val="22"/>
        </w:rPr>
        <w:t>Seguimiento Presupuestal</w:t>
      </w:r>
      <w:r w:rsidR="00F64FA4" w:rsidRPr="00104F4B">
        <w:rPr>
          <w:rFonts w:cs="Arial"/>
          <w:b/>
          <w:szCs w:val="22"/>
        </w:rPr>
        <w:t xml:space="preserve">: </w:t>
      </w:r>
      <w:r w:rsidRPr="00104F4B">
        <w:rPr>
          <w:rFonts w:cs="Arial"/>
          <w:szCs w:val="22"/>
        </w:rPr>
        <w:t>El seguimiento presupuestal tiene como propósito la articulación de las áreas ejecutoras en lo relacionado con la asignación y utilización de los recursos de manera tal que exista eficiencia y optimización de los mismos. Por lo anterior, desde la Oficina Asesora de Planeación se ejerce un seguimiento detallado de la ejecución presupuestal de los diferentes proyectos de inversión adelantados por el Instituto. En el reporte de ejecución se relacionan los recursos programados para la vigencia, las reservas y los pasivos de cada una de las áreas.</w:t>
      </w:r>
    </w:p>
    <w:p w:rsidR="004B33B5" w:rsidRPr="00104F4B" w:rsidRDefault="004B33B5" w:rsidP="004B33B5">
      <w:pPr>
        <w:rPr>
          <w:rFonts w:cs="Arial"/>
          <w:szCs w:val="22"/>
        </w:rPr>
      </w:pPr>
      <w:r w:rsidRPr="00104F4B">
        <w:rPr>
          <w:rFonts w:cs="Arial"/>
          <w:szCs w:val="22"/>
        </w:rPr>
        <w:t>Este ejercicio permitió la toma de decisiones en temas financieros de los diferentes proyectos que se gestionan al interior de la entidad, lo cual redundó en el mejoramiento de la ejecución presupuestal. Las evidencias de dicha gestión quedan consignadas en las actas de los comités de dirección adelantados durante 201</w:t>
      </w:r>
      <w:r w:rsidR="00F021DA" w:rsidRPr="00104F4B">
        <w:rPr>
          <w:rFonts w:cs="Arial"/>
          <w:szCs w:val="22"/>
        </w:rPr>
        <w:t>8.</w:t>
      </w:r>
    </w:p>
    <w:p w:rsidR="004B33B5" w:rsidRPr="00104F4B" w:rsidRDefault="004B33B5" w:rsidP="004B33B5">
      <w:pPr>
        <w:rPr>
          <w:rFonts w:cs="Arial"/>
          <w:szCs w:val="22"/>
        </w:rPr>
      </w:pPr>
      <w:r w:rsidRPr="00104F4B">
        <w:rPr>
          <w:rFonts w:cs="Arial"/>
          <w:szCs w:val="22"/>
        </w:rPr>
        <w:t xml:space="preserve">Dentro del seguimiento están las Validaciones </w:t>
      </w:r>
      <w:r w:rsidR="008F1626" w:rsidRPr="00104F4B">
        <w:rPr>
          <w:rFonts w:cs="Arial"/>
          <w:szCs w:val="22"/>
        </w:rPr>
        <w:t xml:space="preserve">al </w:t>
      </w:r>
      <w:r w:rsidRPr="00104F4B">
        <w:rPr>
          <w:rFonts w:cs="Arial"/>
          <w:szCs w:val="22"/>
        </w:rPr>
        <w:t>P</w:t>
      </w:r>
      <w:r w:rsidR="008F1626" w:rsidRPr="00104F4B">
        <w:rPr>
          <w:rFonts w:cs="Arial"/>
          <w:szCs w:val="22"/>
        </w:rPr>
        <w:t xml:space="preserve">lan </w:t>
      </w:r>
      <w:r w:rsidRPr="00104F4B">
        <w:rPr>
          <w:rFonts w:cs="Arial"/>
          <w:szCs w:val="22"/>
        </w:rPr>
        <w:t>O</w:t>
      </w:r>
      <w:r w:rsidR="008F1626" w:rsidRPr="00104F4B">
        <w:rPr>
          <w:rFonts w:cs="Arial"/>
          <w:szCs w:val="22"/>
        </w:rPr>
        <w:t xml:space="preserve">perativo </w:t>
      </w:r>
      <w:r w:rsidRPr="00104F4B">
        <w:rPr>
          <w:rFonts w:cs="Arial"/>
          <w:szCs w:val="22"/>
        </w:rPr>
        <w:t>A</w:t>
      </w:r>
      <w:r w:rsidR="008F1626" w:rsidRPr="00104F4B">
        <w:rPr>
          <w:rFonts w:cs="Arial"/>
          <w:szCs w:val="22"/>
        </w:rPr>
        <w:t xml:space="preserve">nual de </w:t>
      </w:r>
      <w:r w:rsidRPr="00104F4B">
        <w:rPr>
          <w:rFonts w:cs="Arial"/>
          <w:szCs w:val="22"/>
        </w:rPr>
        <w:t>I</w:t>
      </w:r>
      <w:r w:rsidR="008F1626" w:rsidRPr="00104F4B">
        <w:rPr>
          <w:rFonts w:cs="Arial"/>
          <w:szCs w:val="22"/>
        </w:rPr>
        <w:t>nversiones POAI</w:t>
      </w:r>
      <w:r w:rsidRPr="00104F4B">
        <w:rPr>
          <w:rFonts w:cs="Arial"/>
          <w:szCs w:val="22"/>
        </w:rPr>
        <w:t>, donde la O</w:t>
      </w:r>
      <w:r w:rsidR="008F1626" w:rsidRPr="00104F4B">
        <w:rPr>
          <w:rFonts w:cs="Arial"/>
          <w:szCs w:val="22"/>
        </w:rPr>
        <w:t xml:space="preserve">ficina </w:t>
      </w:r>
      <w:r w:rsidRPr="00104F4B">
        <w:rPr>
          <w:rFonts w:cs="Arial"/>
          <w:szCs w:val="22"/>
        </w:rPr>
        <w:t>A</w:t>
      </w:r>
      <w:r w:rsidR="008F1626" w:rsidRPr="00104F4B">
        <w:rPr>
          <w:rFonts w:cs="Arial"/>
          <w:szCs w:val="22"/>
        </w:rPr>
        <w:t xml:space="preserve">sesora de </w:t>
      </w:r>
      <w:r w:rsidRPr="00104F4B">
        <w:rPr>
          <w:rFonts w:cs="Arial"/>
          <w:szCs w:val="22"/>
        </w:rPr>
        <w:t>P</w:t>
      </w:r>
      <w:r w:rsidR="008F1626" w:rsidRPr="00104F4B">
        <w:rPr>
          <w:rFonts w:cs="Arial"/>
          <w:szCs w:val="22"/>
        </w:rPr>
        <w:t xml:space="preserve">laneación </w:t>
      </w:r>
      <w:r w:rsidRPr="00104F4B">
        <w:rPr>
          <w:rFonts w:cs="Arial"/>
          <w:szCs w:val="22"/>
        </w:rPr>
        <w:t>analiza todas y cada una de las solicitudes,</w:t>
      </w:r>
      <w:r w:rsidR="002A58FF" w:rsidRPr="00104F4B">
        <w:rPr>
          <w:rFonts w:cs="Arial"/>
          <w:szCs w:val="22"/>
        </w:rPr>
        <w:t xml:space="preserve"> se </w:t>
      </w:r>
      <w:r w:rsidRPr="00104F4B">
        <w:rPr>
          <w:rFonts w:cs="Arial"/>
          <w:szCs w:val="22"/>
        </w:rPr>
        <w:t>verifica que cada una cuente con los recursos disponibles, que estén diligenciados correctamente los campos del formato de información básica financiera, justificación, control presupuestal, que el proceso se encuentre publicado en el portal de contratación y que adicionalmente sea coherente con su propio Plan de Acción de Inversión.</w:t>
      </w:r>
    </w:p>
    <w:p w:rsidR="004B33B5" w:rsidRPr="00104F4B" w:rsidRDefault="004B33B5" w:rsidP="004B33B5">
      <w:pPr>
        <w:rPr>
          <w:rFonts w:cs="Arial"/>
          <w:szCs w:val="22"/>
        </w:rPr>
      </w:pPr>
      <w:r w:rsidRPr="00104F4B">
        <w:rPr>
          <w:rFonts w:cs="Arial"/>
          <w:szCs w:val="22"/>
        </w:rPr>
        <w:t xml:space="preserve">Una vez aprobada la validación POAI el área ejecutora puede continuar con el proceso de solicitud de Certificados de Disponibilidad Presupuestal - CDP y radicación en Procesos Selectivos, si así se requiere.  </w:t>
      </w:r>
    </w:p>
    <w:p w:rsidR="004B33B5" w:rsidRPr="00104F4B" w:rsidRDefault="004B33B5" w:rsidP="004B33B5">
      <w:pPr>
        <w:rPr>
          <w:rFonts w:cs="Arial"/>
          <w:strike/>
          <w:szCs w:val="22"/>
        </w:rPr>
      </w:pPr>
      <w:r w:rsidRPr="00104F4B">
        <w:rPr>
          <w:rFonts w:cs="Arial"/>
          <w:szCs w:val="22"/>
        </w:rPr>
        <w:t>A partir de las solicitudes de modificaciones presupuestales internas, la OAP revisa La información de los formatos de requerimiento elaborados por las áreas</w:t>
      </w:r>
      <w:r w:rsidR="00906AEB" w:rsidRPr="00104F4B">
        <w:rPr>
          <w:rFonts w:cs="Arial"/>
          <w:szCs w:val="22"/>
        </w:rPr>
        <w:t xml:space="preserve"> ejecutoras del gasto</w:t>
      </w:r>
      <w:r w:rsidRPr="00104F4B">
        <w:rPr>
          <w:rFonts w:cs="Arial"/>
          <w:szCs w:val="22"/>
        </w:rPr>
        <w:t xml:space="preserve">, verificando las fuentes de financiación, los centros de costos, el proyecto de inversión,  la justificación y la disponibilidad de recursos con el fin de controlar la destinación de los </w:t>
      </w:r>
      <w:r w:rsidR="002A58FF" w:rsidRPr="00104F4B">
        <w:rPr>
          <w:rFonts w:cs="Arial"/>
          <w:szCs w:val="22"/>
        </w:rPr>
        <w:t>mismos</w:t>
      </w:r>
      <w:r w:rsidR="00906AEB" w:rsidRPr="00104F4B">
        <w:rPr>
          <w:rFonts w:cs="Arial"/>
          <w:szCs w:val="22"/>
        </w:rPr>
        <w:t xml:space="preserve"> y principalmente las implicaciones en ejecución de metas plan de desarrollo que se encuentren involucradas en cada una de las solicitudes</w:t>
      </w:r>
      <w:r w:rsidRPr="00104F4B">
        <w:rPr>
          <w:rFonts w:cs="Arial"/>
          <w:szCs w:val="22"/>
        </w:rPr>
        <w:t>.</w:t>
      </w:r>
    </w:p>
    <w:p w:rsidR="003C31B7" w:rsidRPr="00104F4B" w:rsidRDefault="004B33B5" w:rsidP="004B33B5">
      <w:pPr>
        <w:rPr>
          <w:rFonts w:cs="Arial"/>
          <w:szCs w:val="22"/>
        </w:rPr>
      </w:pPr>
      <w:r w:rsidRPr="00104F4B">
        <w:rPr>
          <w:rFonts w:cs="Arial"/>
          <w:szCs w:val="22"/>
        </w:rPr>
        <w:t>En la vigencia 201</w:t>
      </w:r>
      <w:r w:rsidR="00906AEB" w:rsidRPr="00104F4B">
        <w:rPr>
          <w:rFonts w:cs="Arial"/>
          <w:szCs w:val="22"/>
        </w:rPr>
        <w:t>8</w:t>
      </w:r>
      <w:r w:rsidRPr="00104F4B">
        <w:rPr>
          <w:rFonts w:cs="Arial"/>
          <w:szCs w:val="22"/>
        </w:rPr>
        <w:t xml:space="preserve"> se aprobaron </w:t>
      </w:r>
      <w:r w:rsidR="00117996" w:rsidRPr="00104F4B">
        <w:rPr>
          <w:rFonts w:cs="Arial"/>
          <w:szCs w:val="22"/>
        </w:rPr>
        <w:t>2548</w:t>
      </w:r>
      <w:r w:rsidRPr="00104F4B">
        <w:rPr>
          <w:rFonts w:cs="Arial"/>
          <w:szCs w:val="22"/>
        </w:rPr>
        <w:t xml:space="preserve"> Validaciones POAI, se gestionaron</w:t>
      </w:r>
      <w:r w:rsidR="002A58FF" w:rsidRPr="00104F4B">
        <w:rPr>
          <w:rFonts w:cs="Arial"/>
          <w:szCs w:val="22"/>
        </w:rPr>
        <w:t xml:space="preserve"> </w:t>
      </w:r>
      <w:r w:rsidR="0043355E" w:rsidRPr="00104F4B">
        <w:rPr>
          <w:rFonts w:cs="Arial"/>
          <w:szCs w:val="22"/>
        </w:rPr>
        <w:t>741</w:t>
      </w:r>
      <w:r w:rsidR="002A58FF" w:rsidRPr="00104F4B">
        <w:rPr>
          <w:rFonts w:cs="Arial"/>
          <w:szCs w:val="22"/>
        </w:rPr>
        <w:t xml:space="preserve"> modificaciones presupuestales a los centros de costos que constituyen el presupuesto de la Entidad, </w:t>
      </w:r>
      <w:r w:rsidR="00E50BBB" w:rsidRPr="00104F4B">
        <w:rPr>
          <w:rFonts w:cs="Arial"/>
          <w:szCs w:val="22"/>
        </w:rPr>
        <w:t xml:space="preserve">8 </w:t>
      </w:r>
      <w:r w:rsidR="002A58FF" w:rsidRPr="00104F4B">
        <w:rPr>
          <w:rFonts w:cs="Arial"/>
          <w:szCs w:val="22"/>
        </w:rPr>
        <w:t>modificaciones</w:t>
      </w:r>
      <w:r w:rsidRPr="00104F4B">
        <w:rPr>
          <w:rFonts w:cs="Arial"/>
          <w:szCs w:val="22"/>
        </w:rPr>
        <w:t xml:space="preserve"> externas, entre las cuales se encuentran: </w:t>
      </w:r>
      <w:r w:rsidR="00E50BBB" w:rsidRPr="00104F4B">
        <w:rPr>
          <w:rFonts w:cs="Arial"/>
          <w:szCs w:val="22"/>
        </w:rPr>
        <w:t>4</w:t>
      </w:r>
      <w:r w:rsidR="002A58FF" w:rsidRPr="00104F4B">
        <w:rPr>
          <w:rFonts w:cs="Arial"/>
          <w:szCs w:val="22"/>
        </w:rPr>
        <w:t xml:space="preserve"> </w:t>
      </w:r>
      <w:r w:rsidRPr="00104F4B">
        <w:rPr>
          <w:rFonts w:cs="Arial"/>
          <w:szCs w:val="22"/>
        </w:rPr>
        <w:t>traslados</w:t>
      </w:r>
      <w:r w:rsidR="00E50BBB" w:rsidRPr="00104F4B">
        <w:rPr>
          <w:rFonts w:cs="Arial"/>
          <w:szCs w:val="22"/>
        </w:rPr>
        <w:t xml:space="preserve"> entre proyectos de inversión y 4</w:t>
      </w:r>
      <w:r w:rsidRPr="00104F4B">
        <w:rPr>
          <w:rFonts w:cs="Arial"/>
          <w:szCs w:val="22"/>
        </w:rPr>
        <w:t xml:space="preserve"> </w:t>
      </w:r>
      <w:r w:rsidR="00E50BBB" w:rsidRPr="00104F4B">
        <w:rPr>
          <w:rFonts w:cs="Arial"/>
          <w:szCs w:val="22"/>
        </w:rPr>
        <w:t>reducciones</w:t>
      </w:r>
      <w:r w:rsidRPr="00104F4B">
        <w:rPr>
          <w:rFonts w:cs="Arial"/>
          <w:szCs w:val="22"/>
        </w:rPr>
        <w:t xml:space="preserve"> presupuestal</w:t>
      </w:r>
      <w:r w:rsidR="00E50BBB" w:rsidRPr="00104F4B">
        <w:rPr>
          <w:rFonts w:cs="Arial"/>
          <w:szCs w:val="22"/>
        </w:rPr>
        <w:t>es</w:t>
      </w:r>
      <w:r w:rsidR="003C31B7" w:rsidRPr="00104F4B">
        <w:rPr>
          <w:rFonts w:cs="Arial"/>
          <w:szCs w:val="22"/>
        </w:rPr>
        <w:t>.</w:t>
      </w:r>
    </w:p>
    <w:p w:rsidR="002A58FF" w:rsidRPr="00104F4B" w:rsidRDefault="002A58FF" w:rsidP="00F64FA4">
      <w:pPr>
        <w:spacing w:before="0"/>
        <w:rPr>
          <w:rFonts w:cs="Arial"/>
          <w:szCs w:val="22"/>
          <w:highlight w:val="yellow"/>
        </w:rPr>
      </w:pPr>
    </w:p>
    <w:p w:rsidR="004B33B5" w:rsidRPr="00104F4B" w:rsidRDefault="004B33B5" w:rsidP="00F64FA4">
      <w:pPr>
        <w:spacing w:before="0"/>
        <w:rPr>
          <w:rFonts w:cs="Arial"/>
          <w:szCs w:val="22"/>
        </w:rPr>
      </w:pPr>
      <w:r w:rsidRPr="00104F4B">
        <w:rPr>
          <w:rFonts w:cs="Arial"/>
          <w:szCs w:val="22"/>
        </w:rPr>
        <w:lastRenderedPageBreak/>
        <w:t>Durante los meses de noviembre y diciembre de 201</w:t>
      </w:r>
      <w:r w:rsidR="00E50BBB" w:rsidRPr="00104F4B">
        <w:rPr>
          <w:rFonts w:cs="Arial"/>
          <w:szCs w:val="22"/>
        </w:rPr>
        <w:t>8</w:t>
      </w:r>
      <w:r w:rsidRPr="00104F4B">
        <w:rPr>
          <w:rFonts w:cs="Arial"/>
          <w:szCs w:val="22"/>
        </w:rPr>
        <w:t>, la O</w:t>
      </w:r>
      <w:r w:rsidR="002A58FF" w:rsidRPr="00104F4B">
        <w:rPr>
          <w:rFonts w:cs="Arial"/>
          <w:szCs w:val="22"/>
        </w:rPr>
        <w:t xml:space="preserve">ficina </w:t>
      </w:r>
      <w:r w:rsidRPr="00104F4B">
        <w:rPr>
          <w:rFonts w:cs="Arial"/>
          <w:szCs w:val="22"/>
        </w:rPr>
        <w:t>acompañó a</w:t>
      </w:r>
      <w:r w:rsidR="002A58FF" w:rsidRPr="00104F4B">
        <w:rPr>
          <w:rFonts w:cs="Arial"/>
          <w:szCs w:val="22"/>
        </w:rPr>
        <w:t xml:space="preserve"> las áreas ejecutoras del gasto</w:t>
      </w:r>
      <w:r w:rsidRPr="00104F4B">
        <w:rPr>
          <w:rFonts w:cs="Arial"/>
          <w:szCs w:val="22"/>
        </w:rPr>
        <w:t xml:space="preserve"> en la elaboración del Plan de </w:t>
      </w:r>
      <w:r w:rsidR="003C31B7" w:rsidRPr="00104F4B">
        <w:rPr>
          <w:rFonts w:cs="Arial"/>
          <w:szCs w:val="22"/>
        </w:rPr>
        <w:t>adquisiciones</w:t>
      </w:r>
      <w:r w:rsidRPr="00104F4B">
        <w:rPr>
          <w:rFonts w:cs="Arial"/>
          <w:szCs w:val="22"/>
        </w:rPr>
        <w:t xml:space="preserve"> de la vigencia 201</w:t>
      </w:r>
      <w:r w:rsidR="00906AEB" w:rsidRPr="00104F4B">
        <w:rPr>
          <w:rFonts w:cs="Arial"/>
          <w:szCs w:val="22"/>
        </w:rPr>
        <w:t>9</w:t>
      </w:r>
      <w:r w:rsidRPr="00104F4B">
        <w:rPr>
          <w:rFonts w:cs="Arial"/>
          <w:szCs w:val="22"/>
        </w:rPr>
        <w:t>, cuyo insumo básico es el proyecto de presupuesto presentado a Secretaría de Hacienda Distrital, ajustado a la cuota global asignada por dicha Entidad. En el Plan de contratación se programan las inversiones a realizarse en el año 201</w:t>
      </w:r>
      <w:r w:rsidR="00906AEB" w:rsidRPr="00104F4B">
        <w:rPr>
          <w:rFonts w:cs="Arial"/>
          <w:szCs w:val="22"/>
        </w:rPr>
        <w:t>9</w:t>
      </w:r>
      <w:r w:rsidRPr="00104F4B">
        <w:rPr>
          <w:rFonts w:cs="Arial"/>
          <w:szCs w:val="22"/>
        </w:rPr>
        <w:t>.</w:t>
      </w:r>
    </w:p>
    <w:p w:rsidR="001B242D" w:rsidRPr="00104F4B" w:rsidRDefault="001B242D" w:rsidP="00F64FA4">
      <w:pPr>
        <w:spacing w:before="0"/>
        <w:rPr>
          <w:rFonts w:cs="Arial"/>
          <w:szCs w:val="22"/>
          <w:highlight w:val="yellow"/>
        </w:rPr>
      </w:pPr>
    </w:p>
    <w:p w:rsidR="004B33B5" w:rsidRPr="00104F4B" w:rsidRDefault="004B33B5" w:rsidP="002625A5">
      <w:pPr>
        <w:numPr>
          <w:ilvl w:val="0"/>
          <w:numId w:val="19"/>
        </w:numPr>
        <w:spacing w:before="0"/>
        <w:rPr>
          <w:rFonts w:cs="Arial"/>
          <w:b/>
          <w:szCs w:val="22"/>
        </w:rPr>
      </w:pPr>
      <w:r w:rsidRPr="00104F4B">
        <w:rPr>
          <w:rFonts w:cs="Arial"/>
          <w:b/>
          <w:szCs w:val="22"/>
        </w:rPr>
        <w:t xml:space="preserve">Seguimiento Físico y presupuestal al cumplimiento de las metas del Plan de Desarrollo. </w:t>
      </w:r>
    </w:p>
    <w:p w:rsidR="00A72922" w:rsidRPr="00104F4B" w:rsidRDefault="00A72922" w:rsidP="00A72922">
      <w:pPr>
        <w:spacing w:before="0"/>
        <w:ind w:left="360"/>
        <w:rPr>
          <w:rFonts w:cs="Arial"/>
          <w:b/>
          <w:szCs w:val="22"/>
        </w:rPr>
      </w:pPr>
    </w:p>
    <w:p w:rsidR="004B33B5" w:rsidRPr="00104F4B" w:rsidRDefault="004B33B5" w:rsidP="00F64FA4">
      <w:pPr>
        <w:spacing w:before="0"/>
        <w:rPr>
          <w:rFonts w:cs="Arial"/>
          <w:szCs w:val="22"/>
        </w:rPr>
      </w:pPr>
      <w:r w:rsidRPr="00104F4B">
        <w:rPr>
          <w:rFonts w:cs="Arial"/>
          <w:b/>
          <w:i/>
          <w:szCs w:val="22"/>
        </w:rPr>
        <w:t>Actualización Banco de Proyectos</w:t>
      </w:r>
      <w:r w:rsidRPr="00104F4B">
        <w:rPr>
          <w:rFonts w:cs="Arial"/>
          <w:szCs w:val="22"/>
        </w:rPr>
        <w:t xml:space="preserve">: Se actualizaron los proyectos de inversión del Plan de Desarrollo, que reposan en el Banco de Programas y Proyectos de la Secretaría Distrital de Planeación, con corte a </w:t>
      </w:r>
      <w:r w:rsidR="001B099C" w:rsidRPr="00104F4B">
        <w:rPr>
          <w:rFonts w:cs="Arial"/>
          <w:szCs w:val="22"/>
        </w:rPr>
        <w:t xml:space="preserve"> diciembre 31 de 201</w:t>
      </w:r>
      <w:r w:rsidR="00906AEB" w:rsidRPr="00104F4B">
        <w:rPr>
          <w:rFonts w:cs="Arial"/>
          <w:szCs w:val="22"/>
        </w:rPr>
        <w:t>7</w:t>
      </w:r>
      <w:r w:rsidR="001B099C" w:rsidRPr="00104F4B">
        <w:rPr>
          <w:rFonts w:cs="Arial"/>
          <w:szCs w:val="22"/>
        </w:rPr>
        <w:t xml:space="preserve">, </w:t>
      </w:r>
      <w:r w:rsidRPr="00104F4B">
        <w:rPr>
          <w:rFonts w:cs="Arial"/>
          <w:szCs w:val="22"/>
        </w:rPr>
        <w:t xml:space="preserve">marzo 31, </w:t>
      </w:r>
      <w:r w:rsidR="001B099C" w:rsidRPr="00104F4B">
        <w:rPr>
          <w:rFonts w:cs="Arial"/>
          <w:szCs w:val="22"/>
        </w:rPr>
        <w:t>junio 30 y septiembre 30 de 201</w:t>
      </w:r>
      <w:r w:rsidR="00906AEB" w:rsidRPr="00104F4B">
        <w:rPr>
          <w:rFonts w:cs="Arial"/>
          <w:szCs w:val="22"/>
        </w:rPr>
        <w:t>8</w:t>
      </w:r>
      <w:r w:rsidRPr="00104F4B">
        <w:rPr>
          <w:rFonts w:cs="Arial"/>
          <w:szCs w:val="22"/>
        </w:rPr>
        <w:t xml:space="preserve">, tanto en las fichas EBI como en las formulaciones de cada uno de los </w:t>
      </w:r>
      <w:r w:rsidR="001B099C" w:rsidRPr="00104F4B">
        <w:rPr>
          <w:rFonts w:cs="Arial"/>
          <w:szCs w:val="22"/>
        </w:rPr>
        <w:t>s</w:t>
      </w:r>
      <w:r w:rsidRPr="00104F4B">
        <w:rPr>
          <w:rFonts w:cs="Arial"/>
          <w:szCs w:val="22"/>
        </w:rPr>
        <w:t>e</w:t>
      </w:r>
      <w:r w:rsidR="001B099C" w:rsidRPr="00104F4B">
        <w:rPr>
          <w:rFonts w:cs="Arial"/>
          <w:szCs w:val="22"/>
        </w:rPr>
        <w:t>is</w:t>
      </w:r>
      <w:r w:rsidRPr="00104F4B">
        <w:rPr>
          <w:rFonts w:cs="Arial"/>
          <w:szCs w:val="22"/>
        </w:rPr>
        <w:t xml:space="preserve"> proyectos que el IDU tiene a su cargo. Además se actualizaron las formulacio</w:t>
      </w:r>
      <w:r w:rsidR="00906AEB" w:rsidRPr="00104F4B">
        <w:rPr>
          <w:rFonts w:cs="Arial"/>
          <w:szCs w:val="22"/>
        </w:rPr>
        <w:t xml:space="preserve">nes de los proyectos incluidos en </w:t>
      </w:r>
      <w:r w:rsidR="00E50BBB" w:rsidRPr="00104F4B">
        <w:rPr>
          <w:rFonts w:cs="Arial"/>
          <w:szCs w:val="22"/>
        </w:rPr>
        <w:t>t</w:t>
      </w:r>
      <w:r w:rsidRPr="00104F4B">
        <w:rPr>
          <w:rFonts w:cs="Arial"/>
          <w:szCs w:val="22"/>
        </w:rPr>
        <w:t>raslados presupuestales externos realizados en la vigencia 201</w:t>
      </w:r>
      <w:r w:rsidR="00906AEB" w:rsidRPr="00104F4B">
        <w:rPr>
          <w:rFonts w:cs="Arial"/>
          <w:szCs w:val="22"/>
        </w:rPr>
        <w:t>8</w:t>
      </w:r>
      <w:r w:rsidRPr="00104F4B">
        <w:rPr>
          <w:rFonts w:cs="Arial"/>
          <w:szCs w:val="22"/>
        </w:rPr>
        <w:t xml:space="preserve">, así como </w:t>
      </w:r>
      <w:r w:rsidR="00906AEB" w:rsidRPr="00104F4B">
        <w:rPr>
          <w:rFonts w:cs="Arial"/>
          <w:szCs w:val="22"/>
        </w:rPr>
        <w:t>las r</w:t>
      </w:r>
      <w:r w:rsidRPr="00104F4B">
        <w:rPr>
          <w:rFonts w:cs="Arial"/>
          <w:szCs w:val="22"/>
        </w:rPr>
        <w:t>educci</w:t>
      </w:r>
      <w:r w:rsidR="00906AEB" w:rsidRPr="00104F4B">
        <w:rPr>
          <w:rFonts w:cs="Arial"/>
          <w:szCs w:val="22"/>
        </w:rPr>
        <w:t>ones</w:t>
      </w:r>
      <w:r w:rsidRPr="00104F4B">
        <w:rPr>
          <w:rFonts w:cs="Arial"/>
          <w:szCs w:val="22"/>
        </w:rPr>
        <w:t xml:space="preserve">  presupuestal</w:t>
      </w:r>
      <w:r w:rsidR="00906AEB" w:rsidRPr="00104F4B">
        <w:rPr>
          <w:rFonts w:cs="Arial"/>
          <w:szCs w:val="22"/>
        </w:rPr>
        <w:t>es que se presentaron</w:t>
      </w:r>
      <w:r w:rsidRPr="00104F4B">
        <w:rPr>
          <w:rFonts w:cs="Arial"/>
          <w:szCs w:val="22"/>
        </w:rPr>
        <w:t xml:space="preserve"> a la SHD y SDP</w:t>
      </w:r>
      <w:r w:rsidR="00906AEB" w:rsidRPr="00104F4B">
        <w:rPr>
          <w:rFonts w:cs="Arial"/>
          <w:szCs w:val="22"/>
        </w:rPr>
        <w:t>, en la vigencia 2018</w:t>
      </w:r>
      <w:r w:rsidRPr="00104F4B">
        <w:rPr>
          <w:rFonts w:cs="Arial"/>
          <w:szCs w:val="22"/>
        </w:rPr>
        <w:t>.</w:t>
      </w:r>
    </w:p>
    <w:p w:rsidR="004B33B5" w:rsidRPr="00104F4B" w:rsidRDefault="004B33B5" w:rsidP="004B33B5">
      <w:pPr>
        <w:tabs>
          <w:tab w:val="num" w:pos="1080"/>
        </w:tabs>
        <w:rPr>
          <w:rFonts w:cs="Arial"/>
          <w:szCs w:val="22"/>
        </w:rPr>
      </w:pPr>
      <w:r w:rsidRPr="00104F4B">
        <w:rPr>
          <w:rFonts w:cs="Arial"/>
          <w:b/>
          <w:i/>
          <w:szCs w:val="22"/>
        </w:rPr>
        <w:t>Actualización informe de seguimiento a las metas del Plan de Desarrollo</w:t>
      </w:r>
      <w:r w:rsidRPr="00104F4B">
        <w:rPr>
          <w:rFonts w:cs="Arial"/>
          <w:szCs w:val="22"/>
        </w:rPr>
        <w:t>: Se elaboraron los informes de componente de gestión e inversión por entidad con corte a 31/12/201</w:t>
      </w:r>
      <w:r w:rsidR="00906AEB" w:rsidRPr="00104F4B">
        <w:rPr>
          <w:rFonts w:cs="Arial"/>
          <w:szCs w:val="22"/>
        </w:rPr>
        <w:t>8</w:t>
      </w:r>
      <w:r w:rsidRPr="00104F4B">
        <w:rPr>
          <w:rFonts w:cs="Arial"/>
          <w:szCs w:val="22"/>
        </w:rPr>
        <w:t>, generado por el sistema de información SEGPLAN, donde se discriminan los indicadores que corresponden a cada programa asociándoles los recursos y los valores de las metas. Adicionalmente, se relacionan las metas de proyecto que aunque no se ven reflejadas directamente en el Plan de Desarrollo, hacen parte de las actividades necesarias para el cumplimiento del Plan de Desarrollo.</w:t>
      </w:r>
    </w:p>
    <w:p w:rsidR="001B099C" w:rsidRPr="00104F4B" w:rsidRDefault="001B099C" w:rsidP="00293044">
      <w:pPr>
        <w:tabs>
          <w:tab w:val="num" w:pos="1080"/>
        </w:tabs>
        <w:spacing w:before="0"/>
        <w:rPr>
          <w:rFonts w:cs="Arial"/>
          <w:szCs w:val="22"/>
        </w:rPr>
      </w:pPr>
    </w:p>
    <w:p w:rsidR="004B33B5" w:rsidRPr="00104F4B" w:rsidRDefault="004B33B5" w:rsidP="00293044">
      <w:pPr>
        <w:tabs>
          <w:tab w:val="num" w:pos="1080"/>
        </w:tabs>
        <w:spacing w:before="0"/>
        <w:rPr>
          <w:rFonts w:cs="Arial"/>
          <w:szCs w:val="22"/>
        </w:rPr>
      </w:pPr>
      <w:r w:rsidRPr="00104F4B">
        <w:rPr>
          <w:rFonts w:cs="Arial"/>
          <w:szCs w:val="22"/>
        </w:rPr>
        <w:t>Se ha realizado el reporte mensual de P</w:t>
      </w:r>
      <w:r w:rsidR="00D3451E" w:rsidRPr="00104F4B">
        <w:rPr>
          <w:rFonts w:cs="Arial"/>
          <w:szCs w:val="22"/>
        </w:rPr>
        <w:t xml:space="preserve">roductos, </w:t>
      </w:r>
      <w:r w:rsidRPr="00104F4B">
        <w:rPr>
          <w:rFonts w:cs="Arial"/>
          <w:szCs w:val="22"/>
        </w:rPr>
        <w:t>M</w:t>
      </w:r>
      <w:r w:rsidR="00D3451E" w:rsidRPr="00104F4B">
        <w:rPr>
          <w:rFonts w:cs="Arial"/>
          <w:szCs w:val="22"/>
        </w:rPr>
        <w:t xml:space="preserve">etas y </w:t>
      </w:r>
      <w:r w:rsidRPr="00104F4B">
        <w:rPr>
          <w:rFonts w:cs="Arial"/>
          <w:szCs w:val="22"/>
        </w:rPr>
        <w:t>R</w:t>
      </w:r>
      <w:r w:rsidR="00D3451E" w:rsidRPr="00104F4B">
        <w:rPr>
          <w:rFonts w:cs="Arial"/>
          <w:szCs w:val="22"/>
        </w:rPr>
        <w:t xml:space="preserve">esultados  PMR  </w:t>
      </w:r>
      <w:r w:rsidRPr="00104F4B">
        <w:rPr>
          <w:rFonts w:cs="Arial"/>
          <w:szCs w:val="22"/>
        </w:rPr>
        <w:t>en el sistema PREDIS de la SDH, el cual da cuenta de dicha labor para los cortes de los 12 meses de la vigencia</w:t>
      </w:r>
      <w:r w:rsidR="001B099C" w:rsidRPr="00104F4B">
        <w:rPr>
          <w:rFonts w:cs="Arial"/>
          <w:szCs w:val="22"/>
        </w:rPr>
        <w:t xml:space="preserve"> 201</w:t>
      </w:r>
      <w:r w:rsidR="00906AEB" w:rsidRPr="00104F4B">
        <w:rPr>
          <w:rFonts w:cs="Arial"/>
          <w:szCs w:val="22"/>
        </w:rPr>
        <w:t>8</w:t>
      </w:r>
      <w:r w:rsidRPr="00104F4B">
        <w:rPr>
          <w:rFonts w:cs="Arial"/>
          <w:szCs w:val="22"/>
        </w:rPr>
        <w:t xml:space="preserve">. </w:t>
      </w:r>
    </w:p>
    <w:p w:rsidR="00293044" w:rsidRPr="00104F4B" w:rsidRDefault="00293044" w:rsidP="00293044">
      <w:pPr>
        <w:tabs>
          <w:tab w:val="num" w:pos="1080"/>
        </w:tabs>
        <w:spacing w:before="0"/>
        <w:rPr>
          <w:rFonts w:cs="Arial"/>
          <w:szCs w:val="22"/>
        </w:rPr>
      </w:pPr>
    </w:p>
    <w:p w:rsidR="00C76BD9" w:rsidRPr="00104F4B" w:rsidRDefault="004B33B5" w:rsidP="002625A5">
      <w:pPr>
        <w:numPr>
          <w:ilvl w:val="0"/>
          <w:numId w:val="19"/>
        </w:numPr>
        <w:spacing w:before="0"/>
        <w:rPr>
          <w:rFonts w:cs="Arial"/>
          <w:szCs w:val="22"/>
        </w:rPr>
      </w:pPr>
      <w:r w:rsidRPr="00104F4B">
        <w:rPr>
          <w:rFonts w:cs="Arial"/>
          <w:b/>
          <w:szCs w:val="22"/>
        </w:rPr>
        <w:t>Anteproyecto de Presupuesto de Inversión de la Vigencia 201</w:t>
      </w:r>
      <w:r w:rsidR="00906AEB" w:rsidRPr="00104F4B">
        <w:rPr>
          <w:rFonts w:cs="Arial"/>
          <w:b/>
          <w:szCs w:val="22"/>
        </w:rPr>
        <w:t>9</w:t>
      </w:r>
      <w:r w:rsidR="00EA0EBB" w:rsidRPr="00104F4B">
        <w:rPr>
          <w:rFonts w:cs="Arial"/>
          <w:b/>
          <w:szCs w:val="22"/>
        </w:rPr>
        <w:t xml:space="preserve">: </w:t>
      </w:r>
      <w:r w:rsidRPr="00104F4B">
        <w:rPr>
          <w:rFonts w:cs="Arial"/>
          <w:szCs w:val="22"/>
        </w:rPr>
        <w:t>Para la elaboración del anteproyecto de presupuesto de la vigencia 201</w:t>
      </w:r>
      <w:r w:rsidR="00C76BD9" w:rsidRPr="00104F4B">
        <w:rPr>
          <w:rFonts w:cs="Arial"/>
          <w:szCs w:val="22"/>
        </w:rPr>
        <w:t>8</w:t>
      </w:r>
      <w:r w:rsidRPr="00104F4B">
        <w:rPr>
          <w:rFonts w:cs="Arial"/>
          <w:szCs w:val="22"/>
        </w:rPr>
        <w:t>, la O</w:t>
      </w:r>
      <w:r w:rsidR="00C76BD9" w:rsidRPr="00104F4B">
        <w:rPr>
          <w:rFonts w:cs="Arial"/>
          <w:szCs w:val="22"/>
        </w:rPr>
        <w:t xml:space="preserve">ficina </w:t>
      </w:r>
      <w:r w:rsidRPr="00104F4B">
        <w:rPr>
          <w:rFonts w:cs="Arial"/>
          <w:szCs w:val="22"/>
        </w:rPr>
        <w:t>A</w:t>
      </w:r>
      <w:r w:rsidR="00C76BD9" w:rsidRPr="00104F4B">
        <w:rPr>
          <w:rFonts w:cs="Arial"/>
          <w:szCs w:val="22"/>
        </w:rPr>
        <w:t xml:space="preserve">sesora de </w:t>
      </w:r>
      <w:r w:rsidRPr="00104F4B">
        <w:rPr>
          <w:rFonts w:cs="Arial"/>
          <w:szCs w:val="22"/>
        </w:rPr>
        <w:t>P</w:t>
      </w:r>
      <w:r w:rsidR="00C76BD9" w:rsidRPr="00104F4B">
        <w:rPr>
          <w:rFonts w:cs="Arial"/>
          <w:szCs w:val="22"/>
        </w:rPr>
        <w:t>laneación</w:t>
      </w:r>
      <w:r w:rsidRPr="00104F4B">
        <w:rPr>
          <w:rFonts w:cs="Arial"/>
          <w:szCs w:val="22"/>
        </w:rPr>
        <w:t xml:space="preserve"> </w:t>
      </w:r>
      <w:r w:rsidR="00C76BD9" w:rsidRPr="00104F4B">
        <w:rPr>
          <w:rFonts w:cs="Arial"/>
          <w:szCs w:val="22"/>
        </w:rPr>
        <w:t>lideró</w:t>
      </w:r>
      <w:r w:rsidRPr="00104F4B">
        <w:rPr>
          <w:rFonts w:cs="Arial"/>
          <w:szCs w:val="22"/>
        </w:rPr>
        <w:t xml:space="preserve"> mesas de trabajo con las diferentes áreas ejecutoras del gasto y se trabajó en la construcción de una base de datos que contenía todas las necesidades que se presentan en el Instituto.</w:t>
      </w:r>
    </w:p>
    <w:p w:rsidR="00C76BD9" w:rsidRPr="00104F4B" w:rsidRDefault="00C76BD9" w:rsidP="00C76BD9">
      <w:pPr>
        <w:spacing w:before="0"/>
        <w:ind w:left="360"/>
        <w:rPr>
          <w:rFonts w:cs="Arial"/>
          <w:szCs w:val="22"/>
        </w:rPr>
      </w:pPr>
    </w:p>
    <w:p w:rsidR="004B33B5" w:rsidRPr="00104F4B" w:rsidRDefault="004B33B5" w:rsidP="0091299B">
      <w:pPr>
        <w:spacing w:before="0"/>
        <w:rPr>
          <w:rFonts w:cs="Arial"/>
          <w:szCs w:val="22"/>
        </w:rPr>
      </w:pPr>
      <w:r w:rsidRPr="00104F4B">
        <w:rPr>
          <w:rFonts w:cs="Arial"/>
          <w:szCs w:val="22"/>
        </w:rPr>
        <w:t xml:space="preserve">En el mes de </w:t>
      </w:r>
      <w:r w:rsidR="00C76BD9" w:rsidRPr="00104F4B">
        <w:rPr>
          <w:rFonts w:cs="Arial"/>
          <w:szCs w:val="22"/>
        </w:rPr>
        <w:t>agosto</w:t>
      </w:r>
      <w:r w:rsidRPr="00104F4B">
        <w:rPr>
          <w:rFonts w:cs="Arial"/>
          <w:szCs w:val="22"/>
        </w:rPr>
        <w:t xml:space="preserve"> se adelantó la Mesa de Trabajo con la Secretaría Distrital de Hacienda y de Planeación, espacio en el cual se presentó el consolidado general </w:t>
      </w:r>
      <w:r w:rsidR="00EE1F59" w:rsidRPr="00104F4B">
        <w:rPr>
          <w:rFonts w:cs="Arial"/>
          <w:szCs w:val="22"/>
        </w:rPr>
        <w:t xml:space="preserve">de </w:t>
      </w:r>
      <w:r w:rsidRPr="00104F4B">
        <w:rPr>
          <w:rFonts w:cs="Arial"/>
          <w:szCs w:val="22"/>
        </w:rPr>
        <w:t xml:space="preserve">las necesidades del Instituto, en dicho espacio se discutieron cada una de las necesidades proyecto y se expuso ampliamente el estado de avance de las metas del plan de desarrollo y lo que se avanzaría con los recursos solicitados. </w:t>
      </w:r>
    </w:p>
    <w:p w:rsidR="0091299B" w:rsidRPr="00104F4B" w:rsidRDefault="0091299B" w:rsidP="0091299B">
      <w:pPr>
        <w:spacing w:before="0"/>
        <w:rPr>
          <w:rFonts w:cs="Arial"/>
          <w:szCs w:val="22"/>
        </w:rPr>
      </w:pPr>
    </w:p>
    <w:p w:rsidR="004B33B5" w:rsidRPr="00104F4B" w:rsidRDefault="004B33B5" w:rsidP="0091299B">
      <w:pPr>
        <w:spacing w:before="0"/>
        <w:rPr>
          <w:rFonts w:cs="Arial"/>
          <w:szCs w:val="22"/>
        </w:rPr>
      </w:pPr>
      <w:r w:rsidRPr="00104F4B">
        <w:rPr>
          <w:rFonts w:cs="Arial"/>
          <w:szCs w:val="22"/>
        </w:rPr>
        <w:t>En este primer escenario se realizó la actualización del sistema SEGPLAN y PREDIS para la asociación de recursos financieros, metas físicas y territorialización de la inversión.</w:t>
      </w:r>
    </w:p>
    <w:p w:rsidR="0091299B" w:rsidRPr="00104F4B" w:rsidRDefault="0091299B" w:rsidP="0091299B">
      <w:pPr>
        <w:spacing w:before="0"/>
        <w:rPr>
          <w:rFonts w:cs="Arial"/>
          <w:szCs w:val="22"/>
        </w:rPr>
      </w:pPr>
    </w:p>
    <w:p w:rsidR="004B33B5" w:rsidRPr="00104F4B" w:rsidRDefault="004B33B5" w:rsidP="0091299B">
      <w:pPr>
        <w:spacing w:before="0"/>
        <w:rPr>
          <w:rFonts w:cs="Arial"/>
          <w:color w:val="000000"/>
          <w:szCs w:val="22"/>
        </w:rPr>
      </w:pPr>
      <w:r w:rsidRPr="00104F4B">
        <w:rPr>
          <w:rFonts w:cs="Arial"/>
          <w:color w:val="000000"/>
          <w:szCs w:val="22"/>
        </w:rPr>
        <w:t xml:space="preserve">En </w:t>
      </w:r>
      <w:r w:rsidRPr="00104F4B">
        <w:rPr>
          <w:rFonts w:cs="Arial"/>
          <w:szCs w:val="22"/>
        </w:rPr>
        <w:t xml:space="preserve">Octubre, </w:t>
      </w:r>
      <w:r w:rsidRPr="00104F4B">
        <w:rPr>
          <w:rFonts w:cs="Arial"/>
          <w:color w:val="000000"/>
          <w:szCs w:val="22"/>
        </w:rPr>
        <w:t>la SDH envió la asignación de la Cuota Global del Gasto, lo cual conllevó a realizar priorizaciones y ajustes en la base de datos de puntos de inversión de los proyecto, en especial en relación a los recursos de transferencias ordinarias solicitadas, ajustándola a dicha cuota global. Posteriormente dur</w:t>
      </w:r>
      <w:r w:rsidR="00FE0526" w:rsidRPr="00104F4B">
        <w:rPr>
          <w:rFonts w:cs="Arial"/>
          <w:color w:val="000000"/>
          <w:szCs w:val="22"/>
        </w:rPr>
        <w:t xml:space="preserve">ante el mes de </w:t>
      </w:r>
      <w:r w:rsidR="00C76BD9" w:rsidRPr="00104F4B">
        <w:rPr>
          <w:rFonts w:cs="Arial"/>
          <w:color w:val="000000"/>
          <w:szCs w:val="22"/>
        </w:rPr>
        <w:t>octubre</w:t>
      </w:r>
      <w:r w:rsidR="00FE0526" w:rsidRPr="00104F4B">
        <w:rPr>
          <w:rFonts w:cs="Arial"/>
          <w:color w:val="000000"/>
          <w:szCs w:val="22"/>
        </w:rPr>
        <w:t xml:space="preserve"> de 201</w:t>
      </w:r>
      <w:r w:rsidR="00906AEB" w:rsidRPr="00104F4B">
        <w:rPr>
          <w:rFonts w:cs="Arial"/>
          <w:color w:val="000000"/>
          <w:szCs w:val="22"/>
        </w:rPr>
        <w:t>8</w:t>
      </w:r>
      <w:r w:rsidRPr="00104F4B">
        <w:rPr>
          <w:rFonts w:cs="Arial"/>
          <w:color w:val="000000"/>
          <w:szCs w:val="22"/>
        </w:rPr>
        <w:t>, se remitió el Anteproyecto de Presupuesto de Rentas e In</w:t>
      </w:r>
      <w:r w:rsidR="00906AEB" w:rsidRPr="00104F4B">
        <w:rPr>
          <w:rFonts w:cs="Arial"/>
          <w:color w:val="000000"/>
          <w:szCs w:val="22"/>
        </w:rPr>
        <w:t>gresos y Gastos e Inversión 2019</w:t>
      </w:r>
      <w:r w:rsidRPr="00104F4B">
        <w:rPr>
          <w:rFonts w:cs="Arial"/>
          <w:color w:val="000000"/>
          <w:szCs w:val="22"/>
        </w:rPr>
        <w:t xml:space="preserve"> a la SDH y SDP.</w:t>
      </w:r>
    </w:p>
    <w:p w:rsidR="0028320B" w:rsidRPr="00104F4B" w:rsidRDefault="0028320B" w:rsidP="0028320B">
      <w:pPr>
        <w:spacing w:before="0"/>
        <w:rPr>
          <w:rFonts w:cs="Arial"/>
          <w:szCs w:val="22"/>
        </w:rPr>
      </w:pPr>
    </w:p>
    <w:p w:rsidR="004B33B5" w:rsidRPr="00104F4B" w:rsidRDefault="004B33B5" w:rsidP="0028320B">
      <w:pPr>
        <w:spacing w:before="0"/>
        <w:rPr>
          <w:rFonts w:cs="Arial"/>
          <w:szCs w:val="22"/>
        </w:rPr>
      </w:pPr>
      <w:r w:rsidRPr="00104F4B">
        <w:rPr>
          <w:rFonts w:cs="Arial"/>
          <w:szCs w:val="22"/>
        </w:rPr>
        <w:t xml:space="preserve">Durante los meses de Noviembre y Diciembre de </w:t>
      </w:r>
      <w:r w:rsidR="00EE1F59" w:rsidRPr="00104F4B">
        <w:rPr>
          <w:rFonts w:cs="Arial"/>
          <w:szCs w:val="22"/>
        </w:rPr>
        <w:t>201</w:t>
      </w:r>
      <w:r w:rsidR="00906AEB" w:rsidRPr="00104F4B">
        <w:rPr>
          <w:rFonts w:cs="Arial"/>
          <w:szCs w:val="22"/>
        </w:rPr>
        <w:t>8</w:t>
      </w:r>
      <w:r w:rsidR="00EE1F59" w:rsidRPr="00104F4B">
        <w:rPr>
          <w:rFonts w:cs="Arial"/>
          <w:szCs w:val="22"/>
        </w:rPr>
        <w:t xml:space="preserve"> </w:t>
      </w:r>
      <w:r w:rsidRPr="00104F4B">
        <w:rPr>
          <w:rFonts w:cs="Arial"/>
          <w:szCs w:val="22"/>
        </w:rPr>
        <w:t xml:space="preserve">se elaboró la presentación para el Concejo de Bogotá </w:t>
      </w:r>
      <w:r w:rsidR="00EE1F59" w:rsidRPr="00104F4B">
        <w:rPr>
          <w:rFonts w:cs="Arial"/>
          <w:szCs w:val="22"/>
        </w:rPr>
        <w:t>del Proyecto de Presupuesto 201</w:t>
      </w:r>
      <w:r w:rsidR="00906AEB" w:rsidRPr="00104F4B">
        <w:rPr>
          <w:rFonts w:cs="Arial"/>
          <w:szCs w:val="22"/>
        </w:rPr>
        <w:t>9</w:t>
      </w:r>
      <w:r w:rsidR="002A58FF" w:rsidRPr="00104F4B">
        <w:rPr>
          <w:rFonts w:cs="Arial"/>
          <w:szCs w:val="22"/>
        </w:rPr>
        <w:t>.</w:t>
      </w:r>
    </w:p>
    <w:p w:rsidR="00EA0EBB" w:rsidRPr="00104F4B" w:rsidRDefault="00EA0EBB" w:rsidP="0028320B">
      <w:pPr>
        <w:spacing w:before="0"/>
        <w:rPr>
          <w:rFonts w:cs="Arial"/>
          <w:szCs w:val="22"/>
          <w:highlight w:val="yellow"/>
        </w:rPr>
      </w:pPr>
    </w:p>
    <w:p w:rsidR="002F0B64" w:rsidRPr="00104F4B" w:rsidRDefault="002F0B64" w:rsidP="0091299B">
      <w:pPr>
        <w:pStyle w:val="Prrafodelista"/>
        <w:numPr>
          <w:ilvl w:val="0"/>
          <w:numId w:val="19"/>
        </w:numPr>
        <w:shd w:val="clear" w:color="auto" w:fill="FFFFFF"/>
        <w:spacing w:before="0"/>
        <w:rPr>
          <w:rFonts w:ascii="Arial" w:hAnsi="Arial" w:cs="Arial"/>
          <w:color w:val="222222"/>
        </w:rPr>
      </w:pPr>
      <w:r w:rsidRPr="00104F4B">
        <w:rPr>
          <w:rFonts w:ascii="Arial" w:hAnsi="Arial" w:cs="Arial"/>
          <w:color w:val="222222"/>
        </w:rPr>
        <w:lastRenderedPageBreak/>
        <w:t>Plan de Adquisiciones de la Entidad: Todas las áreas del IDU realizaron la programación de las necesidades de contratación que planearon ejecutar en el transcurso del año, las cuales fueron remitidas a la OAP en el formato correspondiente y con la información relacionada para su consolidación en un listado de necesidades de contratación – Elaboración de la Base del Plan Anual de Adquisiciones.</w:t>
      </w:r>
    </w:p>
    <w:p w:rsidR="0091299B" w:rsidRPr="00104F4B" w:rsidRDefault="0091299B" w:rsidP="0091299B">
      <w:pPr>
        <w:pStyle w:val="Prrafodelista"/>
        <w:shd w:val="clear" w:color="auto" w:fill="FFFFFF"/>
        <w:spacing w:before="0"/>
        <w:ind w:left="360"/>
        <w:rPr>
          <w:rFonts w:ascii="Arial" w:hAnsi="Arial" w:cs="Arial"/>
          <w:color w:val="222222"/>
        </w:rPr>
      </w:pPr>
    </w:p>
    <w:p w:rsidR="002F0B64" w:rsidRPr="00104F4B" w:rsidRDefault="002F0B64" w:rsidP="0091299B">
      <w:pPr>
        <w:shd w:val="clear" w:color="auto" w:fill="FFFFFF"/>
        <w:spacing w:before="0"/>
        <w:jc w:val="left"/>
        <w:rPr>
          <w:rFonts w:cs="Arial"/>
          <w:color w:val="222222"/>
          <w:szCs w:val="22"/>
          <w:lang w:val="es-CO" w:eastAsia="es-CO"/>
        </w:rPr>
      </w:pPr>
      <w:r w:rsidRPr="00104F4B">
        <w:rPr>
          <w:rFonts w:cs="Arial"/>
          <w:color w:val="222222"/>
          <w:szCs w:val="22"/>
          <w:lang w:val="es-CO" w:eastAsia="es-CO"/>
        </w:rPr>
        <w:t>La OAP consolidó y publicó el Plan Anual de Adquisiciones, el cual incluyó todas las compras y contrataciones de bienes, servicios y obras públicas planeadas realizarse en la vigencia 2018, con cargo a los presupuestos de funcionamiento e inversión de la Entidad, así como los procesos de Transmilenio S.A. y de la fuente REGALIAS que ejecuta la entidad.</w:t>
      </w:r>
    </w:p>
    <w:p w:rsidR="0091299B" w:rsidRPr="00104F4B" w:rsidRDefault="0091299B" w:rsidP="0091299B">
      <w:pPr>
        <w:shd w:val="clear" w:color="auto" w:fill="FFFFFF"/>
        <w:spacing w:before="0"/>
        <w:jc w:val="left"/>
        <w:rPr>
          <w:rFonts w:cs="Arial"/>
          <w:color w:val="222222"/>
          <w:szCs w:val="22"/>
          <w:lang w:val="es-CO" w:eastAsia="es-CO"/>
        </w:rPr>
      </w:pPr>
    </w:p>
    <w:p w:rsidR="002F0B64" w:rsidRPr="00104F4B" w:rsidRDefault="002F0B64" w:rsidP="0091299B">
      <w:pPr>
        <w:shd w:val="clear" w:color="auto" w:fill="FFFFFF"/>
        <w:spacing w:before="0"/>
        <w:rPr>
          <w:rFonts w:cs="Arial"/>
          <w:color w:val="222222"/>
          <w:szCs w:val="22"/>
          <w:lang w:val="es-CO" w:eastAsia="es-CO"/>
        </w:rPr>
      </w:pPr>
      <w:r w:rsidRPr="00104F4B">
        <w:rPr>
          <w:rFonts w:cs="Arial"/>
          <w:color w:val="222222"/>
          <w:szCs w:val="22"/>
          <w:lang w:val="es-CO" w:eastAsia="es-CO"/>
        </w:rPr>
        <w:t>Igualmente se publicaron los procesos correspondientes al personal de prestación de servicios profesionales de apoyo a la gestión del IDU.</w:t>
      </w:r>
    </w:p>
    <w:p w:rsidR="0091299B" w:rsidRPr="00104F4B" w:rsidRDefault="0091299B" w:rsidP="0091299B">
      <w:pPr>
        <w:shd w:val="clear" w:color="auto" w:fill="FFFFFF"/>
        <w:spacing w:before="0"/>
        <w:rPr>
          <w:rFonts w:cs="Arial"/>
          <w:color w:val="222222"/>
          <w:szCs w:val="22"/>
          <w:lang w:val="es-CO" w:eastAsia="es-CO"/>
        </w:rPr>
      </w:pPr>
    </w:p>
    <w:p w:rsidR="002F0B64" w:rsidRPr="00104F4B" w:rsidRDefault="002F0B64" w:rsidP="0091299B">
      <w:pPr>
        <w:shd w:val="clear" w:color="auto" w:fill="FFFFFF"/>
        <w:spacing w:before="0"/>
        <w:rPr>
          <w:rFonts w:cs="Arial"/>
          <w:color w:val="222222"/>
          <w:szCs w:val="22"/>
          <w:lang w:val="es-CO" w:eastAsia="es-CO"/>
        </w:rPr>
      </w:pPr>
      <w:r w:rsidRPr="00104F4B">
        <w:rPr>
          <w:rFonts w:cs="Arial"/>
          <w:color w:val="222222"/>
          <w:szCs w:val="22"/>
          <w:lang w:val="es-CO" w:eastAsia="es-CO"/>
        </w:rPr>
        <w:t>El Plan Anual de Adquisiciones fue cargado y publicado en la Plataforma Portal SECOP II y en la página web IDU, en cumplimiento de la normatividad vigente y para facilitar la comunicación y divulgación a los proveedores y contratistas de la Entidad interesados en participar en los procesos de selección.</w:t>
      </w:r>
    </w:p>
    <w:p w:rsidR="0091299B" w:rsidRPr="00104F4B" w:rsidRDefault="0091299B" w:rsidP="0091299B">
      <w:pPr>
        <w:shd w:val="clear" w:color="auto" w:fill="FFFFFF"/>
        <w:spacing w:before="0"/>
        <w:rPr>
          <w:rFonts w:cs="Arial"/>
          <w:color w:val="222222"/>
          <w:szCs w:val="22"/>
          <w:lang w:val="es-CO" w:eastAsia="es-CO"/>
        </w:rPr>
      </w:pPr>
    </w:p>
    <w:p w:rsidR="002F0B64" w:rsidRPr="00104F4B" w:rsidRDefault="002F0B64" w:rsidP="0091299B">
      <w:pPr>
        <w:shd w:val="clear" w:color="auto" w:fill="FFFFFF"/>
        <w:spacing w:before="0"/>
        <w:rPr>
          <w:rFonts w:cs="Arial"/>
          <w:color w:val="222222"/>
          <w:szCs w:val="22"/>
          <w:lang w:val="es-CO" w:eastAsia="es-CO"/>
        </w:rPr>
      </w:pPr>
      <w:r w:rsidRPr="00104F4B">
        <w:rPr>
          <w:rFonts w:cs="Arial"/>
          <w:color w:val="222222"/>
          <w:szCs w:val="22"/>
          <w:lang w:val="es-CO" w:eastAsia="es-CO"/>
        </w:rPr>
        <w:t>De manera continua, se actualizó el Plan Anual de Adquisiciones según las necesidades de la Entidad, cuando se presentaron ajustes en los cronogramas de adquisición, montos de la contratación, modalidad de selección, origen de los recursos, inclusión de nuevos procesos, exclusión o eliminación de procesos.</w:t>
      </w:r>
    </w:p>
    <w:p w:rsidR="0091299B" w:rsidRPr="00104F4B" w:rsidRDefault="0091299B" w:rsidP="0091299B">
      <w:pPr>
        <w:shd w:val="clear" w:color="auto" w:fill="FFFFFF"/>
        <w:spacing w:before="0"/>
        <w:jc w:val="left"/>
        <w:rPr>
          <w:rFonts w:cs="Arial"/>
          <w:color w:val="222222"/>
          <w:szCs w:val="22"/>
          <w:lang w:val="es-CO" w:eastAsia="es-CO"/>
        </w:rPr>
      </w:pPr>
    </w:p>
    <w:p w:rsidR="008459E1" w:rsidRPr="008459E1" w:rsidRDefault="00F42D33" w:rsidP="008459E1">
      <w:pPr>
        <w:pStyle w:val="Ttulo1"/>
        <w:rPr>
          <w:rFonts w:ascii="Arial" w:hAnsi="Arial" w:cs="Arial"/>
          <w:sz w:val="22"/>
          <w:szCs w:val="22"/>
        </w:rPr>
      </w:pPr>
      <w:bookmarkStart w:id="18" w:name="_Toc536195523"/>
      <w:r w:rsidRPr="008459E1">
        <w:rPr>
          <w:rFonts w:ascii="Arial" w:hAnsi="Arial" w:cs="Arial"/>
          <w:sz w:val="22"/>
          <w:szCs w:val="22"/>
        </w:rPr>
        <w:t xml:space="preserve">3.3.1.2 </w:t>
      </w:r>
      <w:bookmarkEnd w:id="18"/>
      <w:r w:rsidR="008459E1" w:rsidRPr="008459E1">
        <w:rPr>
          <w:rFonts w:ascii="Arial" w:hAnsi="Arial" w:cs="Arial"/>
          <w:sz w:val="22"/>
          <w:szCs w:val="22"/>
        </w:rPr>
        <w:t>Modelo Integrado de Planeación y Gestión - MIPG</w:t>
      </w:r>
    </w:p>
    <w:p w:rsidR="008459E1" w:rsidRPr="008459E1" w:rsidRDefault="008459E1" w:rsidP="008459E1">
      <w:pPr>
        <w:rPr>
          <w:rFonts w:cs="Arial"/>
          <w:szCs w:val="22"/>
        </w:rPr>
      </w:pPr>
      <w:r w:rsidRPr="008459E1">
        <w:rPr>
          <w:rFonts w:cs="Arial"/>
          <w:szCs w:val="22"/>
        </w:rPr>
        <w:t>En cumplimiento del Decreto 1499 de 2017 que ordenó a las entidades la Implementación del MIPG, el Instituto realizó el diagnóstico de cada una de las dimensiones que componen el modelo, y elaboró la planificación de las acciones a realizar para su implementación. Las acciones debieron contemplar los lineamientos para el Distrito recibidos por la Secretaría General de la Alcaldía, en el sentido de esperar para su articulación la publicación de los instrumentos del Plan de Acción del MIPG distrital y la publicación de la Guía de Armonización del SIG y el MIPG, que para fines prácticos en el 2018 solo se expidió a finales de la vigencia el plan de acción MIPG para el distrito. Sin embargo, el Instituto ha continuado con la implementación del modelo, y para el 2018 creó la institucionalidad exigida, organizando las instancias de coordinación institucional; es así como se crea el Comité Institucional de Gestión y Desempeño el cual incluyó diferentes temas a saber: MIPG, SIG, planeación, Integridad y talento humano, gestión predial, gestión ambiental, Antitrámites y gobierno digital, gestión documental, riesgos de desastres y emergencias y seguridad vial.</w:t>
      </w:r>
    </w:p>
    <w:p w:rsidR="008459E1" w:rsidRPr="008459E1" w:rsidRDefault="008459E1" w:rsidP="008459E1">
      <w:pPr>
        <w:rPr>
          <w:rFonts w:cs="Arial"/>
          <w:szCs w:val="22"/>
        </w:rPr>
      </w:pPr>
    </w:p>
    <w:p w:rsidR="008459E1" w:rsidRPr="008459E1" w:rsidRDefault="008459E1" w:rsidP="008459E1">
      <w:pPr>
        <w:rPr>
          <w:rFonts w:cs="Arial"/>
          <w:szCs w:val="22"/>
        </w:rPr>
      </w:pPr>
      <w:r w:rsidRPr="008459E1">
        <w:rPr>
          <w:rFonts w:cs="Arial"/>
          <w:szCs w:val="22"/>
        </w:rPr>
        <w:t>La implementación del MIPG en el instituto busca articular los diferentes componentes de gestión, basados en la medición a través del instrumento del FURAG, en el cual se obtuvo una calificación para el 2017 de 72 p</w:t>
      </w:r>
      <w:r>
        <w:rPr>
          <w:rFonts w:cs="Arial"/>
          <w:szCs w:val="22"/>
        </w:rPr>
        <w:t>un</w:t>
      </w:r>
      <w:r w:rsidRPr="008459E1">
        <w:rPr>
          <w:rFonts w:cs="Arial"/>
          <w:szCs w:val="22"/>
        </w:rPr>
        <w:t xml:space="preserve">tos, la gestión en el 2018 se centró no solo en el diagnóstico y la creación de la institucionalidad sino que buscó el mantenimiento de los diferentes componentes del Sistema Integrado de Gestión como se explica a continuación: </w:t>
      </w:r>
    </w:p>
    <w:p w:rsidR="008459E1" w:rsidRPr="008459E1" w:rsidRDefault="008459E1" w:rsidP="008459E1">
      <w:pPr>
        <w:rPr>
          <w:rFonts w:cs="Arial"/>
          <w:b/>
          <w:szCs w:val="22"/>
        </w:rPr>
      </w:pPr>
    </w:p>
    <w:p w:rsidR="008459E1" w:rsidRPr="008459E1" w:rsidRDefault="008459E1" w:rsidP="008459E1">
      <w:pPr>
        <w:rPr>
          <w:rFonts w:cs="Arial"/>
          <w:b/>
          <w:szCs w:val="22"/>
        </w:rPr>
      </w:pPr>
      <w:r w:rsidRPr="008459E1">
        <w:rPr>
          <w:rFonts w:cs="Arial"/>
          <w:b/>
          <w:szCs w:val="22"/>
        </w:rPr>
        <w:t>Sistema Integrado de Gestión:</w:t>
      </w:r>
    </w:p>
    <w:p w:rsidR="008459E1" w:rsidRPr="008459E1" w:rsidRDefault="008459E1" w:rsidP="008459E1">
      <w:pPr>
        <w:rPr>
          <w:rFonts w:cs="Arial"/>
          <w:szCs w:val="22"/>
        </w:rPr>
      </w:pPr>
      <w:r w:rsidRPr="008459E1">
        <w:rPr>
          <w:rFonts w:cs="Arial"/>
          <w:szCs w:val="22"/>
        </w:rPr>
        <w:lastRenderedPageBreak/>
        <w:t>Durante el 2018, la Oficina Asesora de Planeación desarrolló diferentes acciones tendientes a planificar y consolidar el Sistema Integrado de Gestión-SIG, orientando la integración de los subsistemas, la transición a las normas técnicas de Gestión Ambiental y Calidad; y liderando directamente la implementación del Modelo Integrado de Planeación y Gestión (MIPG).</w:t>
      </w:r>
    </w:p>
    <w:p w:rsidR="008459E1" w:rsidRPr="008459E1" w:rsidRDefault="008459E1" w:rsidP="008459E1">
      <w:pPr>
        <w:rPr>
          <w:rFonts w:cs="Arial"/>
          <w:szCs w:val="22"/>
        </w:rPr>
      </w:pPr>
      <w:r w:rsidRPr="008459E1">
        <w:rPr>
          <w:rFonts w:cs="Arial"/>
          <w:szCs w:val="22"/>
        </w:rPr>
        <w:t>Sobre el Subsistema de Gestión Ambiental, en 2018 fue lograda la certificación con la norma ISO 14001:2015 y se realizó la transición de la certificación del Subsistema de Gestión de Calidad a la norma ISO 9001:2015.</w:t>
      </w:r>
    </w:p>
    <w:p w:rsidR="008459E1" w:rsidRPr="008459E1" w:rsidRDefault="008459E1" w:rsidP="008459E1">
      <w:pPr>
        <w:rPr>
          <w:rFonts w:cs="Arial"/>
          <w:szCs w:val="22"/>
        </w:rPr>
      </w:pPr>
    </w:p>
    <w:p w:rsidR="008459E1" w:rsidRPr="008459E1" w:rsidRDefault="008459E1" w:rsidP="008459E1">
      <w:pPr>
        <w:jc w:val="center"/>
        <w:rPr>
          <w:rFonts w:cs="Arial"/>
          <w:szCs w:val="22"/>
        </w:rPr>
      </w:pPr>
      <w:r w:rsidRPr="008459E1">
        <w:rPr>
          <w:rFonts w:cs="Arial"/>
          <w:noProof/>
          <w:lang w:val="es-CO" w:eastAsia="es-CO"/>
        </w:rPr>
        <w:drawing>
          <wp:inline distT="0" distB="0" distL="0" distR="0" wp14:anchorId="3F6F95AA" wp14:editId="36CD77E5">
            <wp:extent cx="1457325" cy="781050"/>
            <wp:effectExtent l="0" t="0" r="9525" b="0"/>
            <wp:docPr id="43" name="Imagen 43" descr="Bureau_Veri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ureau_Verita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57325" cy="781050"/>
                    </a:xfrm>
                    <a:prstGeom prst="rect">
                      <a:avLst/>
                    </a:prstGeom>
                    <a:noFill/>
                    <a:ln>
                      <a:noFill/>
                    </a:ln>
                  </pic:spPr>
                </pic:pic>
              </a:graphicData>
            </a:graphic>
          </wp:inline>
        </w:drawing>
      </w:r>
    </w:p>
    <w:p w:rsidR="008459E1" w:rsidRPr="008459E1" w:rsidRDefault="008459E1" w:rsidP="008459E1">
      <w:pPr>
        <w:jc w:val="center"/>
        <w:rPr>
          <w:rFonts w:cs="Arial"/>
          <w:szCs w:val="22"/>
        </w:rPr>
      </w:pPr>
      <w:r w:rsidRPr="008459E1">
        <w:rPr>
          <w:rFonts w:cs="Arial"/>
          <w:szCs w:val="22"/>
        </w:rPr>
        <w:t>Detalle del sello de certificación de los subsistemas de gestión de calidad y ambiental.</w:t>
      </w:r>
    </w:p>
    <w:p w:rsidR="008459E1" w:rsidRPr="008459E1" w:rsidRDefault="008459E1" w:rsidP="008459E1">
      <w:pPr>
        <w:rPr>
          <w:rFonts w:cs="Arial"/>
          <w:szCs w:val="22"/>
        </w:rPr>
      </w:pPr>
    </w:p>
    <w:p w:rsidR="008459E1" w:rsidRPr="008459E1" w:rsidRDefault="008459E1" w:rsidP="008459E1">
      <w:pPr>
        <w:rPr>
          <w:rFonts w:cs="Arial"/>
          <w:b/>
          <w:szCs w:val="22"/>
        </w:rPr>
      </w:pPr>
      <w:r w:rsidRPr="008459E1">
        <w:rPr>
          <w:rFonts w:cs="Arial"/>
          <w:b/>
          <w:szCs w:val="22"/>
        </w:rPr>
        <w:t>Gestión Ambiental</w:t>
      </w:r>
    </w:p>
    <w:p w:rsidR="008459E1" w:rsidRPr="008459E1" w:rsidRDefault="008459E1" w:rsidP="008459E1">
      <w:pPr>
        <w:rPr>
          <w:rFonts w:cs="Arial"/>
          <w:szCs w:val="22"/>
        </w:rPr>
      </w:pPr>
      <w:r w:rsidRPr="008459E1">
        <w:rPr>
          <w:rFonts w:cs="Arial"/>
          <w:szCs w:val="22"/>
        </w:rPr>
        <w:t xml:space="preserve">Para la vigencia 2018 se realizaron y radicaron los informes sobre la gestión ambiental de la entidad, en cumplimiento a la resolución 242 de 2014 y decreto 456 de 2008, para los cuales se obtuvieron los siguientes resultados en materia de indicadores: per-cápita de Energía 52.26 kw por funcionario; per-cápita de agua 0.55 m3 por funcionario; per-cápita de residuos reciclados 1.10 kg por funcionario, y residuos generados 2.78 kg por funcionario. De igual forma se certificó el Subsistema de Gestión Ambiental, por la empresa Bureau Veritas en la versión ISO 14000 versión 2015; también se elaboraron los informes al Plan de Acción Cuatrienal Ambiental PACA de la Entidad; se atendió la visita de la Secretaria Distrital de Ambiente, donde se mejoró en cuanto a la calificación de la gestión ambiental, dando como resultado un  76% de favorabilidad. </w:t>
      </w:r>
    </w:p>
    <w:p w:rsidR="008459E1" w:rsidRPr="008459E1" w:rsidRDefault="008459E1" w:rsidP="008459E1">
      <w:pPr>
        <w:rPr>
          <w:rFonts w:cs="Arial"/>
          <w:color w:val="FF0000"/>
          <w:szCs w:val="22"/>
        </w:rPr>
      </w:pPr>
      <w:r w:rsidRPr="008459E1">
        <w:rPr>
          <w:rFonts w:cs="Arial"/>
          <w:color w:val="FF0000"/>
          <w:szCs w:val="22"/>
        </w:rPr>
        <w:t>.</w:t>
      </w:r>
    </w:p>
    <w:p w:rsidR="008459E1" w:rsidRPr="008459E1" w:rsidRDefault="008459E1" w:rsidP="008459E1">
      <w:pPr>
        <w:rPr>
          <w:rFonts w:cs="Arial"/>
          <w:b/>
          <w:szCs w:val="22"/>
        </w:rPr>
      </w:pPr>
      <w:r w:rsidRPr="008459E1">
        <w:rPr>
          <w:rFonts w:cs="Arial"/>
          <w:b/>
          <w:szCs w:val="22"/>
        </w:rPr>
        <w:t>Gestión en Procesos</w:t>
      </w:r>
    </w:p>
    <w:p w:rsidR="008459E1" w:rsidRPr="008459E1" w:rsidRDefault="008459E1" w:rsidP="008459E1">
      <w:pPr>
        <w:rPr>
          <w:rFonts w:cs="Arial"/>
          <w:szCs w:val="22"/>
        </w:rPr>
      </w:pPr>
      <w:r w:rsidRPr="008459E1">
        <w:rPr>
          <w:rFonts w:cs="Arial"/>
          <w:szCs w:val="22"/>
        </w:rPr>
        <w:t>La estructura de procesos del IDU está diseñada en 22 procesos, 6 procesos estratégicos, 6 misionales, 8 de apoyo y 2 de evaluación y mejora. Desarrolla sus productos misionales considerando el ciclo de vida de los proyectos de infraestructura; implementando la metodología de PMI por medio de la cual gestiona y realiza seguimiento a los proyectos.</w:t>
      </w:r>
    </w:p>
    <w:p w:rsidR="008459E1" w:rsidRPr="008459E1" w:rsidRDefault="008459E1" w:rsidP="008459E1">
      <w:pPr>
        <w:rPr>
          <w:rFonts w:cs="Arial"/>
          <w:szCs w:val="22"/>
        </w:rPr>
      </w:pPr>
      <w:r w:rsidRPr="008459E1">
        <w:rPr>
          <w:rFonts w:cs="Arial"/>
          <w:szCs w:val="22"/>
        </w:rPr>
        <w:t xml:space="preserve">Los procesos cuentan con los documentos que contienen la planificación y los requisitos para su operación y control, esta documentación a 31 de diciembre de 2018 se encontraba discriminada así: 967 documentos vigentes; 21 manuales, 153 procedimientos, 567 formatos, 140 guías-instructivos-cartillas, 86 otros (caracterizaciones, planes, documentos…). Durante la vigencia se realizaron 527 trámites relacionados con la documentación de los procesos relacionados con: actualización, creación o eliminación. </w:t>
      </w:r>
    </w:p>
    <w:p w:rsidR="008459E1" w:rsidRPr="008459E1" w:rsidRDefault="008459E1" w:rsidP="008459E1">
      <w:pPr>
        <w:rPr>
          <w:rFonts w:cs="Arial"/>
          <w:szCs w:val="22"/>
        </w:rPr>
      </w:pPr>
      <w:r w:rsidRPr="008459E1">
        <w:rPr>
          <w:rFonts w:cs="Arial"/>
          <w:szCs w:val="22"/>
        </w:rPr>
        <w:t xml:space="preserve"> </w:t>
      </w:r>
    </w:p>
    <w:p w:rsidR="008459E1" w:rsidRPr="008459E1" w:rsidRDefault="008459E1" w:rsidP="008459E1">
      <w:pPr>
        <w:rPr>
          <w:rFonts w:cs="Arial"/>
          <w:b/>
          <w:szCs w:val="22"/>
        </w:rPr>
      </w:pPr>
      <w:r w:rsidRPr="008459E1">
        <w:rPr>
          <w:rFonts w:cs="Arial"/>
          <w:b/>
          <w:szCs w:val="22"/>
        </w:rPr>
        <w:t>Plataforma Estratégica</w:t>
      </w:r>
    </w:p>
    <w:p w:rsidR="008459E1" w:rsidRPr="008459E1" w:rsidRDefault="008459E1" w:rsidP="008459E1">
      <w:pPr>
        <w:shd w:val="clear" w:color="auto" w:fill="FFFFFF"/>
        <w:rPr>
          <w:rFonts w:cs="Arial"/>
          <w:szCs w:val="22"/>
          <w:lang w:val="es-CO" w:eastAsia="es-CO"/>
        </w:rPr>
      </w:pPr>
      <w:r w:rsidRPr="008459E1">
        <w:rPr>
          <w:rFonts w:cs="Arial"/>
          <w:szCs w:val="22"/>
          <w:lang w:val="es-CO" w:eastAsia="es-CO"/>
        </w:rPr>
        <w:t xml:space="preserve">La planeación estratégica de la entidad se ha realizado bajo la metodología de Alineación Total, por medio de la cual se redefinieron en el marco del Plan de Desarrollo “Bogotá Mejor para Todos” la filosofía institucional (Propósito central, Objetivo Retador, principios) creándose 6 objetivos </w:t>
      </w:r>
      <w:r w:rsidRPr="008459E1">
        <w:rPr>
          <w:rFonts w:cs="Arial"/>
          <w:szCs w:val="22"/>
          <w:lang w:val="es-CO" w:eastAsia="es-CO"/>
        </w:rPr>
        <w:lastRenderedPageBreak/>
        <w:t>estratégicos, las dependencias estructuraron el plan de acción 2018 con 296 líneas, coherentes con las líneas definidas en la matriz de responsabilidades y los scorecard de cada gerente público. Cada dependencia del IDU generó el plan de acción y el mismo número de indicadores de gestión. La gestión basada en indicadores presenta un resultado de ejecución del 92.59% de las metas propuestas.</w:t>
      </w:r>
    </w:p>
    <w:p w:rsidR="008459E1" w:rsidRPr="008459E1" w:rsidRDefault="008459E1" w:rsidP="008459E1">
      <w:pPr>
        <w:shd w:val="clear" w:color="auto" w:fill="FFFFFF"/>
        <w:rPr>
          <w:rFonts w:cs="Arial"/>
          <w:szCs w:val="22"/>
          <w:lang w:val="es-CO" w:eastAsia="es-CO"/>
        </w:rPr>
      </w:pPr>
      <w:r w:rsidRPr="008459E1">
        <w:rPr>
          <w:rFonts w:cs="Arial"/>
          <w:szCs w:val="22"/>
          <w:lang w:val="es-CO" w:eastAsia="es-CO"/>
        </w:rPr>
        <w:t>La OAP asesoró a las áreas IDU en la definición de los indicadores de gestión, los cuales fueron registrados y reportados periódicamente, se determinó el comportamiento de la programación vs ejecución, y se analizó resultados con área responsable.</w:t>
      </w:r>
    </w:p>
    <w:p w:rsidR="008459E1" w:rsidRPr="008459E1" w:rsidRDefault="008459E1" w:rsidP="008459E1">
      <w:pPr>
        <w:rPr>
          <w:rFonts w:cs="Arial"/>
          <w:b/>
          <w:szCs w:val="22"/>
        </w:rPr>
      </w:pPr>
      <w:r w:rsidRPr="008459E1">
        <w:rPr>
          <w:rFonts w:cs="Arial"/>
          <w:szCs w:val="22"/>
          <w:shd w:val="clear" w:color="auto" w:fill="FFFFFF"/>
          <w:lang w:eastAsia="es-CO"/>
        </w:rPr>
        <w:t>La oficina garantizó la consolidación de la información y la entrega de información como soporte y base de gestión de los diferentes actores y usuarios de la misma. El archivo consolidado de los indicadores se carga en la página web del IDU.</w:t>
      </w:r>
    </w:p>
    <w:p w:rsidR="008459E1" w:rsidRPr="008459E1" w:rsidRDefault="008459E1" w:rsidP="008459E1">
      <w:pPr>
        <w:rPr>
          <w:rFonts w:cs="Arial"/>
          <w:b/>
          <w:szCs w:val="22"/>
        </w:rPr>
      </w:pPr>
    </w:p>
    <w:p w:rsidR="008459E1" w:rsidRPr="008459E1" w:rsidRDefault="008459E1" w:rsidP="008459E1">
      <w:pPr>
        <w:rPr>
          <w:rFonts w:cs="Arial"/>
          <w:b/>
          <w:szCs w:val="22"/>
        </w:rPr>
      </w:pPr>
      <w:r w:rsidRPr="008459E1">
        <w:rPr>
          <w:rFonts w:cs="Arial"/>
          <w:b/>
          <w:szCs w:val="22"/>
        </w:rPr>
        <w:t>Administración de Riesgos y Oportunidades.</w:t>
      </w:r>
    </w:p>
    <w:p w:rsidR="008459E1" w:rsidRPr="008459E1" w:rsidRDefault="008459E1" w:rsidP="008459E1">
      <w:pPr>
        <w:rPr>
          <w:rFonts w:cs="Arial"/>
          <w:szCs w:val="22"/>
        </w:rPr>
      </w:pPr>
      <w:r w:rsidRPr="008459E1">
        <w:rPr>
          <w:rFonts w:cs="Arial"/>
          <w:szCs w:val="22"/>
        </w:rPr>
        <w:t>Para el año 2018, se definió el plan de acción de riesgos, incluyendo la revisión y ajuste de algunos instrumentos metodológicos, actividades de monitoreo de riesgos, definición de la metodología de riesgos materializados y acciones de sensibilización.</w:t>
      </w:r>
    </w:p>
    <w:p w:rsidR="008459E1" w:rsidRPr="008459E1" w:rsidRDefault="008459E1" w:rsidP="008459E1">
      <w:pPr>
        <w:rPr>
          <w:rFonts w:cs="Arial"/>
          <w:szCs w:val="22"/>
        </w:rPr>
      </w:pPr>
      <w:r w:rsidRPr="008459E1">
        <w:rPr>
          <w:rFonts w:cs="Arial"/>
          <w:szCs w:val="22"/>
        </w:rPr>
        <w:t>El plan 2018 a 30 de noviembre lleva un avance del 88% estando en proceso el mapa de riesgos de corrupción para la vigencia 2019. A continuación se resumen las actividades:</w:t>
      </w:r>
    </w:p>
    <w:p w:rsidR="008459E1" w:rsidRPr="008459E1" w:rsidRDefault="008459E1" w:rsidP="008459E1">
      <w:pPr>
        <w:pStyle w:val="Prrafodelista"/>
        <w:numPr>
          <w:ilvl w:val="0"/>
          <w:numId w:val="26"/>
        </w:numPr>
        <w:spacing w:before="100" w:beforeAutospacing="1" w:after="100" w:afterAutospacing="1"/>
        <w:contextualSpacing/>
        <w:rPr>
          <w:rFonts w:ascii="Arial" w:hAnsi="Arial" w:cs="Arial"/>
        </w:rPr>
      </w:pPr>
      <w:r w:rsidRPr="008459E1">
        <w:rPr>
          <w:rFonts w:ascii="Arial" w:hAnsi="Arial" w:cs="Arial"/>
        </w:rPr>
        <w:t>2 Actualizaciones del manual de riesgos (versión 7 y 8), ajustando los criterios de calificación de los riesgos de gestión y la metodología para registro y gestión de riesgos materializados: se ajustaron los formatos de la matriz de riesgos de gestión y de corrupción.</w:t>
      </w:r>
    </w:p>
    <w:p w:rsidR="008459E1" w:rsidRPr="008459E1" w:rsidRDefault="008459E1" w:rsidP="008459E1">
      <w:pPr>
        <w:pStyle w:val="Prrafodelista"/>
        <w:numPr>
          <w:ilvl w:val="0"/>
          <w:numId w:val="26"/>
        </w:numPr>
        <w:spacing w:before="100" w:beforeAutospacing="1" w:after="100" w:afterAutospacing="1"/>
        <w:contextualSpacing/>
        <w:rPr>
          <w:rFonts w:ascii="Arial" w:hAnsi="Arial" w:cs="Arial"/>
        </w:rPr>
      </w:pPr>
      <w:r w:rsidRPr="008459E1">
        <w:rPr>
          <w:rFonts w:ascii="Arial" w:hAnsi="Arial" w:cs="Arial"/>
        </w:rPr>
        <w:t>Implementación de la metodología de gestión de oportunidades, brindando para los 22 procesos las matrices de análisis de oportunidades.</w:t>
      </w:r>
    </w:p>
    <w:p w:rsidR="008459E1" w:rsidRPr="008459E1" w:rsidRDefault="008459E1" w:rsidP="008459E1">
      <w:pPr>
        <w:pStyle w:val="Prrafodelista"/>
        <w:numPr>
          <w:ilvl w:val="0"/>
          <w:numId w:val="26"/>
        </w:numPr>
        <w:spacing w:before="100" w:beforeAutospacing="1" w:after="100" w:afterAutospacing="1"/>
        <w:contextualSpacing/>
        <w:rPr>
          <w:rFonts w:ascii="Arial" w:hAnsi="Arial" w:cs="Arial"/>
        </w:rPr>
      </w:pPr>
      <w:r w:rsidRPr="008459E1">
        <w:rPr>
          <w:rFonts w:ascii="Arial" w:hAnsi="Arial" w:cs="Arial"/>
        </w:rPr>
        <w:t>Revisión y actualización del contexto estratégico de riesgos para los 22 procesos.</w:t>
      </w:r>
    </w:p>
    <w:p w:rsidR="008459E1" w:rsidRPr="008459E1" w:rsidRDefault="008459E1" w:rsidP="008459E1">
      <w:pPr>
        <w:pStyle w:val="Prrafodelista"/>
        <w:numPr>
          <w:ilvl w:val="0"/>
          <w:numId w:val="26"/>
        </w:numPr>
        <w:spacing w:before="100" w:beforeAutospacing="1" w:after="100" w:afterAutospacing="1"/>
        <w:contextualSpacing/>
        <w:rPr>
          <w:rFonts w:ascii="Arial" w:hAnsi="Arial" w:cs="Arial"/>
        </w:rPr>
      </w:pPr>
      <w:r w:rsidRPr="008459E1">
        <w:rPr>
          <w:rFonts w:ascii="Arial" w:hAnsi="Arial" w:cs="Arial"/>
        </w:rPr>
        <w:t>Revisión y actualización de los riesgos de corrupción; realizando el monitoreo para los meses de enero, abril y agosto y publicándose los mapas de riesgos en la página web y en la Intranet IDU.</w:t>
      </w:r>
    </w:p>
    <w:p w:rsidR="008459E1" w:rsidRPr="008459E1" w:rsidRDefault="008459E1" w:rsidP="008459E1">
      <w:pPr>
        <w:pStyle w:val="Prrafodelista"/>
        <w:numPr>
          <w:ilvl w:val="0"/>
          <w:numId w:val="26"/>
        </w:numPr>
        <w:spacing w:before="100" w:beforeAutospacing="1" w:after="100" w:afterAutospacing="1"/>
        <w:contextualSpacing/>
        <w:rPr>
          <w:rFonts w:ascii="Arial" w:hAnsi="Arial" w:cs="Arial"/>
        </w:rPr>
      </w:pPr>
      <w:r w:rsidRPr="008459E1">
        <w:rPr>
          <w:rFonts w:ascii="Arial" w:hAnsi="Arial" w:cs="Arial"/>
        </w:rPr>
        <w:t>Se hizo el monitoreo anual a los riesgos de gestión de 2018 para los 22 procesos, incluyéndose en este monitoreo los riesgos de seguridad de la información.</w:t>
      </w:r>
    </w:p>
    <w:p w:rsidR="008459E1" w:rsidRPr="008459E1" w:rsidRDefault="008459E1" w:rsidP="008459E1">
      <w:pPr>
        <w:pStyle w:val="Prrafodelista"/>
        <w:numPr>
          <w:ilvl w:val="0"/>
          <w:numId w:val="26"/>
        </w:numPr>
        <w:spacing w:before="100" w:beforeAutospacing="1" w:after="100" w:afterAutospacing="1"/>
        <w:contextualSpacing/>
        <w:rPr>
          <w:rFonts w:ascii="Arial" w:hAnsi="Arial" w:cs="Arial"/>
        </w:rPr>
      </w:pPr>
      <w:r w:rsidRPr="008459E1">
        <w:rPr>
          <w:rFonts w:ascii="Arial" w:hAnsi="Arial" w:cs="Arial"/>
        </w:rPr>
        <w:t>Revisión y actualización en todos los procesos y para los riesgos de gestión y riesgos de corrupción de las acciones de contingencia y/o respuesta en caso de materialización de los riesgos.</w:t>
      </w:r>
    </w:p>
    <w:p w:rsidR="008459E1" w:rsidRPr="008459E1" w:rsidRDefault="008459E1" w:rsidP="008459E1">
      <w:pPr>
        <w:pStyle w:val="Prrafodelista"/>
        <w:numPr>
          <w:ilvl w:val="0"/>
          <w:numId w:val="26"/>
        </w:numPr>
        <w:spacing w:before="100" w:beforeAutospacing="1" w:after="100" w:afterAutospacing="1"/>
        <w:contextualSpacing/>
        <w:rPr>
          <w:rFonts w:ascii="Arial" w:hAnsi="Arial" w:cs="Arial"/>
        </w:rPr>
      </w:pPr>
      <w:r w:rsidRPr="008459E1">
        <w:rPr>
          <w:rFonts w:ascii="Arial" w:hAnsi="Arial" w:cs="Arial"/>
        </w:rPr>
        <w:t>Se realizó la sensibilización al equipo operativo SIG del plan de acción de riesgos de la vigencia 2018, como la sensibilización de riesgos de la metodología y la gestión de riesgos del Idu a todo el equipo operativo.</w:t>
      </w:r>
    </w:p>
    <w:p w:rsidR="008459E1" w:rsidRPr="008459E1" w:rsidRDefault="008459E1" w:rsidP="008459E1">
      <w:pPr>
        <w:pStyle w:val="Prrafodelista"/>
        <w:numPr>
          <w:ilvl w:val="0"/>
          <w:numId w:val="26"/>
        </w:numPr>
        <w:spacing w:before="100" w:beforeAutospacing="1" w:after="100" w:afterAutospacing="1"/>
        <w:contextualSpacing/>
        <w:rPr>
          <w:rFonts w:ascii="Arial" w:hAnsi="Arial" w:cs="Arial"/>
        </w:rPr>
      </w:pPr>
      <w:r w:rsidRPr="008459E1">
        <w:rPr>
          <w:rFonts w:ascii="Arial" w:hAnsi="Arial" w:cs="Arial"/>
        </w:rPr>
        <w:t>Por último, se realizó la sensibilización  de las matrices de riesgos por parte de los facilitadores en cada una de las dependencias. Obteniéndose una participación de más de 800 servidores y contratistas.</w:t>
      </w:r>
    </w:p>
    <w:p w:rsidR="008459E1" w:rsidRPr="008459E1" w:rsidRDefault="008459E1" w:rsidP="008459E1">
      <w:pPr>
        <w:rPr>
          <w:rFonts w:cs="Arial"/>
          <w:b/>
          <w:szCs w:val="22"/>
        </w:rPr>
      </w:pPr>
      <w:r w:rsidRPr="008459E1">
        <w:rPr>
          <w:rFonts w:cs="Arial"/>
          <w:b/>
          <w:szCs w:val="22"/>
        </w:rPr>
        <w:t>Plan Anticorrupción:</w:t>
      </w:r>
    </w:p>
    <w:p w:rsidR="008459E1" w:rsidRPr="008459E1" w:rsidRDefault="008459E1" w:rsidP="008459E1">
      <w:pPr>
        <w:spacing w:before="240"/>
        <w:rPr>
          <w:rFonts w:cs="Arial"/>
          <w:szCs w:val="22"/>
        </w:rPr>
      </w:pPr>
      <w:r w:rsidRPr="008459E1">
        <w:rPr>
          <w:rFonts w:cs="Arial"/>
          <w:szCs w:val="22"/>
        </w:rPr>
        <w:t>El IDU consciente de que su gestión se puede ver perjudicada por hechos de corrupción, procura la prevención y protección de su operación a través de diferentes líneas de control, y prevención.</w:t>
      </w:r>
    </w:p>
    <w:p w:rsidR="008459E1" w:rsidRPr="008459E1" w:rsidRDefault="008459E1" w:rsidP="008459E1">
      <w:pPr>
        <w:spacing w:before="240"/>
        <w:rPr>
          <w:rFonts w:cs="Arial"/>
          <w:szCs w:val="22"/>
        </w:rPr>
      </w:pPr>
      <w:r w:rsidRPr="008459E1">
        <w:rPr>
          <w:rFonts w:cs="Arial"/>
          <w:szCs w:val="22"/>
        </w:rPr>
        <w:lastRenderedPageBreak/>
        <w:t>Se identificaron los riesgos de corrupción en todos los procesos y específicamente los riesgos de soborno en los procesos críticos gestionando los controles y mecanismos de prevención requeridos. Ha realizado un análisis detallado de los eventos susceptibles de soborno en los procesos de la entidad, y especialmente ha generado la política anti-soborno en la gestión predial y los controles necesarios para su prevención y seguimiento.</w:t>
      </w:r>
    </w:p>
    <w:p w:rsidR="008459E1" w:rsidRPr="008459E1" w:rsidRDefault="008459E1" w:rsidP="008459E1">
      <w:pPr>
        <w:spacing w:before="240"/>
        <w:rPr>
          <w:rFonts w:cs="Arial"/>
          <w:szCs w:val="22"/>
        </w:rPr>
      </w:pPr>
      <w:r w:rsidRPr="008459E1">
        <w:rPr>
          <w:rFonts w:cs="Arial"/>
          <w:szCs w:val="22"/>
        </w:rPr>
        <w:t>El IDU cuenta con una Oficina de Atención al Ciudadano, la que ha liderado de manera oportuna la implementación y operación del proceso de Gestión Social y Atención al Ciudadano; en éste proceso se ha liderado las estrategias de Mejora de los Mecanismos de atención al ciudadano, la estrategia de Rendición de cuentas, y la Estrategia de Racionalización de Trámites.</w:t>
      </w:r>
    </w:p>
    <w:p w:rsidR="008459E1" w:rsidRPr="008459E1" w:rsidRDefault="008459E1" w:rsidP="008459E1">
      <w:pPr>
        <w:spacing w:before="240"/>
        <w:rPr>
          <w:rFonts w:cs="Arial"/>
          <w:szCs w:val="22"/>
        </w:rPr>
      </w:pPr>
      <w:r w:rsidRPr="008459E1">
        <w:rPr>
          <w:rFonts w:cs="Arial"/>
          <w:szCs w:val="22"/>
        </w:rPr>
        <w:t>Para cada una  de las estrategias del plan anticorrupción, la entidad realiza un diagnóstico de su situación actual, revisando informes de auditoría, reporte de quejas, informes de observatorios de ciudadanos, la planeación estratégica y los requisitos normativos entre otras. Cada estratégica define su plan de acción, sus metas e indicadores de seguimiento.</w:t>
      </w:r>
    </w:p>
    <w:p w:rsidR="00D67573" w:rsidRPr="008459E1" w:rsidRDefault="008459E1" w:rsidP="008459E1">
      <w:pPr>
        <w:spacing w:before="240"/>
        <w:rPr>
          <w:rFonts w:cs="Arial"/>
          <w:szCs w:val="22"/>
        </w:rPr>
      </w:pPr>
      <w:r w:rsidRPr="008459E1">
        <w:rPr>
          <w:rFonts w:cs="Arial"/>
          <w:szCs w:val="22"/>
        </w:rPr>
        <w:t xml:space="preserve">La Oficina de Planeación realizó la consolidación del Plan Anticorrupción y de Atención al Ciudadano 2018 el cual se publicó en la página web del IDU de acuerdo a los nuevos cambios normativos a inicio de la vigencia. Gestionó en apoyo con otras áreas específicamente con la Oficina de Atención al Ciudadano la ejecución de las estrategias contempladas en el Plan dándole cumplimiento en los términos expresados en el archivo de seguimiento publicado en la Web IDU. </w:t>
      </w:r>
      <w:r w:rsidR="00D67573" w:rsidRPr="008459E1">
        <w:rPr>
          <w:rFonts w:cs="Arial"/>
          <w:szCs w:val="22"/>
        </w:rPr>
        <w:t xml:space="preserve"> </w:t>
      </w:r>
    </w:p>
    <w:p w:rsidR="0020350B" w:rsidRPr="00104F4B" w:rsidRDefault="004B7ED5" w:rsidP="004B7ED5">
      <w:pPr>
        <w:pStyle w:val="Ttulo1"/>
        <w:rPr>
          <w:rFonts w:ascii="Arial" w:hAnsi="Arial" w:cs="Arial"/>
          <w:sz w:val="22"/>
          <w:szCs w:val="22"/>
        </w:rPr>
      </w:pPr>
      <w:bookmarkStart w:id="19" w:name="_Toc536195524"/>
      <w:r w:rsidRPr="00104F4B">
        <w:rPr>
          <w:rFonts w:ascii="Arial" w:hAnsi="Arial" w:cs="Arial"/>
          <w:sz w:val="22"/>
          <w:szCs w:val="22"/>
        </w:rPr>
        <w:t xml:space="preserve">3.1.1.3 </w:t>
      </w:r>
      <w:r w:rsidR="0020350B" w:rsidRPr="00104F4B">
        <w:rPr>
          <w:rFonts w:ascii="Arial" w:hAnsi="Arial" w:cs="Arial"/>
          <w:sz w:val="22"/>
          <w:szCs w:val="22"/>
        </w:rPr>
        <w:t>Gestión Integral de Proyectos</w:t>
      </w:r>
      <w:r w:rsidR="0028320B" w:rsidRPr="00104F4B">
        <w:rPr>
          <w:rFonts w:ascii="Arial" w:hAnsi="Arial" w:cs="Arial"/>
          <w:sz w:val="22"/>
          <w:szCs w:val="22"/>
        </w:rPr>
        <w:t>:</w:t>
      </w:r>
      <w:bookmarkEnd w:id="19"/>
      <w:r w:rsidR="0028320B" w:rsidRPr="00104F4B">
        <w:rPr>
          <w:rFonts w:ascii="Arial" w:hAnsi="Arial" w:cs="Arial"/>
          <w:sz w:val="22"/>
          <w:szCs w:val="22"/>
        </w:rPr>
        <w:t xml:space="preserve"> </w:t>
      </w:r>
    </w:p>
    <w:p w:rsidR="00D67573" w:rsidRPr="00104F4B" w:rsidRDefault="00D67573" w:rsidP="00D67573">
      <w:pPr>
        <w:spacing w:before="240"/>
        <w:rPr>
          <w:rFonts w:cs="Arial"/>
          <w:szCs w:val="22"/>
        </w:rPr>
      </w:pPr>
      <w:r w:rsidRPr="00104F4B">
        <w:rPr>
          <w:rFonts w:cs="Arial"/>
          <w:szCs w:val="22"/>
        </w:rPr>
        <w:t>De acuerdo con la caracterización del proceso de Gestión Integral de Proyectos, a través del sistema ZIPA se deben monitorear de manera integral todas las fases (Planeación, ejecución y cierre) de las diferentes etapas del ciclo de vida de los proyectos. En consecuencia, la mesa de gobierno ZIPA con este objetivo durante los años 2016 y 2017 implementó el módulo que permite monitorear la ejecución de los proyectos que son desarrollados a través de un contratista, dando inicio formal al sistema en el Instituto y adicionalmente se trazó el plan de trabajo para los años siguientes con el fin de dar cumplimiento a lo establecido en la caracterización del proceso.</w:t>
      </w:r>
    </w:p>
    <w:p w:rsidR="00D67573" w:rsidRPr="00104F4B" w:rsidRDefault="00D67573" w:rsidP="00D67573">
      <w:pPr>
        <w:rPr>
          <w:rFonts w:cs="Arial"/>
          <w:szCs w:val="22"/>
        </w:rPr>
      </w:pPr>
      <w:r w:rsidRPr="00104F4B">
        <w:rPr>
          <w:rFonts w:cs="Arial"/>
          <w:szCs w:val="22"/>
        </w:rPr>
        <w:t>Así las cosas, el plan de trabajo para el año 2018 consistió en la formulación de mejoras que permitieran contar con los diferentes tipos de información requeridos para conocer el estado de los proyectos (información técnica, contractual, financiera, predial, social, ambiental, entre otros), así como la implementación del módulo para monitorear el cierre de los proyectos (recibo y liquidación de contratos) y cerrar la brecha de información que existe al respecto en términos institucionales.</w:t>
      </w:r>
    </w:p>
    <w:p w:rsidR="00D67573" w:rsidRPr="00104F4B" w:rsidRDefault="00D67573" w:rsidP="00D67573">
      <w:pPr>
        <w:spacing w:before="240"/>
        <w:rPr>
          <w:rFonts w:cs="Arial"/>
          <w:szCs w:val="22"/>
        </w:rPr>
      </w:pPr>
      <w:r w:rsidRPr="00104F4B">
        <w:rPr>
          <w:rFonts w:cs="Arial"/>
          <w:szCs w:val="22"/>
        </w:rPr>
        <w:t>Producto del trabajo articulado entre las dependencias que conforman la mesa de gobierno, se lograron desarrollar los siguientes complementos al módulo de proyectos en ejecución.</w:t>
      </w:r>
    </w:p>
    <w:p w:rsidR="00D67573" w:rsidRPr="00104F4B" w:rsidRDefault="00D67573" w:rsidP="00D67573">
      <w:pPr>
        <w:rPr>
          <w:rFonts w:cs="Arial"/>
          <w:b/>
          <w:szCs w:val="22"/>
        </w:rPr>
      </w:pPr>
      <w:r w:rsidRPr="00104F4B">
        <w:rPr>
          <w:rFonts w:cs="Arial"/>
          <w:b/>
          <w:szCs w:val="22"/>
        </w:rPr>
        <w:t>Proyectos terminados y/o en liquidación</w:t>
      </w:r>
    </w:p>
    <w:p w:rsidR="00D67573" w:rsidRPr="00104F4B" w:rsidRDefault="00D67573" w:rsidP="00D67573">
      <w:pPr>
        <w:rPr>
          <w:rFonts w:cs="Arial"/>
          <w:szCs w:val="22"/>
        </w:rPr>
      </w:pPr>
      <w:r w:rsidRPr="00104F4B">
        <w:rPr>
          <w:rFonts w:cs="Arial"/>
          <w:szCs w:val="22"/>
        </w:rPr>
        <w:t>Una vez se finalice el plazo de ejecución contractual inicia la fase de cierre de los contratos misionales en la que se deben completar todos los requisitos contractuales establecidos, incluidas las aprobaciones por parte de la interventoría, así como obtener el aval y/o no objeción de las empresas de servicios públicos y de las entidades de orden Nacional, Departamental o Distrital que correspondan, conforme al alcance definido para cada etapa del proyecto.</w:t>
      </w:r>
    </w:p>
    <w:p w:rsidR="00D67573" w:rsidRPr="00104F4B" w:rsidRDefault="00D67573" w:rsidP="00D67573">
      <w:pPr>
        <w:rPr>
          <w:rFonts w:cs="Arial"/>
          <w:szCs w:val="22"/>
        </w:rPr>
      </w:pPr>
      <w:r w:rsidRPr="00104F4B">
        <w:rPr>
          <w:rFonts w:cs="Arial"/>
          <w:szCs w:val="22"/>
        </w:rPr>
        <w:t xml:space="preserve">El monitoreo de esta fase se realiza en el sistema a través de un listado de pendientes que permitirá establecer claramente los requisitos que no se han completado tanto para el recibo final de los </w:t>
      </w:r>
      <w:r w:rsidRPr="00104F4B">
        <w:rPr>
          <w:rFonts w:cs="Arial"/>
          <w:szCs w:val="22"/>
        </w:rPr>
        <w:lastRenderedPageBreak/>
        <w:t>productos y/u obras como de los avales e insumos requeridos para obtener el cierre de los compromisos necesarios para suscribir el acta de liquidación del contrato.</w:t>
      </w:r>
    </w:p>
    <w:p w:rsidR="00D67573" w:rsidRPr="00104F4B" w:rsidRDefault="00D67573" w:rsidP="00D67573">
      <w:pPr>
        <w:jc w:val="center"/>
        <w:rPr>
          <w:rFonts w:cs="Arial"/>
          <w:szCs w:val="22"/>
        </w:rPr>
      </w:pPr>
      <w:r w:rsidRPr="00104F4B">
        <w:rPr>
          <w:rFonts w:cs="Arial"/>
          <w:noProof/>
          <w:szCs w:val="22"/>
          <w:lang w:val="es-CO" w:eastAsia="es-CO"/>
        </w:rPr>
        <w:drawing>
          <wp:inline distT="0" distB="0" distL="0" distR="0" wp14:anchorId="5C3C5E8E" wp14:editId="1304566A">
            <wp:extent cx="4396525" cy="2762250"/>
            <wp:effectExtent l="0" t="0" r="444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00284" cy="2764612"/>
                    </a:xfrm>
                    <a:prstGeom prst="rect">
                      <a:avLst/>
                    </a:prstGeom>
                    <a:noFill/>
                    <a:ln>
                      <a:noFill/>
                    </a:ln>
                  </pic:spPr>
                </pic:pic>
              </a:graphicData>
            </a:graphic>
          </wp:inline>
        </w:drawing>
      </w:r>
    </w:p>
    <w:p w:rsidR="00D67573" w:rsidRPr="00104F4B" w:rsidRDefault="00D67573" w:rsidP="00EF4291">
      <w:pPr>
        <w:pStyle w:val="Contenidodelatabla"/>
      </w:pPr>
    </w:p>
    <w:p w:rsidR="00D67573" w:rsidRPr="00104F4B" w:rsidRDefault="00D67573" w:rsidP="00D67573">
      <w:pPr>
        <w:rPr>
          <w:rFonts w:cs="Arial"/>
          <w:b/>
          <w:szCs w:val="22"/>
        </w:rPr>
      </w:pPr>
      <w:r w:rsidRPr="00104F4B">
        <w:rPr>
          <w:rFonts w:cs="Arial"/>
          <w:b/>
          <w:szCs w:val="22"/>
        </w:rPr>
        <w:t xml:space="preserve">Trámites y licencias: </w:t>
      </w:r>
    </w:p>
    <w:p w:rsidR="00D67573" w:rsidRPr="00104F4B" w:rsidRDefault="00D67573" w:rsidP="00D67573">
      <w:pPr>
        <w:rPr>
          <w:rFonts w:cs="Arial"/>
          <w:b/>
          <w:szCs w:val="22"/>
        </w:rPr>
      </w:pPr>
      <w:r w:rsidRPr="00104F4B">
        <w:rPr>
          <w:rFonts w:cs="Arial"/>
          <w:szCs w:val="22"/>
        </w:rPr>
        <w:t xml:space="preserve">En las diferentes etapas del ciclo de vida se requiere obtener ya sea el aval o aprobación de diferentes productos o insumos por parte de entidades externas al IDU y sus contratistas y que se encuentran incluidos en el alcance de cada etapa. </w:t>
      </w:r>
    </w:p>
    <w:p w:rsidR="00D67573" w:rsidRPr="00104F4B" w:rsidRDefault="00D67573" w:rsidP="00D67573">
      <w:pPr>
        <w:rPr>
          <w:rFonts w:cs="Arial"/>
          <w:szCs w:val="22"/>
        </w:rPr>
      </w:pPr>
      <w:r w:rsidRPr="00104F4B">
        <w:rPr>
          <w:rFonts w:cs="Arial"/>
          <w:szCs w:val="22"/>
        </w:rPr>
        <w:t>Por lo tanto, y al ser un punto crítico en la ejecución de los proyectos, se requiere contar con la trazabilidad de estas aprobaciones a lo largo del ciclo de vida, se diseñó este módulo con el fin de contar con información de primera mano para controlar el avance de cada uno de los trámites requeridos en el proyecto hasta lograr su aprobación final por parte de cada entidad correspondiente.</w:t>
      </w:r>
    </w:p>
    <w:p w:rsidR="00D67573" w:rsidRPr="00104F4B" w:rsidRDefault="00D67573" w:rsidP="00D67573">
      <w:pPr>
        <w:rPr>
          <w:rFonts w:eastAsiaTheme="majorEastAsia" w:cs="Arial"/>
          <w:b/>
          <w:szCs w:val="22"/>
        </w:rPr>
      </w:pPr>
      <w:r w:rsidRPr="00104F4B">
        <w:rPr>
          <w:rFonts w:eastAsiaTheme="majorEastAsia" w:cs="Arial"/>
          <w:b/>
          <w:szCs w:val="22"/>
        </w:rPr>
        <w:t>Gestión de residuos de demolición y construcción – RCD</w:t>
      </w:r>
    </w:p>
    <w:p w:rsidR="00D67573" w:rsidRPr="00104F4B" w:rsidRDefault="00D67573" w:rsidP="00D67573">
      <w:pPr>
        <w:rPr>
          <w:rFonts w:cs="Arial"/>
          <w:szCs w:val="22"/>
        </w:rPr>
      </w:pPr>
      <w:r w:rsidRPr="00104F4B">
        <w:rPr>
          <w:rFonts w:cs="Arial"/>
          <w:szCs w:val="22"/>
        </w:rPr>
        <w:t>El módulo Manejo de Materiales y RCD es la herramienta a través de la cual los equipos de apoyo a la supervisión, ingresan información sobre el suministro de materiales y proveedores, manejo y aprovechamiento de RCD, Mezcla Asfáltica con Grano de Caucho Reciclado - MAGCR, vehículos usados entre otros requerimientos de interés.</w:t>
      </w:r>
    </w:p>
    <w:p w:rsidR="00D67573" w:rsidRPr="00104F4B" w:rsidRDefault="00D67573" w:rsidP="00D67573">
      <w:pPr>
        <w:rPr>
          <w:rFonts w:cs="Arial"/>
          <w:szCs w:val="22"/>
        </w:rPr>
      </w:pPr>
      <w:r w:rsidRPr="00104F4B">
        <w:rPr>
          <w:rFonts w:cs="Arial"/>
          <w:szCs w:val="22"/>
        </w:rPr>
        <w:t>En el módulo se realiza sistematización de la información de los informes mensuales de interventoría del componente ambiental y correspondiente al manejo de materiales, RCD y aplicación de Mezcla Asfáltica de los contratos IDU en etapa de construcción y conservación, llevando así la trazabilidad del suministro de insumos, porcentaje de cumplimiento de instalación de RCD y porcentaje de cumplimiento de aplicación de Mezcla Asfáltica, que son parámetros incluidos en los pliegos de condiciones de los procesos de selección de dichos contratos.</w:t>
      </w:r>
    </w:p>
    <w:p w:rsidR="00D67573" w:rsidRPr="00104F4B" w:rsidRDefault="00D67573" w:rsidP="00D67573">
      <w:pPr>
        <w:jc w:val="center"/>
        <w:rPr>
          <w:rFonts w:cs="Arial"/>
          <w:szCs w:val="22"/>
        </w:rPr>
      </w:pPr>
      <w:r w:rsidRPr="00104F4B">
        <w:rPr>
          <w:rFonts w:cs="Arial"/>
          <w:noProof/>
          <w:szCs w:val="22"/>
          <w:lang w:val="es-CO" w:eastAsia="es-CO"/>
        </w:rPr>
        <w:lastRenderedPageBreak/>
        <w:drawing>
          <wp:inline distT="0" distB="0" distL="0" distR="0" wp14:anchorId="2873D868" wp14:editId="7F41D496">
            <wp:extent cx="5612130" cy="1663700"/>
            <wp:effectExtent l="0" t="0" r="762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612130" cy="1663700"/>
                    </a:xfrm>
                    <a:prstGeom prst="rect">
                      <a:avLst/>
                    </a:prstGeom>
                  </pic:spPr>
                </pic:pic>
              </a:graphicData>
            </a:graphic>
          </wp:inline>
        </w:drawing>
      </w:r>
    </w:p>
    <w:p w:rsidR="00D67573" w:rsidRPr="00104F4B" w:rsidRDefault="00D67573" w:rsidP="00D67573">
      <w:pPr>
        <w:rPr>
          <w:rFonts w:cs="Arial"/>
          <w:szCs w:val="22"/>
        </w:rPr>
      </w:pPr>
      <w:r w:rsidRPr="00104F4B">
        <w:rPr>
          <w:rFonts w:cs="Arial"/>
          <w:szCs w:val="22"/>
        </w:rPr>
        <w:t xml:space="preserve">Estos nuevos desarrollos, en conjunto con otras mejoras realizadas gracias a la interacción con los diferentes usuarios del sistema, permiten contar con un resumen ejecutivo por proyecto que contiene </w:t>
      </w:r>
    </w:p>
    <w:p w:rsidR="00D67573" w:rsidRPr="00104F4B" w:rsidRDefault="00364859" w:rsidP="00364859">
      <w:pPr>
        <w:pStyle w:val="Ttulo1"/>
        <w:rPr>
          <w:rFonts w:ascii="Arial" w:hAnsi="Arial" w:cs="Arial"/>
          <w:sz w:val="22"/>
          <w:szCs w:val="22"/>
        </w:rPr>
      </w:pPr>
      <w:bookmarkStart w:id="20" w:name="_Toc536195525"/>
      <w:r w:rsidRPr="00104F4B">
        <w:rPr>
          <w:rFonts w:ascii="Arial" w:hAnsi="Arial" w:cs="Arial"/>
          <w:sz w:val="22"/>
          <w:szCs w:val="22"/>
        </w:rPr>
        <w:t xml:space="preserve">3.1.2 </w:t>
      </w:r>
      <w:r w:rsidR="000670D2" w:rsidRPr="00104F4B">
        <w:rPr>
          <w:rFonts w:ascii="Arial" w:hAnsi="Arial" w:cs="Arial"/>
          <w:sz w:val="22"/>
          <w:szCs w:val="22"/>
        </w:rPr>
        <w:t>Mejores Prácticas y Logros</w:t>
      </w:r>
      <w:bookmarkEnd w:id="20"/>
      <w:r w:rsidR="000670D2" w:rsidRPr="00104F4B">
        <w:rPr>
          <w:rFonts w:ascii="Arial" w:hAnsi="Arial" w:cs="Arial"/>
          <w:sz w:val="22"/>
          <w:szCs w:val="22"/>
        </w:rPr>
        <w:t xml:space="preserve"> </w:t>
      </w:r>
    </w:p>
    <w:p w:rsidR="000670D2" w:rsidRPr="00104F4B" w:rsidRDefault="000670D2" w:rsidP="000670D2">
      <w:pPr>
        <w:rPr>
          <w:rFonts w:cs="Arial"/>
        </w:rPr>
      </w:pPr>
    </w:p>
    <w:p w:rsidR="000670D2" w:rsidRPr="00104F4B" w:rsidRDefault="000670D2" w:rsidP="002625A5">
      <w:pPr>
        <w:pStyle w:val="Prrafodelista"/>
        <w:numPr>
          <w:ilvl w:val="0"/>
          <w:numId w:val="44"/>
        </w:numPr>
        <w:shd w:val="clear" w:color="auto" w:fill="FFFFFF"/>
        <w:spacing w:before="0"/>
        <w:contextualSpacing/>
        <w:rPr>
          <w:rFonts w:ascii="Arial" w:hAnsi="Arial" w:cs="Arial"/>
        </w:rPr>
      </w:pPr>
      <w:r w:rsidRPr="00104F4B">
        <w:rPr>
          <w:rFonts w:ascii="Arial" w:hAnsi="Arial" w:cs="Arial"/>
        </w:rPr>
        <w:t xml:space="preserve">Desarrollo y expedición de la documentación del proceso de gestión integral de proyectos para alinearla con el estándar internacional del PMI – Project Management Institute. </w:t>
      </w:r>
    </w:p>
    <w:p w:rsidR="000670D2" w:rsidRPr="00104F4B" w:rsidRDefault="000670D2" w:rsidP="002625A5">
      <w:pPr>
        <w:pStyle w:val="Prrafodelista"/>
        <w:numPr>
          <w:ilvl w:val="0"/>
          <w:numId w:val="44"/>
        </w:numPr>
        <w:shd w:val="clear" w:color="auto" w:fill="FFFFFF"/>
        <w:spacing w:before="0"/>
        <w:contextualSpacing/>
        <w:rPr>
          <w:rFonts w:ascii="Arial" w:hAnsi="Arial" w:cs="Arial"/>
        </w:rPr>
      </w:pPr>
      <w:r w:rsidRPr="00104F4B">
        <w:rPr>
          <w:rFonts w:ascii="Arial" w:hAnsi="Arial" w:cs="Arial"/>
        </w:rPr>
        <w:t>Implementación y consolidación de la plataforma tecnológica ZIPA – Sistema de Gestión Integral de Proyectos, que integra la información contractual, técnica y financiera de los proyectos que ejecuta el Instituto y facilita el seguimiento y toma de decisiones por parte de la alta gerencia</w:t>
      </w:r>
    </w:p>
    <w:p w:rsidR="000670D2" w:rsidRPr="00104F4B" w:rsidRDefault="00364859" w:rsidP="00364859">
      <w:pPr>
        <w:pStyle w:val="Ttulo1"/>
        <w:rPr>
          <w:rFonts w:ascii="Arial" w:hAnsi="Arial" w:cs="Arial"/>
          <w:sz w:val="22"/>
          <w:szCs w:val="22"/>
        </w:rPr>
      </w:pPr>
      <w:bookmarkStart w:id="21" w:name="_Toc473535958"/>
      <w:bookmarkStart w:id="22" w:name="_Toc472944044"/>
      <w:bookmarkStart w:id="23" w:name="_Toc536195526"/>
      <w:r w:rsidRPr="00104F4B">
        <w:rPr>
          <w:rFonts w:ascii="Arial" w:hAnsi="Arial" w:cs="Arial"/>
          <w:sz w:val="22"/>
          <w:szCs w:val="22"/>
        </w:rPr>
        <w:t xml:space="preserve">3.1.3 </w:t>
      </w:r>
      <w:r w:rsidR="000670D2" w:rsidRPr="00104F4B">
        <w:rPr>
          <w:rFonts w:ascii="Arial" w:hAnsi="Arial" w:cs="Arial"/>
          <w:sz w:val="22"/>
          <w:szCs w:val="22"/>
        </w:rPr>
        <w:t>Recomendaciones para el mejoramiento de la Gestión</w:t>
      </w:r>
      <w:bookmarkEnd w:id="21"/>
      <w:bookmarkEnd w:id="22"/>
      <w:bookmarkEnd w:id="23"/>
    </w:p>
    <w:p w:rsidR="000670D2" w:rsidRPr="00104F4B" w:rsidRDefault="000670D2" w:rsidP="002625A5">
      <w:pPr>
        <w:pStyle w:val="Prrafodelista"/>
        <w:numPr>
          <w:ilvl w:val="0"/>
          <w:numId w:val="44"/>
        </w:numPr>
        <w:shd w:val="clear" w:color="auto" w:fill="FFFFFF"/>
        <w:spacing w:before="0"/>
        <w:contextualSpacing/>
        <w:rPr>
          <w:rFonts w:ascii="Arial" w:hAnsi="Arial" w:cs="Arial"/>
        </w:rPr>
      </w:pPr>
      <w:r w:rsidRPr="00104F4B">
        <w:rPr>
          <w:rFonts w:ascii="Arial" w:hAnsi="Arial" w:cs="Arial"/>
        </w:rPr>
        <w:t>Realizar el seguimiento de la totalidad de las etapas del ciclo de vida de los proyectos misionales, incluyendo las etapas dirigidas a la selección y adjudicaciones de proyectos.</w:t>
      </w:r>
    </w:p>
    <w:p w:rsidR="000670D2" w:rsidRPr="00104F4B" w:rsidRDefault="000670D2" w:rsidP="002625A5">
      <w:pPr>
        <w:pStyle w:val="Prrafodelista"/>
        <w:numPr>
          <w:ilvl w:val="0"/>
          <w:numId w:val="44"/>
        </w:numPr>
        <w:shd w:val="clear" w:color="auto" w:fill="FFFFFF"/>
        <w:spacing w:before="0"/>
        <w:contextualSpacing/>
        <w:rPr>
          <w:rFonts w:ascii="Arial" w:hAnsi="Arial" w:cs="Arial"/>
        </w:rPr>
      </w:pPr>
      <w:r w:rsidRPr="00104F4B">
        <w:rPr>
          <w:rFonts w:ascii="Arial" w:hAnsi="Arial" w:cs="Arial"/>
        </w:rPr>
        <w:t>Completar la integración del Sistema ZIPA con la totalidad de los sistemas de información existentes en el IDU.</w:t>
      </w:r>
    </w:p>
    <w:p w:rsidR="000C122C" w:rsidRPr="00104F4B" w:rsidRDefault="00F359BF" w:rsidP="00364859">
      <w:pPr>
        <w:pStyle w:val="Ttulo1"/>
        <w:rPr>
          <w:rFonts w:ascii="Arial" w:hAnsi="Arial" w:cs="Arial"/>
          <w:sz w:val="22"/>
          <w:szCs w:val="22"/>
        </w:rPr>
      </w:pPr>
      <w:bookmarkStart w:id="24" w:name="_Toc536195527"/>
      <w:r w:rsidRPr="00104F4B">
        <w:rPr>
          <w:rFonts w:ascii="Arial" w:hAnsi="Arial" w:cs="Arial"/>
          <w:sz w:val="22"/>
          <w:szCs w:val="22"/>
        </w:rPr>
        <w:t>3.2 OFICINA DE CONTROL INTERNO</w:t>
      </w:r>
      <w:bookmarkEnd w:id="24"/>
    </w:p>
    <w:p w:rsidR="000C122C" w:rsidRPr="00104F4B" w:rsidRDefault="00254A55" w:rsidP="00364859">
      <w:pPr>
        <w:pStyle w:val="Ttulo1"/>
        <w:rPr>
          <w:rFonts w:ascii="Arial" w:hAnsi="Arial" w:cs="Arial"/>
          <w:sz w:val="22"/>
          <w:szCs w:val="22"/>
        </w:rPr>
      </w:pPr>
      <w:bookmarkStart w:id="25" w:name="_Toc536195528"/>
      <w:r w:rsidRPr="00104F4B">
        <w:rPr>
          <w:rFonts w:ascii="Arial" w:hAnsi="Arial" w:cs="Arial"/>
          <w:sz w:val="22"/>
          <w:szCs w:val="22"/>
        </w:rPr>
        <w:t>3.2.1 Gestiones a Cargo</w:t>
      </w:r>
      <w:bookmarkEnd w:id="25"/>
    </w:p>
    <w:p w:rsidR="00C83328" w:rsidRPr="00104F4B" w:rsidRDefault="00C83328" w:rsidP="00C83328">
      <w:pPr>
        <w:rPr>
          <w:rFonts w:cs="Arial"/>
          <w:szCs w:val="22"/>
        </w:rPr>
      </w:pPr>
    </w:p>
    <w:p w:rsidR="00254A55" w:rsidRPr="00104F4B" w:rsidRDefault="00254A55" w:rsidP="007A7A3A">
      <w:pPr>
        <w:pStyle w:val="Contenidodelatabla"/>
        <w:rPr>
          <w:rFonts w:ascii="Arial" w:hAnsi="Arial" w:cs="Arial"/>
          <w:b/>
          <w:sz w:val="22"/>
          <w:szCs w:val="22"/>
        </w:rPr>
      </w:pPr>
      <w:r w:rsidRPr="00104F4B">
        <w:rPr>
          <w:rFonts w:ascii="Arial" w:hAnsi="Arial" w:cs="Arial"/>
          <w:b/>
          <w:sz w:val="22"/>
          <w:szCs w:val="22"/>
        </w:rPr>
        <w:t>Tema/Rol 1: Liderazgo estratégico</w:t>
      </w:r>
    </w:p>
    <w:p w:rsidR="00C76C4F" w:rsidRPr="00104F4B" w:rsidRDefault="00C76C4F" w:rsidP="007A7A3A">
      <w:pPr>
        <w:pStyle w:val="Contenidodelatabla"/>
        <w:rPr>
          <w:rFonts w:ascii="Arial" w:hAnsi="Arial" w:cs="Arial"/>
          <w:b/>
          <w:sz w:val="22"/>
          <w:szCs w:val="22"/>
        </w:rPr>
      </w:pPr>
    </w:p>
    <w:p w:rsidR="00254A55" w:rsidRPr="00104F4B" w:rsidRDefault="00254A55" w:rsidP="00C76C4F">
      <w:pPr>
        <w:pStyle w:val="Contenidodelatabla"/>
        <w:rPr>
          <w:rFonts w:ascii="Arial" w:hAnsi="Arial" w:cs="Arial"/>
          <w:sz w:val="22"/>
          <w:szCs w:val="22"/>
        </w:rPr>
      </w:pPr>
      <w:r w:rsidRPr="00104F4B">
        <w:rPr>
          <w:rFonts w:ascii="Arial" w:hAnsi="Arial" w:cs="Arial"/>
          <w:sz w:val="22"/>
          <w:szCs w:val="22"/>
        </w:rPr>
        <w:t>En el desarrollo de este rol, se adelantaron las siguientes actividades:</w:t>
      </w:r>
    </w:p>
    <w:p w:rsidR="000A5560" w:rsidRPr="00104F4B" w:rsidRDefault="000A5560" w:rsidP="00C76C4F">
      <w:pPr>
        <w:pStyle w:val="Contenidodelatabla"/>
        <w:rPr>
          <w:rFonts w:ascii="Arial" w:hAnsi="Arial" w:cs="Arial"/>
          <w:sz w:val="22"/>
          <w:szCs w:val="22"/>
        </w:rPr>
      </w:pPr>
    </w:p>
    <w:p w:rsidR="00254A55" w:rsidRPr="00104F4B" w:rsidRDefault="00254A55" w:rsidP="002625A5">
      <w:pPr>
        <w:pStyle w:val="Prrafodelista"/>
        <w:numPr>
          <w:ilvl w:val="0"/>
          <w:numId w:val="24"/>
        </w:numPr>
        <w:shd w:val="clear" w:color="auto" w:fill="FFFFFF"/>
        <w:spacing w:before="0"/>
        <w:contextualSpacing/>
        <w:rPr>
          <w:rFonts w:ascii="Arial" w:hAnsi="Arial" w:cs="Arial"/>
          <w:color w:val="222222"/>
        </w:rPr>
      </w:pPr>
      <w:r w:rsidRPr="00104F4B">
        <w:rPr>
          <w:rFonts w:ascii="Arial" w:hAnsi="Arial" w:cs="Arial"/>
          <w:color w:val="222222"/>
        </w:rPr>
        <w:t>Elaboración del Plan Anual de Auditorías-PAA 2018, aprobado en el Comité Institucional de Coordinación de Control Interno-CICCI del 29/01/2018.</w:t>
      </w:r>
    </w:p>
    <w:p w:rsidR="00254A55" w:rsidRPr="00104F4B" w:rsidRDefault="00254A55" w:rsidP="002625A5">
      <w:pPr>
        <w:pStyle w:val="Prrafodelista"/>
        <w:numPr>
          <w:ilvl w:val="0"/>
          <w:numId w:val="24"/>
        </w:numPr>
        <w:shd w:val="clear" w:color="auto" w:fill="FFFFFF"/>
        <w:spacing w:before="0"/>
        <w:contextualSpacing/>
        <w:rPr>
          <w:rFonts w:ascii="Arial" w:hAnsi="Arial" w:cs="Arial"/>
          <w:color w:val="222222"/>
        </w:rPr>
      </w:pPr>
      <w:r w:rsidRPr="00104F4B">
        <w:rPr>
          <w:rFonts w:ascii="Arial" w:hAnsi="Arial" w:cs="Arial"/>
          <w:color w:val="222222"/>
        </w:rPr>
        <w:t>Se gestionó la modificación de funciones, conformación y otros aspectos del CICCI, adoptadas mediante Resolución No. 2275 de 2018 del IDU.</w:t>
      </w:r>
    </w:p>
    <w:p w:rsidR="00254A55" w:rsidRPr="00104F4B" w:rsidRDefault="00254A55" w:rsidP="002625A5">
      <w:pPr>
        <w:pStyle w:val="Prrafodelista"/>
        <w:numPr>
          <w:ilvl w:val="0"/>
          <w:numId w:val="24"/>
        </w:numPr>
        <w:shd w:val="clear" w:color="auto" w:fill="FFFFFF"/>
        <w:spacing w:before="0"/>
        <w:contextualSpacing/>
        <w:rPr>
          <w:rFonts w:ascii="Arial" w:hAnsi="Arial" w:cs="Arial"/>
          <w:color w:val="222222"/>
        </w:rPr>
      </w:pPr>
      <w:r w:rsidRPr="00104F4B">
        <w:rPr>
          <w:rFonts w:ascii="Arial" w:hAnsi="Arial" w:cs="Arial"/>
          <w:color w:val="222222"/>
        </w:rPr>
        <w:t>En ejercicio de la Secretaría Técnica del CICCI, se realizaron 4 sesiones de Comité, en las que se presentó ejecución del Plan y discusión y aprobación de instrumentos necesarios para el ejercicio del control interno en la Entidad como el Estatuto de auditoría interna, Código de ética del auditor interno, Declaración de confidencialidad y no conflicto de intereses y Carta de representación ante el CICCI.</w:t>
      </w:r>
    </w:p>
    <w:p w:rsidR="00254A55" w:rsidRPr="00104F4B" w:rsidRDefault="00254A55" w:rsidP="00C83328">
      <w:pPr>
        <w:pStyle w:val="Prrafodelista"/>
        <w:shd w:val="clear" w:color="auto" w:fill="FFFFFF"/>
        <w:spacing w:before="0"/>
        <w:ind w:left="360"/>
        <w:contextualSpacing/>
        <w:rPr>
          <w:rFonts w:ascii="Arial" w:hAnsi="Arial" w:cs="Arial"/>
          <w:color w:val="222222"/>
        </w:rPr>
      </w:pPr>
    </w:p>
    <w:p w:rsidR="00254A55" w:rsidRPr="00104F4B" w:rsidRDefault="00254A55" w:rsidP="002625A5">
      <w:pPr>
        <w:pStyle w:val="Prrafodelista"/>
        <w:numPr>
          <w:ilvl w:val="0"/>
          <w:numId w:val="24"/>
        </w:numPr>
        <w:shd w:val="clear" w:color="auto" w:fill="FFFFFF"/>
        <w:spacing w:before="0"/>
        <w:contextualSpacing/>
        <w:rPr>
          <w:rFonts w:ascii="Arial" w:hAnsi="Arial" w:cs="Arial"/>
          <w:color w:val="222222"/>
        </w:rPr>
      </w:pPr>
      <w:r w:rsidRPr="00104F4B">
        <w:rPr>
          <w:rFonts w:ascii="Arial" w:hAnsi="Arial" w:cs="Arial"/>
          <w:color w:val="222222"/>
        </w:rPr>
        <w:lastRenderedPageBreak/>
        <w:t>Modificación de los procedimientos asociados con realización de auditorías, formulación y seguimiento de planes de mejoramiento y respuesta a informes de organismos de control.</w:t>
      </w:r>
    </w:p>
    <w:p w:rsidR="00254A55" w:rsidRPr="00104F4B" w:rsidRDefault="00254A55" w:rsidP="002625A5">
      <w:pPr>
        <w:pStyle w:val="Prrafodelista"/>
        <w:numPr>
          <w:ilvl w:val="0"/>
          <w:numId w:val="24"/>
        </w:numPr>
        <w:shd w:val="clear" w:color="auto" w:fill="FFFFFF"/>
        <w:spacing w:before="0"/>
        <w:contextualSpacing/>
        <w:rPr>
          <w:rFonts w:ascii="Arial" w:hAnsi="Arial" w:cs="Arial"/>
          <w:color w:val="222222"/>
        </w:rPr>
      </w:pPr>
      <w:r w:rsidRPr="00104F4B">
        <w:rPr>
          <w:rFonts w:ascii="Arial" w:hAnsi="Arial" w:cs="Arial"/>
          <w:color w:val="222222"/>
        </w:rPr>
        <w:t>Se apoyó y gestionó la formulación y aprobación del Reglamento del Comité Distrital de Auditoría, en donde la OCI del IDU ejerce la Secretaría Técnica.</w:t>
      </w:r>
    </w:p>
    <w:p w:rsidR="00254A55" w:rsidRPr="00104F4B" w:rsidRDefault="00254A55" w:rsidP="00254A55">
      <w:pPr>
        <w:widowControl w:val="0"/>
        <w:rPr>
          <w:rFonts w:cs="Arial"/>
          <w:b/>
          <w:szCs w:val="22"/>
        </w:rPr>
      </w:pPr>
    </w:p>
    <w:p w:rsidR="00254A55" w:rsidRPr="00104F4B" w:rsidRDefault="00254A55" w:rsidP="007A7A3A">
      <w:pPr>
        <w:pStyle w:val="Contenidodelatabla"/>
        <w:rPr>
          <w:rFonts w:ascii="Arial" w:hAnsi="Arial" w:cs="Arial"/>
          <w:b/>
          <w:sz w:val="22"/>
          <w:szCs w:val="22"/>
        </w:rPr>
      </w:pPr>
      <w:bookmarkStart w:id="26" w:name="_Toc414271243"/>
      <w:r w:rsidRPr="00104F4B">
        <w:rPr>
          <w:rFonts w:ascii="Arial" w:hAnsi="Arial" w:cs="Arial"/>
          <w:b/>
          <w:sz w:val="22"/>
          <w:szCs w:val="22"/>
        </w:rPr>
        <w:t xml:space="preserve">Tema/Rol </w:t>
      </w:r>
      <w:bookmarkEnd w:id="26"/>
      <w:r w:rsidRPr="00104F4B">
        <w:rPr>
          <w:rFonts w:ascii="Arial" w:hAnsi="Arial" w:cs="Arial"/>
          <w:b/>
          <w:sz w:val="22"/>
          <w:szCs w:val="22"/>
        </w:rPr>
        <w:t>2: Evaluación y Seguimiento</w:t>
      </w:r>
    </w:p>
    <w:p w:rsidR="00C76C4F" w:rsidRPr="00104F4B" w:rsidRDefault="00C76C4F" w:rsidP="007A7A3A">
      <w:pPr>
        <w:pStyle w:val="Contenidodelatabla"/>
        <w:rPr>
          <w:rFonts w:ascii="Arial" w:hAnsi="Arial" w:cs="Arial"/>
          <w:b/>
          <w:sz w:val="22"/>
          <w:szCs w:val="22"/>
        </w:rPr>
      </w:pPr>
    </w:p>
    <w:p w:rsidR="00254A55" w:rsidRPr="00104F4B" w:rsidRDefault="00254A55" w:rsidP="00C76C4F">
      <w:pPr>
        <w:pStyle w:val="Contenidodelatabla"/>
        <w:rPr>
          <w:rFonts w:ascii="Arial" w:hAnsi="Arial" w:cs="Arial"/>
          <w:sz w:val="22"/>
          <w:szCs w:val="22"/>
        </w:rPr>
      </w:pPr>
      <w:r w:rsidRPr="00104F4B">
        <w:rPr>
          <w:rFonts w:ascii="Arial" w:hAnsi="Arial" w:cs="Arial"/>
          <w:sz w:val="22"/>
          <w:szCs w:val="22"/>
        </w:rPr>
        <w:t>En el desarrollo de este rol, se adelantaron las siguientes actividades:</w:t>
      </w:r>
    </w:p>
    <w:p w:rsidR="00C76C4F" w:rsidRPr="00104F4B" w:rsidRDefault="00C76C4F" w:rsidP="00C76C4F">
      <w:pPr>
        <w:rPr>
          <w:rFonts w:cs="Arial"/>
          <w:szCs w:val="22"/>
          <w:lang w:eastAsia="es-CO" w:bidi="hi-IN"/>
        </w:rPr>
      </w:pPr>
    </w:p>
    <w:p w:rsidR="00254A55" w:rsidRPr="00104F4B" w:rsidRDefault="00254A55" w:rsidP="002625A5">
      <w:pPr>
        <w:pStyle w:val="Prrafodelista"/>
        <w:widowControl w:val="0"/>
        <w:numPr>
          <w:ilvl w:val="0"/>
          <w:numId w:val="30"/>
        </w:numPr>
        <w:suppressAutoHyphens/>
        <w:spacing w:before="0"/>
        <w:ind w:left="284" w:hanging="284"/>
        <w:rPr>
          <w:rFonts w:ascii="Arial" w:hAnsi="Arial" w:cs="Arial"/>
          <w:bCs/>
        </w:rPr>
      </w:pPr>
      <w:r w:rsidRPr="00104F4B">
        <w:rPr>
          <w:rFonts w:ascii="Arial" w:hAnsi="Arial" w:cs="Arial"/>
          <w:bCs/>
        </w:rPr>
        <w:t xml:space="preserve">Se ejecutaron auditorías a los siguientes procesos/sistemas/actividades: </w:t>
      </w:r>
    </w:p>
    <w:p w:rsidR="00F27360" w:rsidRPr="00104F4B" w:rsidRDefault="00F27360" w:rsidP="00F27360">
      <w:pPr>
        <w:pStyle w:val="Prrafodelista"/>
        <w:widowControl w:val="0"/>
        <w:suppressAutoHyphens/>
        <w:spacing w:before="0"/>
        <w:ind w:left="284"/>
        <w:rPr>
          <w:rFonts w:ascii="Arial" w:hAnsi="Arial" w:cs="Arial"/>
          <w:bCs/>
        </w:rPr>
      </w:pPr>
    </w:p>
    <w:tbl>
      <w:tblPr>
        <w:tblStyle w:val="Tablaconcuadrcula"/>
        <w:tblW w:w="0" w:type="auto"/>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6"/>
        <w:gridCol w:w="3729"/>
      </w:tblGrid>
      <w:tr w:rsidR="00254A55" w:rsidRPr="00104F4B" w:rsidTr="000F2FCB">
        <w:tc>
          <w:tcPr>
            <w:tcW w:w="5386" w:type="dxa"/>
          </w:tcPr>
          <w:p w:rsidR="00254A55" w:rsidRPr="00104F4B" w:rsidRDefault="00254A55" w:rsidP="002625A5">
            <w:pPr>
              <w:pStyle w:val="Prrafodelista"/>
              <w:widowControl w:val="0"/>
              <w:numPr>
                <w:ilvl w:val="0"/>
                <w:numId w:val="29"/>
              </w:numPr>
              <w:suppressAutoHyphens/>
              <w:spacing w:before="0"/>
              <w:ind w:left="426"/>
              <w:rPr>
                <w:rFonts w:ascii="Arial" w:hAnsi="Arial" w:cs="Arial"/>
                <w:bCs/>
              </w:rPr>
            </w:pPr>
            <w:r w:rsidRPr="00104F4B">
              <w:rPr>
                <w:rFonts w:ascii="Arial" w:hAnsi="Arial" w:cs="Arial"/>
                <w:bCs/>
              </w:rPr>
              <w:t xml:space="preserve">Conservación de infraestructura </w:t>
            </w:r>
          </w:p>
        </w:tc>
        <w:tc>
          <w:tcPr>
            <w:tcW w:w="3729" w:type="dxa"/>
          </w:tcPr>
          <w:p w:rsidR="00254A55" w:rsidRPr="00104F4B" w:rsidRDefault="00254A55" w:rsidP="002625A5">
            <w:pPr>
              <w:pStyle w:val="Prrafodelista"/>
              <w:widowControl w:val="0"/>
              <w:numPr>
                <w:ilvl w:val="0"/>
                <w:numId w:val="29"/>
              </w:numPr>
              <w:suppressAutoHyphens/>
              <w:spacing w:before="0"/>
              <w:ind w:left="426"/>
              <w:rPr>
                <w:rFonts w:ascii="Arial" w:hAnsi="Arial" w:cs="Arial"/>
                <w:bCs/>
              </w:rPr>
            </w:pPr>
            <w:r w:rsidRPr="00104F4B">
              <w:rPr>
                <w:rFonts w:ascii="Arial" w:hAnsi="Arial" w:cs="Arial"/>
                <w:bCs/>
              </w:rPr>
              <w:t>Gestión predial</w:t>
            </w:r>
          </w:p>
        </w:tc>
      </w:tr>
      <w:tr w:rsidR="00254A55" w:rsidRPr="00104F4B" w:rsidTr="000F2FCB">
        <w:trPr>
          <w:trHeight w:val="181"/>
        </w:trPr>
        <w:tc>
          <w:tcPr>
            <w:tcW w:w="5386" w:type="dxa"/>
          </w:tcPr>
          <w:p w:rsidR="00254A55" w:rsidRPr="00104F4B" w:rsidRDefault="00254A55" w:rsidP="002625A5">
            <w:pPr>
              <w:pStyle w:val="Prrafodelista"/>
              <w:widowControl w:val="0"/>
              <w:numPr>
                <w:ilvl w:val="0"/>
                <w:numId w:val="29"/>
              </w:numPr>
              <w:suppressAutoHyphens/>
              <w:spacing w:before="0"/>
              <w:ind w:left="426"/>
              <w:rPr>
                <w:rFonts w:ascii="Arial" w:hAnsi="Arial" w:cs="Arial"/>
                <w:bCs/>
              </w:rPr>
            </w:pPr>
            <w:r w:rsidRPr="00104F4B">
              <w:rPr>
                <w:rFonts w:ascii="Arial" w:hAnsi="Arial" w:cs="Arial"/>
                <w:bCs/>
              </w:rPr>
              <w:t>Gestión contractual-etapa precontractual y contractual.</w:t>
            </w:r>
          </w:p>
        </w:tc>
        <w:tc>
          <w:tcPr>
            <w:tcW w:w="3729" w:type="dxa"/>
          </w:tcPr>
          <w:p w:rsidR="00254A55" w:rsidRPr="00104F4B" w:rsidRDefault="00254A55" w:rsidP="002625A5">
            <w:pPr>
              <w:pStyle w:val="Prrafodelista"/>
              <w:widowControl w:val="0"/>
              <w:numPr>
                <w:ilvl w:val="0"/>
                <w:numId w:val="29"/>
              </w:numPr>
              <w:suppressAutoHyphens/>
              <w:spacing w:before="0"/>
              <w:ind w:left="426"/>
              <w:rPr>
                <w:rFonts w:ascii="Arial" w:hAnsi="Arial" w:cs="Arial"/>
                <w:bCs/>
              </w:rPr>
            </w:pPr>
            <w:r w:rsidRPr="00104F4B">
              <w:rPr>
                <w:rFonts w:ascii="Arial" w:hAnsi="Arial" w:cs="Arial"/>
                <w:bCs/>
              </w:rPr>
              <w:t>Diseño de proyectos.</w:t>
            </w:r>
            <w:r w:rsidRPr="00104F4B">
              <w:rPr>
                <w:rFonts w:ascii="Arial" w:hAnsi="Arial" w:cs="Arial"/>
                <w:bCs/>
              </w:rPr>
              <w:tab/>
            </w:r>
          </w:p>
        </w:tc>
      </w:tr>
      <w:tr w:rsidR="00254A55" w:rsidRPr="00104F4B" w:rsidTr="000F2FCB">
        <w:tc>
          <w:tcPr>
            <w:tcW w:w="5386" w:type="dxa"/>
          </w:tcPr>
          <w:p w:rsidR="00254A55" w:rsidRPr="00104F4B" w:rsidRDefault="00254A55" w:rsidP="002625A5">
            <w:pPr>
              <w:pStyle w:val="Prrafodelista"/>
              <w:widowControl w:val="0"/>
              <w:numPr>
                <w:ilvl w:val="0"/>
                <w:numId w:val="29"/>
              </w:numPr>
              <w:suppressAutoHyphens/>
              <w:spacing w:before="0"/>
              <w:ind w:left="426"/>
              <w:rPr>
                <w:rFonts w:ascii="Arial" w:hAnsi="Arial" w:cs="Arial"/>
                <w:bCs/>
              </w:rPr>
            </w:pPr>
            <w:r w:rsidRPr="00104F4B">
              <w:rPr>
                <w:rFonts w:ascii="Arial" w:hAnsi="Arial" w:cs="Arial"/>
                <w:bCs/>
              </w:rPr>
              <w:t>Sistema Integrado de Gestión (22 procesos).</w:t>
            </w:r>
          </w:p>
        </w:tc>
        <w:tc>
          <w:tcPr>
            <w:tcW w:w="3729" w:type="dxa"/>
          </w:tcPr>
          <w:p w:rsidR="00254A55" w:rsidRPr="00104F4B" w:rsidRDefault="00254A55" w:rsidP="002625A5">
            <w:pPr>
              <w:pStyle w:val="Prrafodelista"/>
              <w:widowControl w:val="0"/>
              <w:numPr>
                <w:ilvl w:val="0"/>
                <w:numId w:val="29"/>
              </w:numPr>
              <w:suppressAutoHyphens/>
              <w:spacing w:before="0"/>
              <w:ind w:left="426"/>
              <w:rPr>
                <w:rFonts w:ascii="Arial" w:hAnsi="Arial" w:cs="Arial"/>
                <w:bCs/>
              </w:rPr>
            </w:pPr>
            <w:r w:rsidRPr="00104F4B">
              <w:rPr>
                <w:rFonts w:ascii="Arial" w:hAnsi="Arial" w:cs="Arial"/>
                <w:bCs/>
              </w:rPr>
              <w:t>Gestión financiera.</w:t>
            </w:r>
          </w:p>
        </w:tc>
      </w:tr>
      <w:tr w:rsidR="00254A55" w:rsidRPr="00104F4B" w:rsidTr="000F2FCB">
        <w:tc>
          <w:tcPr>
            <w:tcW w:w="5386" w:type="dxa"/>
          </w:tcPr>
          <w:p w:rsidR="00254A55" w:rsidRPr="00104F4B" w:rsidRDefault="00254A55" w:rsidP="002625A5">
            <w:pPr>
              <w:pStyle w:val="Prrafodelista"/>
              <w:widowControl w:val="0"/>
              <w:numPr>
                <w:ilvl w:val="0"/>
                <w:numId w:val="29"/>
              </w:numPr>
              <w:suppressAutoHyphens/>
              <w:spacing w:before="0"/>
              <w:ind w:left="426"/>
              <w:rPr>
                <w:rFonts w:ascii="Arial" w:hAnsi="Arial" w:cs="Arial"/>
                <w:bCs/>
              </w:rPr>
            </w:pPr>
            <w:r w:rsidRPr="00104F4B">
              <w:rPr>
                <w:rFonts w:ascii="Arial" w:hAnsi="Arial" w:cs="Arial"/>
                <w:bCs/>
              </w:rPr>
              <w:t xml:space="preserve">Liquidación de contratos </w:t>
            </w:r>
          </w:p>
        </w:tc>
        <w:tc>
          <w:tcPr>
            <w:tcW w:w="3729" w:type="dxa"/>
          </w:tcPr>
          <w:p w:rsidR="00254A55" w:rsidRPr="00104F4B" w:rsidRDefault="00254A55" w:rsidP="002625A5">
            <w:pPr>
              <w:pStyle w:val="Prrafodelista"/>
              <w:widowControl w:val="0"/>
              <w:numPr>
                <w:ilvl w:val="0"/>
                <w:numId w:val="29"/>
              </w:numPr>
              <w:suppressAutoHyphens/>
              <w:spacing w:before="0"/>
              <w:ind w:left="426"/>
              <w:rPr>
                <w:rFonts w:ascii="Arial" w:hAnsi="Arial" w:cs="Arial"/>
                <w:bCs/>
              </w:rPr>
            </w:pPr>
            <w:r w:rsidRPr="00104F4B">
              <w:rPr>
                <w:rFonts w:ascii="Arial" w:hAnsi="Arial" w:cs="Arial"/>
                <w:bCs/>
              </w:rPr>
              <w:t>Gestión de recursos físicos.</w:t>
            </w:r>
          </w:p>
        </w:tc>
      </w:tr>
      <w:tr w:rsidR="00254A55" w:rsidRPr="00104F4B" w:rsidTr="000F2FCB">
        <w:tc>
          <w:tcPr>
            <w:tcW w:w="5386" w:type="dxa"/>
          </w:tcPr>
          <w:p w:rsidR="00254A55" w:rsidRPr="00104F4B" w:rsidRDefault="00254A55" w:rsidP="002625A5">
            <w:pPr>
              <w:pStyle w:val="Prrafodelista"/>
              <w:widowControl w:val="0"/>
              <w:numPr>
                <w:ilvl w:val="0"/>
                <w:numId w:val="29"/>
              </w:numPr>
              <w:suppressAutoHyphens/>
              <w:spacing w:before="0"/>
              <w:ind w:left="426"/>
              <w:rPr>
                <w:rFonts w:ascii="Arial" w:hAnsi="Arial" w:cs="Arial"/>
                <w:bCs/>
              </w:rPr>
            </w:pPr>
            <w:r w:rsidRPr="00104F4B">
              <w:rPr>
                <w:rFonts w:ascii="Arial" w:hAnsi="Arial" w:cs="Arial"/>
                <w:bCs/>
              </w:rPr>
              <w:t>Gestión de Valorización y financiación.</w:t>
            </w:r>
          </w:p>
        </w:tc>
        <w:tc>
          <w:tcPr>
            <w:tcW w:w="3729" w:type="dxa"/>
          </w:tcPr>
          <w:p w:rsidR="00254A55" w:rsidRPr="00104F4B" w:rsidRDefault="00254A55" w:rsidP="002625A5">
            <w:pPr>
              <w:pStyle w:val="Prrafodelista"/>
              <w:widowControl w:val="0"/>
              <w:numPr>
                <w:ilvl w:val="0"/>
                <w:numId w:val="29"/>
              </w:numPr>
              <w:suppressAutoHyphens/>
              <w:spacing w:before="0"/>
              <w:ind w:left="426"/>
              <w:rPr>
                <w:rFonts w:ascii="Arial" w:hAnsi="Arial" w:cs="Arial"/>
                <w:bCs/>
              </w:rPr>
            </w:pPr>
            <w:r w:rsidRPr="00104F4B">
              <w:rPr>
                <w:rFonts w:ascii="Arial" w:hAnsi="Arial" w:cs="Arial"/>
                <w:bCs/>
              </w:rPr>
              <w:t>Ejecución de obras.</w:t>
            </w:r>
          </w:p>
        </w:tc>
      </w:tr>
    </w:tbl>
    <w:p w:rsidR="00254A55" w:rsidRPr="00104F4B" w:rsidRDefault="00254A55" w:rsidP="00254A55">
      <w:pPr>
        <w:widowControl w:val="0"/>
        <w:rPr>
          <w:rFonts w:eastAsia="Arial Unicode MS" w:cs="Arial"/>
          <w:bCs/>
          <w:kern w:val="1"/>
          <w:szCs w:val="22"/>
          <w:lang w:val="es-ES_tradnl" w:eastAsia="es-CO"/>
        </w:rPr>
      </w:pPr>
    </w:p>
    <w:p w:rsidR="00254A55" w:rsidRPr="00104F4B" w:rsidRDefault="00254A55" w:rsidP="002625A5">
      <w:pPr>
        <w:pStyle w:val="Prrafodelista"/>
        <w:widowControl w:val="0"/>
        <w:numPr>
          <w:ilvl w:val="0"/>
          <w:numId w:val="30"/>
        </w:numPr>
        <w:suppressAutoHyphens/>
        <w:spacing w:before="0"/>
        <w:ind w:left="284" w:hanging="284"/>
        <w:rPr>
          <w:rFonts w:ascii="Arial" w:hAnsi="Arial" w:cs="Arial"/>
          <w:bCs/>
        </w:rPr>
      </w:pPr>
      <w:r w:rsidRPr="00104F4B">
        <w:rPr>
          <w:rFonts w:ascii="Arial" w:hAnsi="Arial" w:cs="Arial"/>
          <w:bCs/>
        </w:rPr>
        <w:t>Se realizaron y presentaron, dentro de los términos establecidos, de acuerdo con la normatividad aplicable, los siguientes informes de carácter obligatorio:</w:t>
      </w:r>
    </w:p>
    <w:p w:rsidR="00C83328" w:rsidRPr="00104F4B" w:rsidRDefault="00C83328" w:rsidP="00C83328">
      <w:pPr>
        <w:pStyle w:val="Prrafodelista"/>
        <w:widowControl w:val="0"/>
        <w:suppressAutoHyphens/>
        <w:spacing w:before="0"/>
        <w:ind w:left="284"/>
        <w:rPr>
          <w:rFonts w:ascii="Arial" w:hAnsi="Arial" w:cs="Arial"/>
          <w:bCs/>
        </w:rPr>
      </w:pPr>
    </w:p>
    <w:p w:rsidR="00254A55" w:rsidRPr="00104F4B" w:rsidRDefault="00254A55" w:rsidP="002625A5">
      <w:pPr>
        <w:pStyle w:val="Prrafodelista"/>
        <w:widowControl w:val="0"/>
        <w:numPr>
          <w:ilvl w:val="0"/>
          <w:numId w:val="29"/>
        </w:numPr>
        <w:suppressAutoHyphens/>
        <w:spacing w:before="0"/>
        <w:ind w:left="426"/>
        <w:rPr>
          <w:rFonts w:ascii="Arial" w:hAnsi="Arial" w:cs="Arial"/>
          <w:bCs/>
        </w:rPr>
      </w:pPr>
      <w:r w:rsidRPr="00104F4B">
        <w:rPr>
          <w:rFonts w:ascii="Arial" w:hAnsi="Arial" w:cs="Arial"/>
          <w:bCs/>
        </w:rPr>
        <w:t>Informes pormenorizados de control interno correspondientes a los periodos noviembre 2017-febrero de 2018, marzo-junio de 2018, y julio-octubre de 2018.</w:t>
      </w:r>
    </w:p>
    <w:p w:rsidR="00254A55" w:rsidRPr="00104F4B" w:rsidRDefault="00254A55" w:rsidP="002625A5">
      <w:pPr>
        <w:pStyle w:val="Prrafodelista"/>
        <w:widowControl w:val="0"/>
        <w:numPr>
          <w:ilvl w:val="0"/>
          <w:numId w:val="29"/>
        </w:numPr>
        <w:suppressAutoHyphens/>
        <w:spacing w:before="0"/>
        <w:ind w:left="426"/>
        <w:rPr>
          <w:rFonts w:ascii="Arial" w:hAnsi="Arial" w:cs="Arial"/>
          <w:bCs/>
        </w:rPr>
      </w:pPr>
      <w:r w:rsidRPr="00104F4B">
        <w:rPr>
          <w:rFonts w:ascii="Arial" w:hAnsi="Arial" w:cs="Arial"/>
          <w:bCs/>
        </w:rPr>
        <w:t>Informes de seguimiento a las estrategias para la construcción del Plan Anticorrupción y Atención al ciudadano del tercer cuatrimestre de 2017, primer y segundo cuatrimestre de 2018.</w:t>
      </w:r>
    </w:p>
    <w:p w:rsidR="00254A55" w:rsidRPr="00104F4B" w:rsidRDefault="00254A55" w:rsidP="002625A5">
      <w:pPr>
        <w:pStyle w:val="Prrafodelista"/>
        <w:widowControl w:val="0"/>
        <w:numPr>
          <w:ilvl w:val="0"/>
          <w:numId w:val="29"/>
        </w:numPr>
        <w:suppressAutoHyphens/>
        <w:spacing w:before="0"/>
        <w:ind w:left="426"/>
        <w:rPr>
          <w:rFonts w:ascii="Arial" w:hAnsi="Arial" w:cs="Arial"/>
          <w:bCs/>
        </w:rPr>
      </w:pPr>
      <w:r w:rsidRPr="00104F4B">
        <w:rPr>
          <w:rFonts w:ascii="Arial" w:hAnsi="Arial" w:cs="Arial"/>
          <w:bCs/>
        </w:rPr>
        <w:t>Informe de Auditoría a la implementación del Decreto 1072 de 2015 (SG-SST).</w:t>
      </w:r>
    </w:p>
    <w:p w:rsidR="00254A55" w:rsidRPr="00104F4B" w:rsidRDefault="00254A55" w:rsidP="002625A5">
      <w:pPr>
        <w:pStyle w:val="Prrafodelista"/>
        <w:widowControl w:val="0"/>
        <w:numPr>
          <w:ilvl w:val="0"/>
          <w:numId w:val="29"/>
        </w:numPr>
        <w:suppressAutoHyphens/>
        <w:spacing w:before="0"/>
        <w:ind w:left="426"/>
        <w:rPr>
          <w:rFonts w:ascii="Arial" w:hAnsi="Arial" w:cs="Arial"/>
          <w:bCs/>
        </w:rPr>
      </w:pPr>
      <w:r w:rsidRPr="00104F4B">
        <w:rPr>
          <w:rFonts w:ascii="Arial" w:hAnsi="Arial" w:cs="Arial"/>
          <w:bCs/>
        </w:rPr>
        <w:t xml:space="preserve">Informe de evaluación 2017 de la gestión de las 32 dependencias de la entidad. </w:t>
      </w:r>
    </w:p>
    <w:p w:rsidR="00254A55" w:rsidRPr="00104F4B" w:rsidRDefault="00254A55" w:rsidP="002625A5">
      <w:pPr>
        <w:pStyle w:val="Prrafodelista"/>
        <w:widowControl w:val="0"/>
        <w:numPr>
          <w:ilvl w:val="0"/>
          <w:numId w:val="29"/>
        </w:numPr>
        <w:suppressAutoHyphens/>
        <w:spacing w:before="0"/>
        <w:ind w:left="426"/>
        <w:rPr>
          <w:rFonts w:ascii="Arial" w:hAnsi="Arial" w:cs="Arial"/>
          <w:bCs/>
        </w:rPr>
      </w:pPr>
      <w:r w:rsidRPr="00104F4B">
        <w:rPr>
          <w:rFonts w:ascii="Arial" w:hAnsi="Arial" w:cs="Arial"/>
          <w:bCs/>
        </w:rPr>
        <w:t>Informe ejecutivo anual de evaluación del sistema de control interno, con base en el reporte realizado en el FURAG en noviembre de 2017, transmitido en la plataforma habilitada por el Departamento Administrativo de la Función Pública-DAFP.</w:t>
      </w:r>
    </w:p>
    <w:p w:rsidR="00254A55" w:rsidRPr="00104F4B" w:rsidRDefault="00254A55" w:rsidP="002625A5">
      <w:pPr>
        <w:pStyle w:val="Prrafodelista"/>
        <w:widowControl w:val="0"/>
        <w:numPr>
          <w:ilvl w:val="0"/>
          <w:numId w:val="29"/>
        </w:numPr>
        <w:suppressAutoHyphens/>
        <w:spacing w:before="0"/>
        <w:ind w:left="426"/>
        <w:rPr>
          <w:rFonts w:ascii="Arial" w:hAnsi="Arial" w:cs="Arial"/>
          <w:bCs/>
        </w:rPr>
      </w:pPr>
      <w:r w:rsidRPr="00104F4B">
        <w:rPr>
          <w:rFonts w:ascii="Arial" w:hAnsi="Arial" w:cs="Arial"/>
          <w:bCs/>
        </w:rPr>
        <w:t>Informe de evaluación del Sistema de Control Interno Contable del IDU 2017.</w:t>
      </w:r>
    </w:p>
    <w:p w:rsidR="00254A55" w:rsidRPr="00104F4B" w:rsidRDefault="00254A55" w:rsidP="002625A5">
      <w:pPr>
        <w:pStyle w:val="Prrafodelista"/>
        <w:widowControl w:val="0"/>
        <w:numPr>
          <w:ilvl w:val="0"/>
          <w:numId w:val="29"/>
        </w:numPr>
        <w:suppressAutoHyphens/>
        <w:spacing w:before="0"/>
        <w:ind w:left="426"/>
        <w:rPr>
          <w:rFonts w:ascii="Arial" w:hAnsi="Arial" w:cs="Arial"/>
          <w:bCs/>
        </w:rPr>
      </w:pPr>
      <w:r w:rsidRPr="00104F4B">
        <w:rPr>
          <w:rFonts w:ascii="Arial" w:hAnsi="Arial" w:cs="Arial"/>
          <w:bCs/>
        </w:rPr>
        <w:t>Informes de austeridad del gasto del cuarto trimestre de 2017, primer, segundo y tercer trimestre de 2018.</w:t>
      </w:r>
    </w:p>
    <w:p w:rsidR="00254A55" w:rsidRPr="00104F4B" w:rsidRDefault="00254A55" w:rsidP="002625A5">
      <w:pPr>
        <w:pStyle w:val="Prrafodelista"/>
        <w:widowControl w:val="0"/>
        <w:numPr>
          <w:ilvl w:val="0"/>
          <w:numId w:val="29"/>
        </w:numPr>
        <w:suppressAutoHyphens/>
        <w:spacing w:before="0"/>
        <w:ind w:left="426"/>
        <w:rPr>
          <w:rFonts w:ascii="Arial" w:hAnsi="Arial" w:cs="Arial"/>
          <w:bCs/>
        </w:rPr>
      </w:pPr>
      <w:r w:rsidRPr="00104F4B">
        <w:rPr>
          <w:rFonts w:ascii="Arial" w:hAnsi="Arial" w:cs="Arial"/>
          <w:bCs/>
        </w:rPr>
        <w:t>Informe de derechos de autor 2017, dirigido a la Dirección Nacional de Derechos de Autor.</w:t>
      </w:r>
    </w:p>
    <w:p w:rsidR="00254A55" w:rsidRPr="00104F4B" w:rsidRDefault="00254A55" w:rsidP="002625A5">
      <w:pPr>
        <w:pStyle w:val="Prrafodelista"/>
        <w:widowControl w:val="0"/>
        <w:numPr>
          <w:ilvl w:val="0"/>
          <w:numId w:val="29"/>
        </w:numPr>
        <w:suppressAutoHyphens/>
        <w:spacing w:before="0"/>
        <w:ind w:left="426"/>
        <w:rPr>
          <w:rFonts w:ascii="Arial" w:hAnsi="Arial" w:cs="Arial"/>
          <w:bCs/>
        </w:rPr>
      </w:pPr>
      <w:r w:rsidRPr="00104F4B">
        <w:rPr>
          <w:rFonts w:ascii="Arial" w:hAnsi="Arial" w:cs="Arial"/>
          <w:bCs/>
        </w:rPr>
        <w:t>Informes sobre el estado de las PQRS del Instituto del II Semestre de 2017 y I Semestre de 2018.</w:t>
      </w:r>
    </w:p>
    <w:p w:rsidR="00254A55" w:rsidRPr="00104F4B" w:rsidRDefault="00254A55" w:rsidP="002625A5">
      <w:pPr>
        <w:pStyle w:val="Prrafodelista"/>
        <w:widowControl w:val="0"/>
        <w:numPr>
          <w:ilvl w:val="0"/>
          <w:numId w:val="29"/>
        </w:numPr>
        <w:suppressAutoHyphens/>
        <w:spacing w:before="0"/>
        <w:ind w:left="426"/>
        <w:rPr>
          <w:rFonts w:ascii="Arial" w:hAnsi="Arial" w:cs="Arial"/>
          <w:bCs/>
        </w:rPr>
      </w:pPr>
      <w:r w:rsidRPr="00104F4B">
        <w:rPr>
          <w:rFonts w:ascii="Arial" w:hAnsi="Arial" w:cs="Arial"/>
          <w:bCs/>
        </w:rPr>
        <w:t xml:space="preserve">Informes sobre el cumplimiento de la Directiva 03 de 2013, con corte mayo y noviembre de 2018. </w:t>
      </w:r>
    </w:p>
    <w:p w:rsidR="00254A55" w:rsidRPr="00104F4B" w:rsidRDefault="00254A55" w:rsidP="00254A55">
      <w:pPr>
        <w:pStyle w:val="Prrafodelista"/>
        <w:ind w:left="0"/>
        <w:rPr>
          <w:rFonts w:ascii="Arial" w:hAnsi="Arial" w:cs="Arial"/>
          <w:bCs/>
        </w:rPr>
      </w:pPr>
    </w:p>
    <w:p w:rsidR="00254A55" w:rsidRPr="00104F4B" w:rsidRDefault="00254A55" w:rsidP="002625A5">
      <w:pPr>
        <w:pStyle w:val="Prrafodelista"/>
        <w:widowControl w:val="0"/>
        <w:numPr>
          <w:ilvl w:val="0"/>
          <w:numId w:val="30"/>
        </w:numPr>
        <w:suppressAutoHyphens/>
        <w:spacing w:before="0"/>
        <w:ind w:left="284" w:hanging="284"/>
        <w:rPr>
          <w:rFonts w:ascii="Arial" w:hAnsi="Arial" w:cs="Arial"/>
          <w:bCs/>
        </w:rPr>
      </w:pPr>
      <w:r w:rsidRPr="00104F4B">
        <w:rPr>
          <w:rFonts w:ascii="Arial" w:hAnsi="Arial" w:cs="Arial"/>
          <w:bCs/>
        </w:rPr>
        <w:t>Se realizaron las siguientes actividades de seguimiento:</w:t>
      </w:r>
    </w:p>
    <w:p w:rsidR="00254A55" w:rsidRPr="00104F4B" w:rsidRDefault="00254A55" w:rsidP="00254A55">
      <w:pPr>
        <w:pStyle w:val="Prrafodelista"/>
        <w:ind w:left="0"/>
        <w:rPr>
          <w:rFonts w:ascii="Arial" w:hAnsi="Arial" w:cs="Arial"/>
          <w:bCs/>
        </w:rPr>
      </w:pPr>
    </w:p>
    <w:p w:rsidR="00254A55" w:rsidRPr="00104F4B" w:rsidRDefault="00254A55" w:rsidP="002625A5">
      <w:pPr>
        <w:pStyle w:val="Prrafodelista"/>
        <w:widowControl w:val="0"/>
        <w:numPr>
          <w:ilvl w:val="0"/>
          <w:numId w:val="29"/>
        </w:numPr>
        <w:suppressAutoHyphens/>
        <w:spacing w:before="0"/>
        <w:ind w:left="426"/>
        <w:rPr>
          <w:rFonts w:ascii="Arial" w:hAnsi="Arial" w:cs="Arial"/>
          <w:bCs/>
        </w:rPr>
      </w:pPr>
      <w:r w:rsidRPr="00104F4B">
        <w:rPr>
          <w:rFonts w:ascii="Arial" w:hAnsi="Arial" w:cs="Arial"/>
          <w:bCs/>
        </w:rPr>
        <w:t>32 informes de seguimiento a los indicadores de gestión 2018 de las dependencias.</w:t>
      </w:r>
    </w:p>
    <w:p w:rsidR="00254A55" w:rsidRPr="00104F4B" w:rsidRDefault="00254A55" w:rsidP="002625A5">
      <w:pPr>
        <w:pStyle w:val="Prrafodelista"/>
        <w:widowControl w:val="0"/>
        <w:numPr>
          <w:ilvl w:val="0"/>
          <w:numId w:val="29"/>
        </w:numPr>
        <w:suppressAutoHyphens/>
        <w:spacing w:before="0"/>
        <w:ind w:left="426"/>
        <w:rPr>
          <w:rFonts w:ascii="Arial" w:hAnsi="Arial" w:cs="Arial"/>
          <w:bCs/>
        </w:rPr>
      </w:pPr>
      <w:r w:rsidRPr="00104F4B">
        <w:rPr>
          <w:rFonts w:ascii="Arial" w:hAnsi="Arial" w:cs="Arial"/>
          <w:bCs/>
        </w:rPr>
        <w:t>Informes de seguimiento y recomendaciones orientadas al cumplimiento de las metas del Plan de Desarrollo a cargo de la entidad, con corte a 31 de diciembre de 2017, 31 de marzo, 30 de junio y 30 de septiembre de 2018, de acuerdo con lo establecido en el Decreto 215 de 2017, los cuales fueron remitidos a la Secretaría General.</w:t>
      </w:r>
    </w:p>
    <w:p w:rsidR="00254A55" w:rsidRPr="00104F4B" w:rsidRDefault="00254A55" w:rsidP="002625A5">
      <w:pPr>
        <w:pStyle w:val="Prrafodelista"/>
        <w:widowControl w:val="0"/>
        <w:numPr>
          <w:ilvl w:val="0"/>
          <w:numId w:val="29"/>
        </w:numPr>
        <w:suppressAutoHyphens/>
        <w:spacing w:before="0"/>
        <w:ind w:left="426"/>
        <w:rPr>
          <w:rFonts w:ascii="Arial" w:hAnsi="Arial" w:cs="Arial"/>
          <w:bCs/>
        </w:rPr>
      </w:pPr>
      <w:r w:rsidRPr="00104F4B">
        <w:rPr>
          <w:rFonts w:ascii="Arial" w:hAnsi="Arial" w:cs="Arial"/>
          <w:bCs/>
        </w:rPr>
        <w:lastRenderedPageBreak/>
        <w:t xml:space="preserve"> Informe de seguimiento a la publicación de información en portales de Contratación.</w:t>
      </w:r>
    </w:p>
    <w:p w:rsidR="00254A55" w:rsidRPr="00104F4B" w:rsidRDefault="00254A55" w:rsidP="002625A5">
      <w:pPr>
        <w:pStyle w:val="Prrafodelista"/>
        <w:widowControl w:val="0"/>
        <w:numPr>
          <w:ilvl w:val="0"/>
          <w:numId w:val="29"/>
        </w:numPr>
        <w:suppressAutoHyphens/>
        <w:spacing w:before="0"/>
        <w:ind w:left="426"/>
        <w:rPr>
          <w:rFonts w:ascii="Arial" w:hAnsi="Arial" w:cs="Arial"/>
          <w:bCs/>
        </w:rPr>
      </w:pPr>
      <w:r w:rsidRPr="00104F4B">
        <w:rPr>
          <w:rFonts w:ascii="Arial" w:hAnsi="Arial" w:cs="Arial"/>
          <w:bCs/>
        </w:rPr>
        <w:t>Informe de seguimiento a los Controles de Advertencia que quedaron abiertos, derivados de los ejercicios de control realizados por la Contraloría de Bogotá D.C.</w:t>
      </w:r>
    </w:p>
    <w:p w:rsidR="00254A55" w:rsidRPr="00104F4B" w:rsidRDefault="00254A55" w:rsidP="002625A5">
      <w:pPr>
        <w:pStyle w:val="Prrafodelista"/>
        <w:widowControl w:val="0"/>
        <w:numPr>
          <w:ilvl w:val="0"/>
          <w:numId w:val="29"/>
        </w:numPr>
        <w:suppressAutoHyphens/>
        <w:spacing w:before="0"/>
        <w:ind w:left="426"/>
        <w:rPr>
          <w:rFonts w:ascii="Arial" w:hAnsi="Arial" w:cs="Arial"/>
          <w:bCs/>
        </w:rPr>
      </w:pPr>
      <w:r w:rsidRPr="00104F4B">
        <w:rPr>
          <w:rFonts w:ascii="Arial" w:hAnsi="Arial" w:cs="Arial"/>
          <w:bCs/>
        </w:rPr>
        <w:t>Informe de seguimiento al cumplimiento de Conceptos Jurídicos.</w:t>
      </w:r>
    </w:p>
    <w:p w:rsidR="00254A55" w:rsidRPr="00104F4B" w:rsidRDefault="00254A55" w:rsidP="002625A5">
      <w:pPr>
        <w:pStyle w:val="Prrafodelista"/>
        <w:widowControl w:val="0"/>
        <w:numPr>
          <w:ilvl w:val="0"/>
          <w:numId w:val="29"/>
        </w:numPr>
        <w:suppressAutoHyphens/>
        <w:spacing w:before="0"/>
        <w:ind w:left="426"/>
        <w:rPr>
          <w:rFonts w:ascii="Arial" w:hAnsi="Arial" w:cs="Arial"/>
          <w:bCs/>
        </w:rPr>
      </w:pPr>
      <w:r w:rsidRPr="00104F4B">
        <w:rPr>
          <w:rFonts w:ascii="Arial" w:hAnsi="Arial" w:cs="Arial"/>
          <w:bCs/>
        </w:rPr>
        <w:t>5 Informes de seguimiento a la implementación del nuevo marco normativo contable, correspondientes al IV trimestre de 2017, primer, segundo y tercer trimestre de 2018 y con corte noviembre de 2018.</w:t>
      </w:r>
    </w:p>
    <w:p w:rsidR="00254A55" w:rsidRPr="00104F4B" w:rsidRDefault="00254A55" w:rsidP="002625A5">
      <w:pPr>
        <w:pStyle w:val="Prrafodelista"/>
        <w:widowControl w:val="0"/>
        <w:numPr>
          <w:ilvl w:val="0"/>
          <w:numId w:val="29"/>
        </w:numPr>
        <w:suppressAutoHyphens/>
        <w:spacing w:before="0"/>
        <w:ind w:left="426"/>
        <w:rPr>
          <w:rFonts w:ascii="Arial" w:hAnsi="Arial" w:cs="Arial"/>
          <w:bCs/>
        </w:rPr>
      </w:pPr>
      <w:r w:rsidRPr="00104F4B">
        <w:rPr>
          <w:rFonts w:ascii="Arial" w:hAnsi="Arial" w:cs="Arial"/>
          <w:bCs/>
        </w:rPr>
        <w:t>Informe de seguimiento sobre la Defensa Jurídica de la entidad. (Acciones de Repetición Conciliación) con base en lo establecido en la Ley 678 de 2001 y Decreto 1716 de 2009.</w:t>
      </w:r>
    </w:p>
    <w:p w:rsidR="00254A55" w:rsidRPr="00104F4B" w:rsidRDefault="00254A55" w:rsidP="002625A5">
      <w:pPr>
        <w:pStyle w:val="Prrafodelista"/>
        <w:widowControl w:val="0"/>
        <w:numPr>
          <w:ilvl w:val="0"/>
          <w:numId w:val="29"/>
        </w:numPr>
        <w:suppressAutoHyphens/>
        <w:spacing w:before="0"/>
        <w:ind w:left="426"/>
        <w:rPr>
          <w:rFonts w:ascii="Arial" w:hAnsi="Arial" w:cs="Arial"/>
          <w:bCs/>
        </w:rPr>
      </w:pPr>
      <w:r w:rsidRPr="00104F4B">
        <w:rPr>
          <w:rFonts w:ascii="Arial" w:hAnsi="Arial" w:cs="Arial"/>
          <w:bCs/>
        </w:rPr>
        <w:t>Informe de seguimiento a la suscripción y evaluación de acuerdos de gestión de gerentes públicos y evaluaciones de desempeño.</w:t>
      </w:r>
    </w:p>
    <w:p w:rsidR="00254A55" w:rsidRPr="00104F4B" w:rsidRDefault="00254A55" w:rsidP="002625A5">
      <w:pPr>
        <w:pStyle w:val="Prrafodelista"/>
        <w:widowControl w:val="0"/>
        <w:numPr>
          <w:ilvl w:val="0"/>
          <w:numId w:val="29"/>
        </w:numPr>
        <w:suppressAutoHyphens/>
        <w:spacing w:before="0"/>
        <w:ind w:left="426"/>
        <w:rPr>
          <w:rFonts w:ascii="Arial" w:hAnsi="Arial" w:cs="Arial"/>
          <w:bCs/>
        </w:rPr>
      </w:pPr>
      <w:r w:rsidRPr="00104F4B">
        <w:rPr>
          <w:rFonts w:ascii="Arial" w:hAnsi="Arial" w:cs="Arial"/>
        </w:rPr>
        <w:t xml:space="preserve">Informe de </w:t>
      </w:r>
      <w:r w:rsidRPr="00104F4B">
        <w:rPr>
          <w:rFonts w:ascii="Arial" w:hAnsi="Arial" w:cs="Arial"/>
          <w:bCs/>
        </w:rPr>
        <w:t>seguimiento</w:t>
      </w:r>
      <w:r w:rsidRPr="00104F4B">
        <w:rPr>
          <w:rFonts w:ascii="Arial" w:hAnsi="Arial" w:cs="Arial"/>
        </w:rPr>
        <w:t xml:space="preserve"> a la Correspondencia bajo el aplicativo ORFEO - Gestión </w:t>
      </w:r>
      <w:r w:rsidRPr="00104F4B">
        <w:rPr>
          <w:rFonts w:ascii="Arial" w:hAnsi="Arial" w:cs="Arial"/>
          <w:bCs/>
        </w:rPr>
        <w:t>Documental</w:t>
      </w:r>
      <w:r w:rsidRPr="00104F4B">
        <w:rPr>
          <w:rFonts w:ascii="Arial" w:hAnsi="Arial" w:cs="Arial"/>
        </w:rPr>
        <w:t>.</w:t>
      </w:r>
    </w:p>
    <w:p w:rsidR="00254A55" w:rsidRPr="00104F4B" w:rsidRDefault="00254A55" w:rsidP="002625A5">
      <w:pPr>
        <w:pStyle w:val="Prrafodelista"/>
        <w:widowControl w:val="0"/>
        <w:numPr>
          <w:ilvl w:val="0"/>
          <w:numId w:val="29"/>
        </w:numPr>
        <w:suppressAutoHyphens/>
        <w:spacing w:before="0"/>
        <w:ind w:left="426"/>
        <w:rPr>
          <w:rFonts w:ascii="Arial" w:hAnsi="Arial" w:cs="Arial"/>
          <w:bCs/>
        </w:rPr>
      </w:pPr>
      <w:r w:rsidRPr="00104F4B">
        <w:rPr>
          <w:rFonts w:ascii="Arial" w:hAnsi="Arial" w:cs="Arial"/>
        </w:rPr>
        <w:t xml:space="preserve">Informe de </w:t>
      </w:r>
      <w:r w:rsidRPr="00104F4B">
        <w:rPr>
          <w:rFonts w:ascii="Arial" w:hAnsi="Arial" w:cs="Arial"/>
          <w:bCs/>
        </w:rPr>
        <w:t>seguimiento</w:t>
      </w:r>
      <w:r w:rsidRPr="00104F4B">
        <w:rPr>
          <w:rFonts w:ascii="Arial" w:hAnsi="Arial" w:cs="Arial"/>
        </w:rPr>
        <w:t xml:space="preserve"> a los Comités vigentes del Instituto.</w:t>
      </w:r>
    </w:p>
    <w:p w:rsidR="00254A55" w:rsidRPr="00104F4B" w:rsidRDefault="00254A55" w:rsidP="002625A5">
      <w:pPr>
        <w:pStyle w:val="Prrafodelista"/>
        <w:widowControl w:val="0"/>
        <w:numPr>
          <w:ilvl w:val="0"/>
          <w:numId w:val="29"/>
        </w:numPr>
        <w:suppressAutoHyphens/>
        <w:spacing w:before="0"/>
        <w:ind w:left="426"/>
        <w:rPr>
          <w:rFonts w:ascii="Arial" w:hAnsi="Arial" w:cs="Arial"/>
          <w:bCs/>
        </w:rPr>
      </w:pPr>
      <w:r w:rsidRPr="00104F4B">
        <w:rPr>
          <w:rFonts w:ascii="Arial" w:hAnsi="Arial" w:cs="Arial"/>
          <w:bCs/>
        </w:rPr>
        <w:t>Informe de arqueo a la caja menor del Instituto.</w:t>
      </w:r>
    </w:p>
    <w:p w:rsidR="00254A55" w:rsidRPr="00104F4B" w:rsidRDefault="00254A55" w:rsidP="002625A5">
      <w:pPr>
        <w:pStyle w:val="Prrafodelista"/>
        <w:widowControl w:val="0"/>
        <w:numPr>
          <w:ilvl w:val="0"/>
          <w:numId w:val="29"/>
        </w:numPr>
        <w:suppressAutoHyphens/>
        <w:spacing w:before="0"/>
        <w:ind w:left="426"/>
        <w:rPr>
          <w:rFonts w:ascii="Arial" w:hAnsi="Arial" w:cs="Arial"/>
          <w:bCs/>
        </w:rPr>
      </w:pPr>
      <w:r w:rsidRPr="00104F4B">
        <w:rPr>
          <w:rFonts w:ascii="Arial" w:hAnsi="Arial" w:cs="Arial"/>
          <w:bCs/>
        </w:rPr>
        <w:t>Seguimiento al protocolo de seguridad tesorería, el cual se adelantó en el marco de la Auditoría al proceso de Gestión financiera.</w:t>
      </w:r>
    </w:p>
    <w:p w:rsidR="00254A55" w:rsidRPr="00104F4B" w:rsidRDefault="00254A55" w:rsidP="00254A55">
      <w:pPr>
        <w:widowControl w:val="0"/>
        <w:rPr>
          <w:rFonts w:cs="Arial"/>
          <w:bCs/>
          <w:szCs w:val="22"/>
          <w:lang w:eastAsia="es-CO"/>
        </w:rPr>
      </w:pPr>
    </w:p>
    <w:p w:rsidR="00254A55" w:rsidRPr="00104F4B" w:rsidRDefault="00254A55" w:rsidP="007A7A3A">
      <w:pPr>
        <w:pStyle w:val="Contenidodelatabla"/>
        <w:rPr>
          <w:rFonts w:ascii="Arial" w:hAnsi="Arial" w:cs="Arial"/>
          <w:b/>
          <w:sz w:val="22"/>
          <w:szCs w:val="22"/>
        </w:rPr>
      </w:pPr>
      <w:r w:rsidRPr="00104F4B">
        <w:rPr>
          <w:rFonts w:ascii="Arial" w:hAnsi="Arial" w:cs="Arial"/>
          <w:b/>
          <w:sz w:val="22"/>
          <w:szCs w:val="22"/>
        </w:rPr>
        <w:t>Tema/Rol 3: Enfoque hacia la prevención</w:t>
      </w:r>
    </w:p>
    <w:p w:rsidR="00254A55" w:rsidRPr="00104F4B" w:rsidRDefault="00254A55" w:rsidP="00C83328">
      <w:pPr>
        <w:pStyle w:val="Ttulo2"/>
        <w:widowControl w:val="0"/>
        <w:numPr>
          <w:ilvl w:val="0"/>
          <w:numId w:val="0"/>
        </w:numPr>
        <w:spacing w:before="0"/>
        <w:rPr>
          <w:rFonts w:eastAsia="SimSun" w:cs="Arial"/>
          <w:szCs w:val="22"/>
          <w:lang w:eastAsia="es-CO" w:bidi="hi-IN"/>
        </w:rPr>
      </w:pPr>
    </w:p>
    <w:p w:rsidR="00254A55" w:rsidRPr="00104F4B" w:rsidRDefault="00254A55" w:rsidP="00C76C4F">
      <w:pPr>
        <w:pStyle w:val="Contenidodelatabla"/>
        <w:rPr>
          <w:rFonts w:ascii="Arial" w:hAnsi="Arial" w:cs="Arial"/>
          <w:sz w:val="22"/>
          <w:szCs w:val="22"/>
        </w:rPr>
      </w:pPr>
      <w:r w:rsidRPr="00104F4B">
        <w:rPr>
          <w:rFonts w:ascii="Arial" w:hAnsi="Arial" w:cs="Arial"/>
          <w:sz w:val="22"/>
          <w:szCs w:val="22"/>
        </w:rPr>
        <w:t>En el desarrollo de este rol, se adelantaron las siguientes actividades:</w:t>
      </w:r>
    </w:p>
    <w:p w:rsidR="00254A55" w:rsidRPr="00104F4B" w:rsidRDefault="00254A55" w:rsidP="00254A55">
      <w:pPr>
        <w:pStyle w:val="Prrafodelista"/>
        <w:ind w:left="0"/>
        <w:rPr>
          <w:rFonts w:ascii="Arial" w:hAnsi="Arial" w:cs="Arial"/>
          <w:bCs/>
        </w:rPr>
      </w:pPr>
    </w:p>
    <w:p w:rsidR="00254A55" w:rsidRPr="00104F4B" w:rsidRDefault="00254A55" w:rsidP="002625A5">
      <w:pPr>
        <w:pStyle w:val="Prrafodelista"/>
        <w:widowControl w:val="0"/>
        <w:numPr>
          <w:ilvl w:val="0"/>
          <w:numId w:val="29"/>
        </w:numPr>
        <w:suppressAutoHyphens/>
        <w:spacing w:before="0"/>
        <w:ind w:left="426"/>
        <w:rPr>
          <w:rFonts w:ascii="Arial" w:hAnsi="Arial" w:cs="Arial"/>
        </w:rPr>
      </w:pPr>
      <w:r w:rsidRPr="00104F4B">
        <w:rPr>
          <w:rFonts w:ascii="Arial" w:hAnsi="Arial" w:cs="Arial"/>
        </w:rPr>
        <w:t>Acompañamiento a las dependencias en la formulación del plan de mejoramiento derivado de las siguientes Auditorías realizadas por la Contraloría de Bogotá D.C.:  Auditorías de Desempeño 103 PAD 2017, 92 PAD 2018 y 95 PAD 2018 y Auditoría de Regularidad 86 PAD 2018.</w:t>
      </w:r>
    </w:p>
    <w:p w:rsidR="00254A55" w:rsidRPr="00104F4B" w:rsidRDefault="00254A55" w:rsidP="002625A5">
      <w:pPr>
        <w:pStyle w:val="Prrafodelista"/>
        <w:widowControl w:val="0"/>
        <w:numPr>
          <w:ilvl w:val="0"/>
          <w:numId w:val="29"/>
        </w:numPr>
        <w:suppressAutoHyphens/>
        <w:spacing w:before="0"/>
        <w:ind w:left="426"/>
        <w:rPr>
          <w:rFonts w:ascii="Arial" w:hAnsi="Arial" w:cs="Arial"/>
        </w:rPr>
      </w:pPr>
      <w:r w:rsidRPr="00104F4B">
        <w:rPr>
          <w:rFonts w:ascii="Arial" w:hAnsi="Arial" w:cs="Arial"/>
        </w:rPr>
        <w:t>Acompañamiento a los procesos auditados en la formulación de las acciones establecidas en el Plan de mejoramiento derivado de los ejercicios de evaluación internos.</w:t>
      </w:r>
    </w:p>
    <w:p w:rsidR="00254A55" w:rsidRPr="00104F4B" w:rsidRDefault="00254A55" w:rsidP="002625A5">
      <w:pPr>
        <w:pStyle w:val="Prrafodelista"/>
        <w:widowControl w:val="0"/>
        <w:numPr>
          <w:ilvl w:val="0"/>
          <w:numId w:val="29"/>
        </w:numPr>
        <w:suppressAutoHyphens/>
        <w:spacing w:before="0"/>
        <w:ind w:left="426"/>
        <w:rPr>
          <w:rFonts w:ascii="Arial" w:hAnsi="Arial" w:cs="Arial"/>
        </w:rPr>
      </w:pPr>
      <w:r w:rsidRPr="00104F4B">
        <w:rPr>
          <w:rFonts w:ascii="Arial" w:hAnsi="Arial" w:cs="Arial"/>
        </w:rPr>
        <w:t>4 seguimientos a los Planes de mejoramiento vigentes de los procesos de la entidad, derivados de las auditorías internas realizadas y de las auditorías realizadas por la Contraloría de Bogotá D.C.</w:t>
      </w:r>
    </w:p>
    <w:p w:rsidR="00254A55" w:rsidRPr="00104F4B" w:rsidRDefault="00254A55" w:rsidP="002625A5">
      <w:pPr>
        <w:pStyle w:val="Prrafodelista"/>
        <w:widowControl w:val="0"/>
        <w:numPr>
          <w:ilvl w:val="0"/>
          <w:numId w:val="29"/>
        </w:numPr>
        <w:suppressAutoHyphens/>
        <w:spacing w:before="0"/>
        <w:ind w:left="426"/>
        <w:rPr>
          <w:rFonts w:ascii="Arial" w:hAnsi="Arial" w:cs="Arial"/>
        </w:rPr>
      </w:pPr>
      <w:r w:rsidRPr="00104F4B">
        <w:rPr>
          <w:rFonts w:ascii="Arial" w:hAnsi="Arial" w:cs="Arial"/>
        </w:rPr>
        <w:t xml:space="preserve">Socializaciones en las siguientes temáticas: </w:t>
      </w:r>
    </w:p>
    <w:p w:rsidR="00BD0D2D" w:rsidRPr="00104F4B" w:rsidRDefault="00BD0D2D" w:rsidP="00BD0D2D">
      <w:pPr>
        <w:pStyle w:val="Prrafodelista"/>
        <w:widowControl w:val="0"/>
        <w:suppressAutoHyphens/>
        <w:spacing w:before="0"/>
        <w:ind w:left="426"/>
        <w:rPr>
          <w:rFonts w:ascii="Arial" w:hAnsi="Arial" w:cs="Arial"/>
        </w:rPr>
      </w:pPr>
    </w:p>
    <w:p w:rsidR="00254A55" w:rsidRPr="00104F4B" w:rsidRDefault="00254A55" w:rsidP="002625A5">
      <w:pPr>
        <w:pStyle w:val="Prrafodelista"/>
        <w:widowControl w:val="0"/>
        <w:numPr>
          <w:ilvl w:val="0"/>
          <w:numId w:val="31"/>
        </w:numPr>
        <w:suppressAutoHyphens/>
        <w:spacing w:before="0"/>
        <w:rPr>
          <w:rFonts w:ascii="Arial" w:hAnsi="Arial" w:cs="Arial"/>
          <w:bCs/>
        </w:rPr>
      </w:pPr>
      <w:r w:rsidRPr="00104F4B">
        <w:rPr>
          <w:rFonts w:ascii="Arial" w:hAnsi="Arial" w:cs="Arial"/>
          <w:bCs/>
        </w:rPr>
        <w:t xml:space="preserve">Formulación de Planes de mejoramiento. </w:t>
      </w:r>
    </w:p>
    <w:p w:rsidR="00254A55" w:rsidRPr="00104F4B" w:rsidRDefault="00254A55" w:rsidP="002625A5">
      <w:pPr>
        <w:pStyle w:val="Prrafodelista"/>
        <w:widowControl w:val="0"/>
        <w:numPr>
          <w:ilvl w:val="0"/>
          <w:numId w:val="31"/>
        </w:numPr>
        <w:suppressAutoHyphens/>
        <w:spacing w:before="0"/>
        <w:rPr>
          <w:rFonts w:ascii="Arial" w:hAnsi="Arial" w:cs="Arial"/>
          <w:bCs/>
        </w:rPr>
      </w:pPr>
      <w:r w:rsidRPr="00104F4B">
        <w:rPr>
          <w:rFonts w:ascii="Arial" w:hAnsi="Arial" w:cs="Arial"/>
          <w:bCs/>
        </w:rPr>
        <w:t xml:space="preserve">Gestión de riesgos. </w:t>
      </w:r>
    </w:p>
    <w:p w:rsidR="00254A55" w:rsidRPr="00104F4B" w:rsidRDefault="00254A55" w:rsidP="002625A5">
      <w:pPr>
        <w:pStyle w:val="Prrafodelista"/>
        <w:widowControl w:val="0"/>
        <w:numPr>
          <w:ilvl w:val="0"/>
          <w:numId w:val="31"/>
        </w:numPr>
        <w:suppressAutoHyphens/>
        <w:spacing w:before="0"/>
        <w:rPr>
          <w:rFonts w:ascii="Arial" w:hAnsi="Arial" w:cs="Arial"/>
          <w:bCs/>
        </w:rPr>
      </w:pPr>
      <w:r w:rsidRPr="00104F4B">
        <w:rPr>
          <w:rFonts w:ascii="Arial" w:hAnsi="Arial" w:cs="Arial"/>
          <w:bCs/>
        </w:rPr>
        <w:t xml:space="preserve">Retroalimentación sobre el reporte de metas-Decreto 215 de 2017.  </w:t>
      </w:r>
    </w:p>
    <w:p w:rsidR="00254A55" w:rsidRPr="00104F4B" w:rsidRDefault="00254A55" w:rsidP="002625A5">
      <w:pPr>
        <w:pStyle w:val="Prrafodelista"/>
        <w:widowControl w:val="0"/>
        <w:numPr>
          <w:ilvl w:val="0"/>
          <w:numId w:val="31"/>
        </w:numPr>
        <w:suppressAutoHyphens/>
        <w:spacing w:before="0"/>
        <w:rPr>
          <w:rFonts w:ascii="Arial" w:hAnsi="Arial" w:cs="Arial"/>
          <w:bCs/>
        </w:rPr>
      </w:pPr>
      <w:r w:rsidRPr="00104F4B">
        <w:rPr>
          <w:rFonts w:ascii="Arial" w:hAnsi="Arial" w:cs="Arial"/>
          <w:bCs/>
        </w:rPr>
        <w:t>Inducción a personal de la entidad en temas relacionados con el Sistema de Control Interno.</w:t>
      </w:r>
    </w:p>
    <w:p w:rsidR="00254A55" w:rsidRPr="00104F4B" w:rsidRDefault="00254A55" w:rsidP="002625A5">
      <w:pPr>
        <w:pStyle w:val="Prrafodelista"/>
        <w:widowControl w:val="0"/>
        <w:numPr>
          <w:ilvl w:val="0"/>
          <w:numId w:val="31"/>
        </w:numPr>
        <w:suppressAutoHyphens/>
        <w:spacing w:before="0"/>
        <w:rPr>
          <w:rFonts w:ascii="Arial" w:hAnsi="Arial" w:cs="Arial"/>
          <w:bCs/>
        </w:rPr>
      </w:pPr>
      <w:r w:rsidRPr="00104F4B">
        <w:rPr>
          <w:rFonts w:ascii="Arial" w:hAnsi="Arial" w:cs="Arial"/>
          <w:bCs/>
        </w:rPr>
        <w:t xml:space="preserve">Preparación de auditores en nuevo marco normativo. </w:t>
      </w:r>
    </w:p>
    <w:p w:rsidR="00A27FD9" w:rsidRPr="00104F4B" w:rsidRDefault="00A27FD9" w:rsidP="00A27FD9">
      <w:pPr>
        <w:pStyle w:val="Prrafodelista"/>
        <w:widowControl w:val="0"/>
        <w:suppressAutoHyphens/>
        <w:spacing w:before="0"/>
        <w:ind w:left="426"/>
        <w:rPr>
          <w:rFonts w:ascii="Arial" w:hAnsi="Arial" w:cs="Arial"/>
        </w:rPr>
      </w:pPr>
    </w:p>
    <w:p w:rsidR="00254A55" w:rsidRPr="00104F4B" w:rsidRDefault="00254A55" w:rsidP="002625A5">
      <w:pPr>
        <w:pStyle w:val="Prrafodelista"/>
        <w:widowControl w:val="0"/>
        <w:numPr>
          <w:ilvl w:val="0"/>
          <w:numId w:val="29"/>
        </w:numPr>
        <w:suppressAutoHyphens/>
        <w:spacing w:before="0"/>
        <w:ind w:left="426"/>
        <w:rPr>
          <w:rFonts w:ascii="Arial" w:hAnsi="Arial" w:cs="Arial"/>
        </w:rPr>
      </w:pPr>
      <w:r w:rsidRPr="00104F4B">
        <w:rPr>
          <w:rFonts w:ascii="Arial" w:hAnsi="Arial" w:cs="Arial"/>
        </w:rPr>
        <w:t>Participación en Comité de desempeño Institucional, CICCI, Comité Financiero, Comité de la Defesa Jurídica, Conciliación y Repetición, Comité de inventarios.</w:t>
      </w:r>
    </w:p>
    <w:p w:rsidR="00254A55" w:rsidRPr="00104F4B" w:rsidRDefault="00254A55" w:rsidP="002625A5">
      <w:pPr>
        <w:pStyle w:val="Prrafodelista"/>
        <w:widowControl w:val="0"/>
        <w:numPr>
          <w:ilvl w:val="0"/>
          <w:numId w:val="29"/>
        </w:numPr>
        <w:suppressAutoHyphens/>
        <w:spacing w:before="0"/>
        <w:ind w:left="426"/>
        <w:rPr>
          <w:rFonts w:ascii="Arial" w:hAnsi="Arial" w:cs="Arial"/>
        </w:rPr>
      </w:pPr>
      <w:r w:rsidRPr="00104F4B">
        <w:rPr>
          <w:rFonts w:ascii="Arial" w:hAnsi="Arial" w:cs="Arial"/>
        </w:rPr>
        <w:t>Generación de recomendaciones en los diferentes informes de auditoría, seguimiento y de carácter obligatorio, a fin de fortalecer y mejorar la gestión institucional.</w:t>
      </w:r>
    </w:p>
    <w:p w:rsidR="00254A55" w:rsidRPr="00104F4B" w:rsidRDefault="00254A55" w:rsidP="002625A5">
      <w:pPr>
        <w:pStyle w:val="Prrafodelista"/>
        <w:widowControl w:val="0"/>
        <w:numPr>
          <w:ilvl w:val="0"/>
          <w:numId w:val="29"/>
        </w:numPr>
        <w:suppressAutoHyphens/>
        <w:spacing w:before="0"/>
        <w:ind w:left="426"/>
        <w:rPr>
          <w:rFonts w:ascii="Arial" w:hAnsi="Arial" w:cs="Arial"/>
        </w:rPr>
      </w:pPr>
      <w:r w:rsidRPr="00104F4B">
        <w:rPr>
          <w:rFonts w:ascii="Arial" w:hAnsi="Arial" w:cs="Arial"/>
        </w:rPr>
        <w:t xml:space="preserve">Actividades asociadas al fomento de la cultura del control, consistentes en la formulación de contenidos para el diseño de piezas comunicativas, alusivas a tips de autocontrol, socializadas a través del fondo de escritorio de los computadores, correos electrónicos y televisor en las sedes del Instituto. Se diseñó y aplicó la encuesta sobre autocontrol, a manera de piloto, al </w:t>
      </w:r>
      <w:r w:rsidRPr="00104F4B">
        <w:rPr>
          <w:rFonts w:ascii="Arial" w:hAnsi="Arial" w:cs="Arial"/>
        </w:rPr>
        <w:lastRenderedPageBreak/>
        <w:t>personal de la OCI.</w:t>
      </w:r>
    </w:p>
    <w:p w:rsidR="00254A55" w:rsidRPr="00104F4B" w:rsidRDefault="00254A55" w:rsidP="002625A5">
      <w:pPr>
        <w:pStyle w:val="Prrafodelista"/>
        <w:widowControl w:val="0"/>
        <w:numPr>
          <w:ilvl w:val="0"/>
          <w:numId w:val="29"/>
        </w:numPr>
        <w:suppressAutoHyphens/>
        <w:spacing w:before="0"/>
        <w:ind w:left="426"/>
        <w:rPr>
          <w:rFonts w:ascii="Arial" w:hAnsi="Arial" w:cs="Arial"/>
        </w:rPr>
      </w:pPr>
      <w:r w:rsidRPr="00104F4B">
        <w:rPr>
          <w:rFonts w:ascii="Arial" w:hAnsi="Arial" w:cs="Arial"/>
        </w:rPr>
        <w:t>Asesoría y acompañamiento a la revisión y actualización de la Guía de Seguimiento a la Gestión.</w:t>
      </w:r>
    </w:p>
    <w:p w:rsidR="00254A55" w:rsidRPr="00104F4B" w:rsidRDefault="00254A55" w:rsidP="007A7A3A">
      <w:pPr>
        <w:pStyle w:val="Prrafodelista"/>
        <w:widowControl w:val="0"/>
        <w:suppressAutoHyphens/>
        <w:spacing w:before="0"/>
        <w:ind w:left="426"/>
        <w:rPr>
          <w:rFonts w:ascii="Arial" w:hAnsi="Arial" w:cs="Arial"/>
        </w:rPr>
      </w:pPr>
    </w:p>
    <w:p w:rsidR="00254A55" w:rsidRPr="00104F4B" w:rsidRDefault="00254A55" w:rsidP="007A7A3A">
      <w:pPr>
        <w:pStyle w:val="Contenidodelatabla"/>
        <w:rPr>
          <w:rFonts w:ascii="Arial" w:hAnsi="Arial" w:cs="Arial"/>
          <w:b/>
          <w:sz w:val="22"/>
          <w:szCs w:val="22"/>
        </w:rPr>
      </w:pPr>
      <w:r w:rsidRPr="00104F4B">
        <w:rPr>
          <w:rFonts w:ascii="Arial" w:hAnsi="Arial" w:cs="Arial"/>
          <w:b/>
          <w:sz w:val="22"/>
          <w:szCs w:val="22"/>
        </w:rPr>
        <w:t>Tema/Rol 4:</w:t>
      </w:r>
      <w:r w:rsidR="007A7A3A" w:rsidRPr="00104F4B">
        <w:rPr>
          <w:rFonts w:ascii="Arial" w:hAnsi="Arial" w:cs="Arial"/>
          <w:b/>
          <w:sz w:val="22"/>
          <w:szCs w:val="22"/>
        </w:rPr>
        <w:t xml:space="preserve"> </w:t>
      </w:r>
      <w:r w:rsidRPr="00104F4B">
        <w:rPr>
          <w:rFonts w:ascii="Arial" w:hAnsi="Arial" w:cs="Arial"/>
          <w:b/>
          <w:sz w:val="22"/>
          <w:szCs w:val="22"/>
        </w:rPr>
        <w:t>Valoración de riesgos</w:t>
      </w:r>
    </w:p>
    <w:p w:rsidR="00254A55" w:rsidRPr="00104F4B" w:rsidRDefault="00254A55" w:rsidP="00254A55">
      <w:pPr>
        <w:pStyle w:val="Prrafodelista"/>
        <w:ind w:left="0"/>
        <w:rPr>
          <w:rFonts w:ascii="Arial" w:hAnsi="Arial" w:cs="Arial"/>
          <w:bCs/>
        </w:rPr>
      </w:pPr>
    </w:p>
    <w:p w:rsidR="00254A55" w:rsidRPr="00104F4B" w:rsidRDefault="00254A55" w:rsidP="00C76C4F">
      <w:pPr>
        <w:pStyle w:val="Contenidodelatabla"/>
        <w:rPr>
          <w:rFonts w:ascii="Arial" w:hAnsi="Arial" w:cs="Arial"/>
          <w:sz w:val="22"/>
          <w:szCs w:val="22"/>
        </w:rPr>
      </w:pPr>
      <w:r w:rsidRPr="00104F4B">
        <w:rPr>
          <w:rFonts w:ascii="Arial" w:hAnsi="Arial" w:cs="Arial"/>
          <w:sz w:val="22"/>
          <w:szCs w:val="22"/>
        </w:rPr>
        <w:t>En el desarrollo de este rol, se adelantaron las siguientes actividades:</w:t>
      </w:r>
    </w:p>
    <w:p w:rsidR="00254A55" w:rsidRPr="00104F4B" w:rsidRDefault="00254A55" w:rsidP="00254A55">
      <w:pPr>
        <w:pStyle w:val="Prrafodelista"/>
        <w:ind w:left="0"/>
        <w:rPr>
          <w:rFonts w:ascii="Arial" w:hAnsi="Arial" w:cs="Arial"/>
          <w:bCs/>
        </w:rPr>
      </w:pPr>
    </w:p>
    <w:p w:rsidR="00254A55" w:rsidRPr="00104F4B" w:rsidRDefault="00254A55" w:rsidP="002625A5">
      <w:pPr>
        <w:pStyle w:val="Prrafodelista"/>
        <w:widowControl w:val="0"/>
        <w:numPr>
          <w:ilvl w:val="0"/>
          <w:numId w:val="29"/>
        </w:numPr>
        <w:suppressAutoHyphens/>
        <w:spacing w:before="0"/>
        <w:ind w:left="426"/>
        <w:rPr>
          <w:rFonts w:ascii="Arial" w:hAnsi="Arial" w:cs="Arial"/>
        </w:rPr>
      </w:pPr>
      <w:r w:rsidRPr="00104F4B">
        <w:rPr>
          <w:rFonts w:ascii="Arial" w:hAnsi="Arial" w:cs="Arial"/>
        </w:rPr>
        <w:t>Actualización, en lo que compete a la OCI, de la matriz de riesgos de gestión y de corrupción de los procesos de Evaluación y Control y Mejoramiento Continuo, del tercer cuatrimestre de 2017, primer y segundo cuatrimestre de 2018.</w:t>
      </w:r>
    </w:p>
    <w:p w:rsidR="00254A55" w:rsidRPr="00104F4B" w:rsidRDefault="00254A55" w:rsidP="002625A5">
      <w:pPr>
        <w:pStyle w:val="Prrafodelista"/>
        <w:widowControl w:val="0"/>
        <w:numPr>
          <w:ilvl w:val="0"/>
          <w:numId w:val="29"/>
        </w:numPr>
        <w:suppressAutoHyphens/>
        <w:spacing w:before="0"/>
        <w:ind w:left="426"/>
        <w:rPr>
          <w:rFonts w:ascii="Arial" w:hAnsi="Arial" w:cs="Arial"/>
        </w:rPr>
      </w:pPr>
      <w:r w:rsidRPr="00104F4B">
        <w:rPr>
          <w:rFonts w:ascii="Arial" w:hAnsi="Arial" w:cs="Arial"/>
        </w:rPr>
        <w:t>Informe de seguimiento a la gestión de riesgos institucionales 2018.</w:t>
      </w:r>
    </w:p>
    <w:p w:rsidR="00254A55" w:rsidRPr="00104F4B" w:rsidRDefault="00254A55" w:rsidP="002625A5">
      <w:pPr>
        <w:pStyle w:val="Prrafodelista"/>
        <w:widowControl w:val="0"/>
        <w:numPr>
          <w:ilvl w:val="0"/>
          <w:numId w:val="29"/>
        </w:numPr>
        <w:suppressAutoHyphens/>
        <w:spacing w:before="0"/>
        <w:ind w:left="426"/>
        <w:rPr>
          <w:rFonts w:ascii="Arial" w:hAnsi="Arial" w:cs="Arial"/>
        </w:rPr>
      </w:pPr>
      <w:r w:rsidRPr="00104F4B">
        <w:rPr>
          <w:rFonts w:ascii="Arial" w:hAnsi="Arial" w:cs="Arial"/>
        </w:rPr>
        <w:t>Socialización sobre Gestión de riesgos, en enero de 2018, de acuerdo con los lineamientos establecidos por el DAFP.</w:t>
      </w:r>
    </w:p>
    <w:p w:rsidR="00254A55" w:rsidRPr="00104F4B" w:rsidRDefault="00254A55" w:rsidP="002625A5">
      <w:pPr>
        <w:pStyle w:val="Prrafodelista"/>
        <w:widowControl w:val="0"/>
        <w:numPr>
          <w:ilvl w:val="0"/>
          <w:numId w:val="29"/>
        </w:numPr>
        <w:suppressAutoHyphens/>
        <w:spacing w:before="0"/>
        <w:ind w:left="426"/>
        <w:rPr>
          <w:rFonts w:ascii="Arial" w:hAnsi="Arial" w:cs="Arial"/>
        </w:rPr>
      </w:pPr>
      <w:r w:rsidRPr="00104F4B">
        <w:rPr>
          <w:rFonts w:ascii="Arial" w:hAnsi="Arial" w:cs="Arial"/>
        </w:rPr>
        <w:t>Seguimiento a los riesgos de corrupción de la entidad, en el marco del seguimiento a las acciones contempladas en el Plan Anticorrupción y de Atención al Ciudadano 2018.</w:t>
      </w:r>
    </w:p>
    <w:p w:rsidR="00254A55" w:rsidRPr="00104F4B" w:rsidRDefault="00254A55" w:rsidP="00254A55">
      <w:pPr>
        <w:pStyle w:val="Prrafodelista"/>
        <w:ind w:left="0"/>
        <w:rPr>
          <w:rFonts w:ascii="Arial" w:hAnsi="Arial" w:cs="Arial"/>
          <w:bCs/>
        </w:rPr>
      </w:pPr>
    </w:p>
    <w:p w:rsidR="00254A55" w:rsidRPr="00104F4B" w:rsidRDefault="00254A55" w:rsidP="007A7A3A">
      <w:pPr>
        <w:pStyle w:val="Contenidodelatabla"/>
        <w:rPr>
          <w:rFonts w:ascii="Arial" w:hAnsi="Arial" w:cs="Arial"/>
          <w:b/>
          <w:sz w:val="22"/>
          <w:szCs w:val="22"/>
        </w:rPr>
      </w:pPr>
      <w:r w:rsidRPr="00104F4B">
        <w:rPr>
          <w:rFonts w:ascii="Arial" w:hAnsi="Arial" w:cs="Arial"/>
          <w:b/>
          <w:sz w:val="22"/>
          <w:szCs w:val="22"/>
        </w:rPr>
        <w:t>Tema/Rol 5: Relacionamiento con entes externos de control</w:t>
      </w:r>
    </w:p>
    <w:p w:rsidR="00254A55" w:rsidRPr="00104F4B" w:rsidRDefault="00254A55" w:rsidP="007A7A3A">
      <w:pPr>
        <w:pStyle w:val="Ttulo2"/>
        <w:widowControl w:val="0"/>
        <w:numPr>
          <w:ilvl w:val="0"/>
          <w:numId w:val="0"/>
        </w:numPr>
        <w:spacing w:before="0"/>
        <w:rPr>
          <w:rFonts w:eastAsia="SimSun" w:cs="Arial"/>
          <w:szCs w:val="22"/>
          <w:lang w:eastAsia="es-CO" w:bidi="hi-IN"/>
        </w:rPr>
      </w:pPr>
    </w:p>
    <w:p w:rsidR="00254A55" w:rsidRPr="00104F4B" w:rsidRDefault="00254A55" w:rsidP="00C76C4F">
      <w:pPr>
        <w:pStyle w:val="Contenidodelatabla"/>
        <w:rPr>
          <w:rFonts w:ascii="Arial" w:hAnsi="Arial" w:cs="Arial"/>
          <w:sz w:val="22"/>
          <w:szCs w:val="22"/>
        </w:rPr>
      </w:pPr>
      <w:r w:rsidRPr="00104F4B">
        <w:rPr>
          <w:rFonts w:ascii="Arial" w:hAnsi="Arial" w:cs="Arial"/>
          <w:sz w:val="22"/>
          <w:szCs w:val="22"/>
        </w:rPr>
        <w:t>En el desarrollo de este rol, se adelantaron las siguientes actividades:</w:t>
      </w:r>
    </w:p>
    <w:p w:rsidR="00254A55" w:rsidRPr="00104F4B" w:rsidRDefault="00254A55" w:rsidP="00254A55">
      <w:pPr>
        <w:pStyle w:val="NormalWeb"/>
        <w:widowControl w:val="0"/>
        <w:spacing w:before="0" w:beforeAutospacing="0" w:after="0" w:afterAutospacing="0"/>
        <w:rPr>
          <w:rFonts w:eastAsiaTheme="minorHAnsi" w:cs="Arial"/>
          <w:szCs w:val="22"/>
          <w:lang w:eastAsia="en-US"/>
        </w:rPr>
      </w:pPr>
    </w:p>
    <w:p w:rsidR="00254A55" w:rsidRPr="00104F4B" w:rsidRDefault="00254A55" w:rsidP="002625A5">
      <w:pPr>
        <w:pStyle w:val="Prrafodelista"/>
        <w:widowControl w:val="0"/>
        <w:numPr>
          <w:ilvl w:val="0"/>
          <w:numId w:val="29"/>
        </w:numPr>
        <w:suppressAutoHyphens/>
        <w:spacing w:before="0"/>
        <w:ind w:left="426"/>
        <w:rPr>
          <w:rFonts w:ascii="Arial" w:hAnsi="Arial" w:cs="Arial"/>
        </w:rPr>
      </w:pPr>
      <w:r w:rsidRPr="00104F4B">
        <w:rPr>
          <w:rFonts w:ascii="Arial" w:hAnsi="Arial" w:cs="Arial"/>
        </w:rPr>
        <w:t>Reporte de los siguientes informes de competencia de la OCI en el marco de la transmisión de la Cuenta anual fiscal 2017: CB-0402 Plan de Mejoramiento – Seguimiento, CBN-1019 Informe de Control Interno Contable, CBN-1022 Informe Ejecutivo Anual de Control Interno y CBN-1038 Informe de la OCI.</w:t>
      </w:r>
    </w:p>
    <w:p w:rsidR="00254A55" w:rsidRPr="00104F4B" w:rsidRDefault="00254A55" w:rsidP="002625A5">
      <w:pPr>
        <w:pStyle w:val="Prrafodelista"/>
        <w:widowControl w:val="0"/>
        <w:numPr>
          <w:ilvl w:val="0"/>
          <w:numId w:val="29"/>
        </w:numPr>
        <w:suppressAutoHyphens/>
        <w:spacing w:before="0"/>
        <w:ind w:left="426"/>
        <w:rPr>
          <w:rFonts w:ascii="Arial" w:hAnsi="Arial" w:cs="Arial"/>
        </w:rPr>
      </w:pPr>
      <w:r w:rsidRPr="00104F4B">
        <w:rPr>
          <w:rFonts w:ascii="Arial" w:hAnsi="Arial" w:cs="Arial"/>
        </w:rPr>
        <w:t>Acompañamiento a las dependencias de la entidad en las auditorías realizadas en 2018 por la Contraloría de Bogotá D.C (auditoría regular vigencia 2017 y auditorías de desempeño), facilitando el suministro de información al equipo auditor.</w:t>
      </w:r>
    </w:p>
    <w:p w:rsidR="00254A55" w:rsidRPr="00104F4B" w:rsidRDefault="00254A55" w:rsidP="002625A5">
      <w:pPr>
        <w:pStyle w:val="Prrafodelista"/>
        <w:widowControl w:val="0"/>
        <w:numPr>
          <w:ilvl w:val="0"/>
          <w:numId w:val="29"/>
        </w:numPr>
        <w:suppressAutoHyphens/>
        <w:spacing w:before="0"/>
        <w:ind w:left="426"/>
        <w:rPr>
          <w:rFonts w:ascii="Arial" w:hAnsi="Arial" w:cs="Arial"/>
        </w:rPr>
      </w:pPr>
      <w:r w:rsidRPr="00104F4B">
        <w:rPr>
          <w:rFonts w:ascii="Arial" w:hAnsi="Arial" w:cs="Arial"/>
        </w:rPr>
        <w:t xml:space="preserve">12 seguimientos al estado de los requerimientos presentados por los entes externos de control, remitidos mensualmente por correo electrónico a los jefes de dependencia. </w:t>
      </w:r>
    </w:p>
    <w:p w:rsidR="000F2FCB" w:rsidRPr="00104F4B" w:rsidRDefault="000F2FCB" w:rsidP="00364859">
      <w:pPr>
        <w:pStyle w:val="Ttulo1"/>
        <w:rPr>
          <w:rFonts w:ascii="Arial" w:hAnsi="Arial" w:cs="Arial"/>
          <w:sz w:val="22"/>
          <w:szCs w:val="22"/>
        </w:rPr>
      </w:pPr>
      <w:bookmarkStart w:id="27" w:name="_Toc536195529"/>
      <w:r w:rsidRPr="00104F4B">
        <w:rPr>
          <w:rFonts w:ascii="Arial" w:hAnsi="Arial" w:cs="Arial"/>
          <w:sz w:val="22"/>
          <w:szCs w:val="22"/>
        </w:rPr>
        <w:t>3.2.2 Mejores prácticas y logros.</w:t>
      </w:r>
      <w:bookmarkEnd w:id="27"/>
      <w:r w:rsidRPr="00104F4B">
        <w:rPr>
          <w:rFonts w:ascii="Arial" w:hAnsi="Arial" w:cs="Arial"/>
          <w:sz w:val="22"/>
          <w:szCs w:val="22"/>
        </w:rPr>
        <w:t xml:space="preserve"> </w:t>
      </w:r>
    </w:p>
    <w:p w:rsidR="000F2FCB" w:rsidRPr="00104F4B" w:rsidRDefault="000F2FCB" w:rsidP="000F2FCB">
      <w:pPr>
        <w:widowControl w:val="0"/>
        <w:rPr>
          <w:rFonts w:cs="Arial"/>
          <w:szCs w:val="22"/>
          <w:u w:val="single"/>
        </w:rPr>
      </w:pPr>
      <w:r w:rsidRPr="00104F4B">
        <w:rPr>
          <w:rFonts w:cs="Arial"/>
          <w:szCs w:val="22"/>
          <w:u w:val="single"/>
        </w:rPr>
        <w:t>Mejores prácticas</w:t>
      </w:r>
    </w:p>
    <w:p w:rsidR="000F2FCB" w:rsidRPr="00104F4B" w:rsidRDefault="000F2FCB" w:rsidP="000F2FCB">
      <w:pPr>
        <w:widowControl w:val="0"/>
        <w:rPr>
          <w:rFonts w:cs="Arial"/>
          <w:szCs w:val="22"/>
        </w:rPr>
      </w:pPr>
      <w:r w:rsidRPr="00104F4B">
        <w:rPr>
          <w:rFonts w:cs="Arial"/>
          <w:szCs w:val="22"/>
        </w:rPr>
        <w:t>Durante 2018 se realizaron las siguientes actividades que contribuyeron a mejorar el ejercicio de auditoría interna al interior de la entidad:</w:t>
      </w:r>
    </w:p>
    <w:p w:rsidR="000F2FCB" w:rsidRPr="00104F4B" w:rsidRDefault="000F2FCB" w:rsidP="002625A5">
      <w:pPr>
        <w:pStyle w:val="Prrafodelista"/>
        <w:widowControl w:val="0"/>
        <w:numPr>
          <w:ilvl w:val="0"/>
          <w:numId w:val="29"/>
        </w:numPr>
        <w:suppressAutoHyphens/>
        <w:spacing w:before="0"/>
        <w:ind w:left="426"/>
        <w:rPr>
          <w:rFonts w:ascii="Arial" w:hAnsi="Arial" w:cs="Arial"/>
        </w:rPr>
      </w:pPr>
      <w:r w:rsidRPr="00104F4B">
        <w:rPr>
          <w:rFonts w:ascii="Arial" w:hAnsi="Arial" w:cs="Arial"/>
        </w:rPr>
        <w:t>Formulación e implementación de encuestas de evaluación sobre los ejercicios de auditorías de gestión y evaluación de auditores.</w:t>
      </w:r>
    </w:p>
    <w:p w:rsidR="000F2FCB" w:rsidRPr="00104F4B" w:rsidRDefault="000F2FCB" w:rsidP="002625A5">
      <w:pPr>
        <w:pStyle w:val="Prrafodelista"/>
        <w:widowControl w:val="0"/>
        <w:numPr>
          <w:ilvl w:val="0"/>
          <w:numId w:val="29"/>
        </w:numPr>
        <w:suppressAutoHyphens/>
        <w:spacing w:before="0"/>
        <w:ind w:left="426"/>
        <w:rPr>
          <w:rFonts w:ascii="Arial" w:hAnsi="Arial" w:cs="Arial"/>
        </w:rPr>
      </w:pPr>
      <w:r w:rsidRPr="00104F4B">
        <w:rPr>
          <w:rFonts w:ascii="Arial" w:hAnsi="Arial" w:cs="Arial"/>
        </w:rPr>
        <w:t>Cambios en el procedimiento de auditorías internas, como la generación de informes preliminares para permitir la retroalimentación de los equipos auditados sobre el contenido de los mismos y la generación de la instancia para que el CICCI dirima las diferencias entre equipo auditor y equipo auditado.</w:t>
      </w:r>
    </w:p>
    <w:p w:rsidR="000F2FCB" w:rsidRPr="00104F4B" w:rsidRDefault="000F2FCB" w:rsidP="002625A5">
      <w:pPr>
        <w:pStyle w:val="Prrafodelista"/>
        <w:widowControl w:val="0"/>
        <w:numPr>
          <w:ilvl w:val="0"/>
          <w:numId w:val="29"/>
        </w:numPr>
        <w:suppressAutoHyphens/>
        <w:spacing w:before="0"/>
        <w:ind w:left="426"/>
        <w:rPr>
          <w:rFonts w:ascii="Arial" w:hAnsi="Arial" w:cs="Arial"/>
        </w:rPr>
      </w:pPr>
      <w:r w:rsidRPr="00104F4B">
        <w:rPr>
          <w:rFonts w:ascii="Arial" w:hAnsi="Arial" w:cs="Arial"/>
        </w:rPr>
        <w:t>Estandarización de criterio para la redacción de hallazgos y recomendaciones.</w:t>
      </w:r>
    </w:p>
    <w:p w:rsidR="000F2FCB" w:rsidRPr="00104F4B" w:rsidRDefault="000F2FCB" w:rsidP="002625A5">
      <w:pPr>
        <w:pStyle w:val="Prrafodelista"/>
        <w:widowControl w:val="0"/>
        <w:numPr>
          <w:ilvl w:val="0"/>
          <w:numId w:val="29"/>
        </w:numPr>
        <w:suppressAutoHyphens/>
        <w:spacing w:before="0"/>
        <w:ind w:left="426"/>
        <w:rPr>
          <w:rFonts w:ascii="Arial" w:hAnsi="Arial" w:cs="Arial"/>
        </w:rPr>
      </w:pPr>
      <w:r w:rsidRPr="00104F4B">
        <w:rPr>
          <w:rFonts w:ascii="Arial" w:hAnsi="Arial" w:cs="Arial"/>
        </w:rPr>
        <w:t>Fortalecimiento de los instrumentos para la generación de alarmas sobre vencimiento de acciones registradas en los planes de mejoramiento.</w:t>
      </w:r>
    </w:p>
    <w:p w:rsidR="000F2FCB" w:rsidRPr="00104F4B" w:rsidRDefault="000F2FCB" w:rsidP="000F2FCB">
      <w:pPr>
        <w:widowControl w:val="0"/>
        <w:rPr>
          <w:rFonts w:cs="Arial"/>
          <w:szCs w:val="22"/>
          <w:u w:val="single"/>
        </w:rPr>
      </w:pPr>
      <w:r w:rsidRPr="00104F4B">
        <w:rPr>
          <w:rFonts w:cs="Arial"/>
          <w:szCs w:val="22"/>
          <w:u w:val="single"/>
        </w:rPr>
        <w:t>Logros</w:t>
      </w:r>
    </w:p>
    <w:p w:rsidR="000F2FCB" w:rsidRPr="00104F4B" w:rsidRDefault="000F2FCB" w:rsidP="000F2FCB">
      <w:pPr>
        <w:pStyle w:val="Prrafodelista"/>
        <w:widowControl w:val="0"/>
        <w:suppressAutoHyphens/>
        <w:spacing w:before="0"/>
        <w:ind w:left="426"/>
        <w:rPr>
          <w:rFonts w:ascii="Arial" w:hAnsi="Arial" w:cs="Arial"/>
        </w:rPr>
      </w:pPr>
    </w:p>
    <w:p w:rsidR="000F2FCB" w:rsidRPr="00104F4B" w:rsidRDefault="000F2FCB" w:rsidP="002625A5">
      <w:pPr>
        <w:pStyle w:val="Prrafodelista"/>
        <w:widowControl w:val="0"/>
        <w:numPr>
          <w:ilvl w:val="0"/>
          <w:numId w:val="29"/>
        </w:numPr>
        <w:suppressAutoHyphens/>
        <w:spacing w:before="0"/>
        <w:ind w:left="426"/>
        <w:rPr>
          <w:rFonts w:ascii="Arial" w:hAnsi="Arial" w:cs="Arial"/>
        </w:rPr>
      </w:pPr>
      <w:r w:rsidRPr="00104F4B">
        <w:rPr>
          <w:rFonts w:ascii="Arial" w:hAnsi="Arial" w:cs="Arial"/>
        </w:rPr>
        <w:lastRenderedPageBreak/>
        <w:t>Ejecución del 100% de las actividades del Plan Anual de Auditorías 2018.</w:t>
      </w:r>
    </w:p>
    <w:p w:rsidR="000F2FCB" w:rsidRPr="00104F4B" w:rsidRDefault="000F2FCB" w:rsidP="002625A5">
      <w:pPr>
        <w:pStyle w:val="Prrafodelista"/>
        <w:widowControl w:val="0"/>
        <w:numPr>
          <w:ilvl w:val="0"/>
          <w:numId w:val="29"/>
        </w:numPr>
        <w:suppressAutoHyphens/>
        <w:spacing w:before="0"/>
        <w:ind w:left="426"/>
        <w:rPr>
          <w:rFonts w:ascii="Arial" w:hAnsi="Arial" w:cs="Arial"/>
        </w:rPr>
      </w:pPr>
      <w:r w:rsidRPr="00104F4B">
        <w:rPr>
          <w:rFonts w:ascii="Arial" w:hAnsi="Arial" w:cs="Arial"/>
        </w:rPr>
        <w:t>Formulación e implementación de instrumentos derivados del Marco Internacional para la práctica de la auditoría interna, como el Estatuto de auditoría, Código de ética del auditor interno, entre otros.</w:t>
      </w:r>
    </w:p>
    <w:p w:rsidR="00A27FD9" w:rsidRPr="00104F4B" w:rsidRDefault="00A27FD9" w:rsidP="00364859">
      <w:pPr>
        <w:pStyle w:val="Ttulo1"/>
        <w:rPr>
          <w:rFonts w:ascii="Arial" w:hAnsi="Arial" w:cs="Arial"/>
          <w:sz w:val="22"/>
          <w:szCs w:val="22"/>
        </w:rPr>
      </w:pPr>
      <w:bookmarkStart w:id="28" w:name="_Toc536195530"/>
      <w:r w:rsidRPr="00104F4B">
        <w:rPr>
          <w:rFonts w:ascii="Arial" w:hAnsi="Arial" w:cs="Arial"/>
          <w:sz w:val="22"/>
          <w:szCs w:val="22"/>
        </w:rPr>
        <w:t>3.2.3 Recomendaciones para el mejoramiento de la Gestión</w:t>
      </w:r>
      <w:bookmarkEnd w:id="28"/>
    </w:p>
    <w:p w:rsidR="00A27FD9" w:rsidRPr="00104F4B" w:rsidRDefault="00A27FD9" w:rsidP="002625A5">
      <w:pPr>
        <w:pStyle w:val="Prrafodelista"/>
        <w:widowControl w:val="0"/>
        <w:numPr>
          <w:ilvl w:val="0"/>
          <w:numId w:val="29"/>
        </w:numPr>
        <w:suppressAutoHyphens/>
        <w:spacing w:before="0"/>
        <w:ind w:left="426"/>
        <w:rPr>
          <w:rFonts w:ascii="Arial" w:hAnsi="Arial" w:cs="Arial"/>
        </w:rPr>
      </w:pPr>
      <w:r w:rsidRPr="00104F4B">
        <w:rPr>
          <w:rFonts w:ascii="Arial" w:hAnsi="Arial" w:cs="Arial"/>
        </w:rPr>
        <w:t>Documentar y estandarizar la metodología para la realización de auditorías internas.</w:t>
      </w:r>
    </w:p>
    <w:p w:rsidR="00A27FD9" w:rsidRPr="00104F4B" w:rsidRDefault="00A27FD9" w:rsidP="002625A5">
      <w:pPr>
        <w:pStyle w:val="Prrafodelista"/>
        <w:widowControl w:val="0"/>
        <w:numPr>
          <w:ilvl w:val="0"/>
          <w:numId w:val="29"/>
        </w:numPr>
        <w:suppressAutoHyphens/>
        <w:spacing w:before="0"/>
        <w:ind w:left="426"/>
        <w:rPr>
          <w:rFonts w:ascii="Arial" w:hAnsi="Arial" w:cs="Arial"/>
        </w:rPr>
      </w:pPr>
      <w:r w:rsidRPr="00104F4B">
        <w:rPr>
          <w:rFonts w:ascii="Arial" w:hAnsi="Arial" w:cs="Arial"/>
        </w:rPr>
        <w:t>Depurar las acciones registradas en el plan de mejoramiento sobre las que falta dictaminar su efectividad.</w:t>
      </w:r>
    </w:p>
    <w:p w:rsidR="00A27FD9" w:rsidRPr="00104F4B" w:rsidRDefault="00A27FD9" w:rsidP="002625A5">
      <w:pPr>
        <w:pStyle w:val="Prrafodelista"/>
        <w:widowControl w:val="0"/>
        <w:numPr>
          <w:ilvl w:val="0"/>
          <w:numId w:val="29"/>
        </w:numPr>
        <w:suppressAutoHyphens/>
        <w:spacing w:before="0"/>
        <w:ind w:left="426"/>
        <w:rPr>
          <w:rFonts w:ascii="Arial" w:hAnsi="Arial" w:cs="Arial"/>
        </w:rPr>
      </w:pPr>
      <w:r w:rsidRPr="00104F4B">
        <w:rPr>
          <w:rFonts w:ascii="Arial" w:hAnsi="Arial" w:cs="Arial"/>
        </w:rPr>
        <w:t>Asesorar/acompañar la documentación de las líneas de defensa del Sistema de Control Interno y el MECI, conforme a la nueva estructura normativa establecida en la Séptima Dimensión del Modelo Integrado de Planeación y Gestión.</w:t>
      </w:r>
    </w:p>
    <w:p w:rsidR="00BD0D2D" w:rsidRPr="00104F4B" w:rsidRDefault="00A27FD9" w:rsidP="00364859">
      <w:pPr>
        <w:pStyle w:val="Ttulo1"/>
        <w:rPr>
          <w:rFonts w:ascii="Arial" w:hAnsi="Arial" w:cs="Arial"/>
          <w:sz w:val="22"/>
          <w:szCs w:val="22"/>
        </w:rPr>
      </w:pPr>
      <w:r w:rsidRPr="00104F4B">
        <w:rPr>
          <w:rFonts w:ascii="Arial" w:hAnsi="Arial" w:cs="Arial"/>
          <w:sz w:val="22"/>
          <w:szCs w:val="22"/>
        </w:rPr>
        <w:t xml:space="preserve"> </w:t>
      </w:r>
      <w:bookmarkStart w:id="29" w:name="_Toc536195531"/>
      <w:r w:rsidR="00BD0D2D" w:rsidRPr="00104F4B">
        <w:rPr>
          <w:rFonts w:ascii="Arial" w:hAnsi="Arial" w:cs="Arial"/>
          <w:sz w:val="22"/>
          <w:szCs w:val="22"/>
        </w:rPr>
        <w:t>3.3 OFICINA ASESORA DE COMUNICACIONES</w:t>
      </w:r>
      <w:bookmarkEnd w:id="29"/>
    </w:p>
    <w:p w:rsidR="00BD0D2D" w:rsidRPr="00104F4B" w:rsidRDefault="00BD0D2D" w:rsidP="00364859">
      <w:pPr>
        <w:pStyle w:val="Ttulo1"/>
        <w:rPr>
          <w:rFonts w:ascii="Arial" w:hAnsi="Arial" w:cs="Arial"/>
          <w:sz w:val="22"/>
          <w:szCs w:val="22"/>
        </w:rPr>
      </w:pPr>
      <w:bookmarkStart w:id="30" w:name="_Toc536195532"/>
      <w:r w:rsidRPr="00104F4B">
        <w:rPr>
          <w:rFonts w:ascii="Arial" w:hAnsi="Arial" w:cs="Arial"/>
          <w:sz w:val="22"/>
          <w:szCs w:val="22"/>
        </w:rPr>
        <w:t>3.3.1 Gestiones a Cargo</w:t>
      </w:r>
      <w:bookmarkEnd w:id="30"/>
    </w:p>
    <w:p w:rsidR="00BD0D2D" w:rsidRPr="00104F4B" w:rsidRDefault="00BD0D2D" w:rsidP="00BD0D2D">
      <w:pPr>
        <w:rPr>
          <w:rFonts w:cs="Arial"/>
          <w:szCs w:val="22"/>
        </w:rPr>
      </w:pPr>
      <w:r w:rsidRPr="00104F4B">
        <w:rPr>
          <w:rFonts w:cs="Arial"/>
          <w:szCs w:val="22"/>
        </w:rPr>
        <w:t xml:space="preserve">Durante el 2018 se avanzó en la conformación y reestructuración del equipo de la Oficina Asesora de Comunicaciones, y en el Plan de Comunicaciones definido para la vigencia de acuerdo con las directrices de la Dirección General de la Entidad y la Oficina de Comunicaciones de la Alcaldía Mayor de Bogotá. </w:t>
      </w:r>
    </w:p>
    <w:p w:rsidR="00BD0D2D" w:rsidRPr="00104F4B" w:rsidRDefault="00BD0D2D" w:rsidP="00BD0D2D">
      <w:pPr>
        <w:rPr>
          <w:rFonts w:cs="Arial"/>
          <w:szCs w:val="22"/>
        </w:rPr>
      </w:pPr>
      <w:r w:rsidRPr="00104F4B">
        <w:rPr>
          <w:rFonts w:cs="Arial"/>
          <w:szCs w:val="22"/>
        </w:rPr>
        <w:t xml:space="preserve">Así mismo se fortalecieron los canales de comunicación interna y externa de la Entidad y la identidad corporativa, de acuerdo con lo definido por la política editorial y la estrategia de difusión de la gestión encaminada en la proyección positiva y permanente de la imagen institucional de la Entidad en el marco del mensaje “trabajamos 24/7 en la construcción de una Bogotá Mejor Para Todos”.  </w:t>
      </w:r>
    </w:p>
    <w:p w:rsidR="00BD0D2D" w:rsidRPr="00104F4B" w:rsidRDefault="00BD0D2D" w:rsidP="00BD0D2D">
      <w:pPr>
        <w:rPr>
          <w:rFonts w:cs="Arial"/>
          <w:szCs w:val="22"/>
        </w:rPr>
      </w:pPr>
      <w:r w:rsidRPr="00104F4B">
        <w:rPr>
          <w:rFonts w:cs="Arial"/>
          <w:szCs w:val="22"/>
        </w:rPr>
        <w:t xml:space="preserve">En materia de Comunicación Externa se propusieron estrategias para posicionar la imagen corporativa del Instituto, se apoyó la elaboración y difusión de las comunicaciones externas con los diferentes canales y medios de comunicación y redes sociales, se gestionó información interna que sirvió de insumo para las comunicaciones externas. </w:t>
      </w:r>
    </w:p>
    <w:p w:rsidR="00BD0D2D" w:rsidRPr="00104F4B" w:rsidRDefault="00BD0D2D" w:rsidP="00BD0D2D">
      <w:pPr>
        <w:rPr>
          <w:rFonts w:cs="Arial"/>
          <w:szCs w:val="22"/>
        </w:rPr>
      </w:pPr>
      <w:r w:rsidRPr="00104F4B">
        <w:rPr>
          <w:rFonts w:cs="Arial"/>
          <w:szCs w:val="22"/>
        </w:rPr>
        <w:t>También se apoyó el proceso editorial, la redacción de textos y producción de contenidos para la divulgación de las metas y objetivos propuestos en el Plan de Desarrollo vigente, se coordinó la implementación de la estrategia de comunicación que permitió el flujo de información en medios de comunicación, se apoyó el manejo de medios de comunicación en situación de crisis, se fortalecieron las relaciones públicas con periodistas y organismos del sector, se atendieron las solicitudes externas de medios de comunicación, se convocó a ruedas de prensa y eventos periodísticos y se realizó el apoyo logístico en los eventos internos y externos de la Entidad.</w:t>
      </w:r>
    </w:p>
    <w:p w:rsidR="00BD0D2D" w:rsidRPr="00104F4B" w:rsidRDefault="00BD0D2D" w:rsidP="00BD0D2D">
      <w:pPr>
        <w:rPr>
          <w:rFonts w:cs="Arial"/>
          <w:szCs w:val="22"/>
        </w:rPr>
      </w:pPr>
      <w:r w:rsidRPr="00104F4B">
        <w:rPr>
          <w:rFonts w:cs="Arial"/>
          <w:szCs w:val="22"/>
        </w:rPr>
        <w:t xml:space="preserve">Entre otras, estas fueron algunas de las acciones realizadas: Ejecución del Plan Estratégico de Comunicación del proyecto de TransMilenio por la Carrera 7ma, Ejecución de la Estrategia de comunicación para TransMiCable, Plan de Comunicaciones Bogotá 2040, apoyo y difusión a  la presentación del Proyecto de Valorización 2018, ejecución del Plan Estratégico de Comunicación Diseños y obras 2018, entre otras. </w:t>
      </w:r>
    </w:p>
    <w:p w:rsidR="00BD0D2D" w:rsidRPr="00104F4B" w:rsidRDefault="00BD0D2D" w:rsidP="00BD0D2D">
      <w:pPr>
        <w:rPr>
          <w:rFonts w:cs="Arial"/>
          <w:szCs w:val="22"/>
        </w:rPr>
      </w:pPr>
      <w:r w:rsidRPr="00104F4B">
        <w:rPr>
          <w:rFonts w:cs="Arial"/>
          <w:szCs w:val="22"/>
        </w:rPr>
        <w:t>A lo largo del año se elaboraron 30 comunicados de prensa en temas como Valorización, Adjudicación de la Avenida Alsacia, Apertura de licitación del TransMilenio por la Carrera Séptima, finalización de la obra de TransMicable, Huecos, Troncales alimentadoras del Metro, Entrega oficial de la Avenida San Antonio, Inicio de obra de la Avenida La Sirena entre carreras 9 y 19, entre otros.</w:t>
      </w:r>
    </w:p>
    <w:p w:rsidR="00BD0D2D" w:rsidRPr="00104F4B" w:rsidRDefault="00BD0D2D" w:rsidP="00BD0D2D">
      <w:pPr>
        <w:rPr>
          <w:rFonts w:cs="Arial"/>
          <w:szCs w:val="22"/>
        </w:rPr>
      </w:pPr>
      <w:r w:rsidRPr="00104F4B">
        <w:rPr>
          <w:rFonts w:cs="Arial"/>
          <w:szCs w:val="22"/>
        </w:rPr>
        <w:lastRenderedPageBreak/>
        <w:t>En este lapso se atendieron más de 700 solicitudes de información por parte de los periodistas de medios de comunicación de prensa, radio, televisión e internet y se realizaron labores de acompañamiento permanente a los funcionarios y voceros de la entidad durante eventos académicos, exposiciones, ruedas de prensa y actos públicos fuera de la Entidad. Producto de esta gestión se registraron cerca de 6.000 impactos noticiosos en diferentes medios de comunicación masiva, de los cuales el 85% fueron positivos y destacaron la gestión del Instituto.</w:t>
      </w:r>
    </w:p>
    <w:p w:rsidR="00BD0D2D" w:rsidRPr="00104F4B" w:rsidRDefault="00BD0D2D" w:rsidP="00BD0D2D">
      <w:pPr>
        <w:rPr>
          <w:rFonts w:cs="Arial"/>
          <w:szCs w:val="22"/>
        </w:rPr>
      </w:pPr>
      <w:r w:rsidRPr="00104F4B">
        <w:rPr>
          <w:rFonts w:cs="Arial"/>
          <w:szCs w:val="22"/>
        </w:rPr>
        <w:t>Producto de esta gestión a final del año 46 personas, entre reporteros, periodistas y editores que cubren la fuente Bogotá votaron para elegir el mejor Concejal, el mejor Funcionario, la noticia del año, la mejor oficina de prensa y el mejor organismo de control. Esta actividad se realiza en el marco de una iniciativa promovida por el periodista Manuel Salazar durante los últimos 17 años. Los resultados indicaron que la mejor funcionaria del año fue la doctora Yaneth Rocío Mantilla, Directora del IDU. En esa misma medición, la Oficina de Comunicaciones del IDU ocupó el 4 puesto.</w:t>
      </w:r>
    </w:p>
    <w:p w:rsidR="00BD0D2D" w:rsidRPr="00104F4B" w:rsidRDefault="00BD0D2D" w:rsidP="00BD0D2D">
      <w:pPr>
        <w:rPr>
          <w:rFonts w:cs="Arial"/>
          <w:szCs w:val="22"/>
        </w:rPr>
      </w:pPr>
      <w:r w:rsidRPr="00104F4B">
        <w:rPr>
          <w:rFonts w:cs="Arial"/>
          <w:szCs w:val="22"/>
        </w:rPr>
        <w:t xml:space="preserve">Así mismo, la sección Bogotá del diario El Tiempo hizo en diciembre un reconocimiento a la Directora del IDU como personaje del 2018, y al TransMiCable como la noticia más importante del año. </w:t>
      </w:r>
    </w:p>
    <w:p w:rsidR="00BD0D2D" w:rsidRPr="00104F4B" w:rsidRDefault="00BD0D2D" w:rsidP="00BD0D2D">
      <w:pPr>
        <w:rPr>
          <w:rFonts w:cs="Arial"/>
          <w:szCs w:val="22"/>
        </w:rPr>
      </w:pPr>
      <w:r w:rsidRPr="00104F4B">
        <w:rPr>
          <w:rFonts w:cs="Arial"/>
          <w:szCs w:val="22"/>
        </w:rPr>
        <w:t xml:space="preserve">También se avanzó en el rediseño y mejoramiento de las páginas web e intranet de la Entidad de acuerdo con las normas de Gobierno en Línea y los lineamientos de la Alta Consejería Distrital de las TIC, y se fortalecieron las redes sociales del IDU con la divulgación de campañas como #NuevaSéptima, #24/7, #Valorización, #MásTiempoParaTi, #TransMiCable, #LaNuevaBogotá, #BogotaSinCarreta, entre otras. También se dio apoyo permanente a las sinergias generadas por otras entidades del Distrito de acuerdo con las instrucciones de la Oficina de Comunicaciones de la Alcaldía Mayor. </w:t>
      </w:r>
    </w:p>
    <w:p w:rsidR="00BD0D2D" w:rsidRPr="00104F4B" w:rsidRDefault="00BD0D2D" w:rsidP="00BD0D2D">
      <w:pPr>
        <w:rPr>
          <w:rFonts w:cs="Arial"/>
          <w:szCs w:val="22"/>
        </w:rPr>
      </w:pPr>
      <w:r w:rsidRPr="00104F4B">
        <w:rPr>
          <w:rFonts w:cs="Arial"/>
          <w:szCs w:val="22"/>
        </w:rPr>
        <w:t xml:space="preserve">Durante la vigencia se diseñaron y realizaron 3 diferentes Foros de Participación ciudadana a través de Facebook Live sobre los proyectos socializados por la Oficina de Atención al Ciudadano (OTC), TransMiCable y TransMilenio por la Cra. 7ma.y se divulgaron campañas permanentes sobre la gestión de la Entidad y la Administración Peñalosa. </w:t>
      </w:r>
    </w:p>
    <w:p w:rsidR="00BD0D2D" w:rsidRPr="00104F4B" w:rsidRDefault="00BD0D2D" w:rsidP="00BD0D2D">
      <w:pPr>
        <w:rPr>
          <w:rFonts w:cs="Arial"/>
          <w:szCs w:val="22"/>
        </w:rPr>
      </w:pPr>
      <w:r w:rsidRPr="00104F4B">
        <w:rPr>
          <w:rFonts w:cs="Arial"/>
          <w:szCs w:val="22"/>
        </w:rPr>
        <w:t xml:space="preserve">Durante el 2018 las redes de la Entidad crecieron así: Twitter: 7.087 Nuevos Seguidores, Facebook: 7.126 Nuevos Seguidores, Instagram: 1.400 Nuevos Seguidores y Youtube 1.500 nuevos suscriptores. A la fecha Twitter cuenta con 90.300 Seguidores, Facebook con 19.673 Seguidores, Instagram con 2.202 Seguidores y Youtube 3.001 suscriptores. </w:t>
      </w:r>
    </w:p>
    <w:p w:rsidR="00BD0D2D" w:rsidRPr="00104F4B" w:rsidRDefault="00BD0D2D" w:rsidP="00BD0D2D">
      <w:pPr>
        <w:rPr>
          <w:rFonts w:cs="Arial"/>
          <w:color w:val="222222"/>
          <w:szCs w:val="22"/>
          <w:lang w:eastAsia="es-CO"/>
        </w:rPr>
      </w:pPr>
      <w:r w:rsidRPr="00104F4B">
        <w:rPr>
          <w:rFonts w:cs="Arial"/>
          <w:szCs w:val="22"/>
        </w:rPr>
        <w:t xml:space="preserve">En materia de posicionamiento de la Entidad en la opinión pública en general, y en los diferentes puntos de obra en los que el IDU hace presencia permanente, se creó un proceso de divulgación y rediseño que unificó </w:t>
      </w:r>
      <w:r w:rsidRPr="00104F4B">
        <w:rPr>
          <w:rFonts w:cs="Arial"/>
          <w:color w:val="222222"/>
          <w:szCs w:val="22"/>
          <w:lang w:eastAsia="es-CO"/>
        </w:rPr>
        <w:t xml:space="preserve">las solicitudes de aprobación de volantes informativos. Durante 2018 se aprobaron 2.232 referencias de volantes de información a la comunidad entre piezas de inicio, finalización y avance de actividades; restricciones de tránsito; invitaciones a reuniones con comunidad y notificaciones. De igual forma, y de acuerdo con la solicitud de los contratistas de obra se realizó el diseño de Afiches, volantes, plegables y vallas de obra. </w:t>
      </w:r>
    </w:p>
    <w:p w:rsidR="00BD0D2D" w:rsidRPr="00104F4B" w:rsidRDefault="00BD0D2D" w:rsidP="00BD0D2D">
      <w:pPr>
        <w:rPr>
          <w:rFonts w:cs="Arial"/>
          <w:color w:val="222222"/>
          <w:szCs w:val="22"/>
        </w:rPr>
      </w:pPr>
      <w:r w:rsidRPr="00104F4B">
        <w:rPr>
          <w:rFonts w:cs="Arial"/>
          <w:color w:val="222222"/>
          <w:szCs w:val="22"/>
        </w:rPr>
        <w:t xml:space="preserve">En la vigencia 2018, en Comunicación Interna, se siguió posicionando el concepto de “Gente IDU” y se fortalecieron los canales de comunicación interna destacando la gestión realizada por todas las áreas de la Entidad. También se socializó permanentemente la plataforma estratégica de la Entidad y se realizaron estrategias de comunicación encaminadas a destacar la gestión de la Entidad en el marco del Plan de Desarrollo de la administración. En la encuesta de comunicación interna realizada cada año, el porcentaje de aceptación de la gestión OAC fue del 85%. </w:t>
      </w:r>
    </w:p>
    <w:p w:rsidR="00BD0D2D" w:rsidRPr="00104F4B" w:rsidRDefault="00BD0D2D" w:rsidP="00BD0D2D">
      <w:pPr>
        <w:rPr>
          <w:rFonts w:cs="Arial"/>
          <w:szCs w:val="22"/>
        </w:rPr>
      </w:pPr>
      <w:r w:rsidRPr="00104F4B">
        <w:rPr>
          <w:rFonts w:cs="Arial"/>
          <w:color w:val="222222"/>
          <w:szCs w:val="22"/>
          <w:lang w:eastAsia="es-CO"/>
        </w:rPr>
        <w:t xml:space="preserve">La identidad corporativa contó permanentemente con el </w:t>
      </w:r>
      <w:r w:rsidRPr="00104F4B">
        <w:rPr>
          <w:rFonts w:cs="Arial"/>
          <w:szCs w:val="22"/>
        </w:rPr>
        <w:t xml:space="preserve">diseño de piezas estáticas y animadas de comunicación requeridas para ilustrar gráficamente las campañas internas y externas de la Entidad </w:t>
      </w:r>
      <w:r w:rsidRPr="00104F4B">
        <w:rPr>
          <w:rFonts w:cs="Arial"/>
          <w:szCs w:val="22"/>
        </w:rPr>
        <w:lastRenderedPageBreak/>
        <w:t xml:space="preserve">en temas como seguridad de la información, subsistemas del Sistema de Gestión Integrado, mantenimiento vial, Seguridad y Salud en el trabajo, SER Gente IDU, Actividades culturales, cartilla ambiental, mailing, infografías, notificaciones diarias, entre otros. Así mismo se creó un noticiero interno mensual y clips de inicio de pantallas para mantener a la entidad permanentemente informada sobre la gestión de la Entidad. Durante 2018 se diseñaron cerca de 1.000 piezas, se realizaron cerca de 300 productos audiovisuales entre videos, animaciones y gifs, y se atendieron 1.500 requerimientos de todas las áreas de la Entidad recibidas a través del correo </w:t>
      </w:r>
      <w:hyperlink r:id="rId27" w:history="1">
        <w:r w:rsidRPr="00104F4B">
          <w:rPr>
            <w:rStyle w:val="Hipervnculo"/>
            <w:rFonts w:cs="Arial"/>
            <w:szCs w:val="22"/>
          </w:rPr>
          <w:t>solicitudesoac@idu.gov.co</w:t>
        </w:r>
      </w:hyperlink>
      <w:r w:rsidRPr="00104F4B">
        <w:rPr>
          <w:rFonts w:cs="Arial"/>
          <w:szCs w:val="22"/>
        </w:rPr>
        <w:t xml:space="preserve">.  </w:t>
      </w:r>
    </w:p>
    <w:p w:rsidR="00BD0D2D" w:rsidRPr="00104F4B" w:rsidRDefault="00BD0D2D" w:rsidP="00BD0D2D">
      <w:pPr>
        <w:rPr>
          <w:rFonts w:cs="Arial"/>
          <w:szCs w:val="22"/>
        </w:rPr>
      </w:pPr>
      <w:r w:rsidRPr="00104F4B">
        <w:rPr>
          <w:rFonts w:cs="Arial"/>
          <w:szCs w:val="22"/>
        </w:rPr>
        <w:t xml:space="preserve">En materia audiovisual se realizó acompañamiento y seguimiento permanente a las diferentes obras que adelanta la Entidad. Así mismo se realizan reportes permanentes de los avances de las mismas en fotos, videos y vuelos de dron que se socializan permanentemente en todos los canales internos, externos y redes sociales en las que la Entidad hace presencia y en las de la Alcaldía Mayor de Bogotá. Gracias a esta labor se cuenta con material antes y después y renders y video renders de todos los proyectos a cargo de la Entidad. </w:t>
      </w:r>
    </w:p>
    <w:p w:rsidR="00BD0D2D" w:rsidRPr="00104F4B" w:rsidRDefault="00BD0D2D" w:rsidP="00BD0D2D">
      <w:pPr>
        <w:rPr>
          <w:rFonts w:cs="Arial"/>
          <w:bCs/>
          <w:szCs w:val="22"/>
        </w:rPr>
      </w:pPr>
      <w:r w:rsidRPr="00104F4B">
        <w:rPr>
          <w:rFonts w:cs="Arial"/>
          <w:szCs w:val="22"/>
        </w:rPr>
        <w:t xml:space="preserve">El equipo audiovisual del IDU también realiza registros fotográficos y de video de obras en construcción y obras entregadas, recorridos con el Alcalde a distintas obras, demolición de predios, entrevistas, time lapses de las obras y eventos internos y externos de la Entidad. Durante 2018 se realizaron cerca de 200 videos </w:t>
      </w:r>
      <w:r w:rsidRPr="00104F4B">
        <w:rPr>
          <w:rFonts w:cs="Arial"/>
          <w:bCs/>
          <w:szCs w:val="22"/>
        </w:rPr>
        <w:t>sobre la gestión del IDU que superaron</w:t>
      </w:r>
      <w:r w:rsidRPr="00104F4B">
        <w:rPr>
          <w:rFonts w:cs="Arial"/>
          <w:szCs w:val="22"/>
        </w:rPr>
        <w:t xml:space="preserve"> los 10 millones de reproducciones en nuestro canal de YouTube. (Renders Carrera 7, Así es La Nueva Séptima, Más Tiempo Para Ti, Valorización, entre otros). </w:t>
      </w:r>
    </w:p>
    <w:p w:rsidR="00BD0D2D" w:rsidRPr="00104F4B" w:rsidRDefault="00BD0D2D" w:rsidP="00BD0D2D">
      <w:pPr>
        <w:rPr>
          <w:rFonts w:cs="Arial"/>
          <w:szCs w:val="22"/>
        </w:rPr>
      </w:pPr>
      <w:r w:rsidRPr="00104F4B">
        <w:rPr>
          <w:rFonts w:cs="Arial"/>
          <w:szCs w:val="22"/>
        </w:rPr>
        <w:t>En relación con la gestión del Sistema Integrado de Gestión SIG, Se adelantó la gestión de construcción y seguimiento de matrices y documentos relacionados con:</w:t>
      </w:r>
    </w:p>
    <w:p w:rsidR="00BD0D2D" w:rsidRPr="00104F4B" w:rsidRDefault="00BD0D2D" w:rsidP="00BD0D2D">
      <w:pPr>
        <w:rPr>
          <w:rFonts w:cs="Arial"/>
          <w:szCs w:val="22"/>
        </w:rPr>
      </w:pPr>
      <w:r w:rsidRPr="00104F4B">
        <w:rPr>
          <w:rFonts w:cs="Arial"/>
          <w:szCs w:val="22"/>
        </w:rPr>
        <w:t xml:space="preserve">Plan de Acción, Contexto estratégico del Riesgo, Riesgos de Gestión, Riesgos de Corrupción, MECI, Plan de Mejoramiento, Indicadores de Gestión y Acuerdo de Gestión  </w:t>
      </w:r>
    </w:p>
    <w:p w:rsidR="00BD0D2D" w:rsidRPr="00104F4B" w:rsidRDefault="00BD0D2D" w:rsidP="00364859">
      <w:pPr>
        <w:pStyle w:val="Ttulo1"/>
        <w:rPr>
          <w:rFonts w:ascii="Arial" w:hAnsi="Arial" w:cs="Arial"/>
          <w:sz w:val="22"/>
          <w:szCs w:val="22"/>
        </w:rPr>
      </w:pPr>
      <w:bookmarkStart w:id="31" w:name="_Toc536195533"/>
      <w:r w:rsidRPr="00104F4B">
        <w:rPr>
          <w:rFonts w:ascii="Arial" w:hAnsi="Arial" w:cs="Arial"/>
          <w:sz w:val="22"/>
          <w:szCs w:val="22"/>
        </w:rPr>
        <w:t>3.3.2 Mejores prácticas y logros</w:t>
      </w:r>
      <w:bookmarkEnd w:id="31"/>
    </w:p>
    <w:p w:rsidR="00BD0D2D" w:rsidRPr="00104F4B" w:rsidRDefault="00BD0D2D" w:rsidP="00BD0D2D">
      <w:pPr>
        <w:spacing w:before="0" w:after="160"/>
        <w:contextualSpacing/>
        <w:rPr>
          <w:rFonts w:cs="Arial"/>
          <w:szCs w:val="22"/>
        </w:rPr>
      </w:pPr>
      <w:r w:rsidRPr="00104F4B">
        <w:rPr>
          <w:rFonts w:cs="Arial"/>
          <w:szCs w:val="22"/>
        </w:rPr>
        <w:t>Gracias a los lineamientos de la Dirección General, y al apoyo permanente de todas las áreas, la Oficina Asesora de Comunicaciones del IDU consolidó un equipo de trabajo conformado por profesionales comprometidos con la gestión que realiza la Entidad y la Administración Distrital.</w:t>
      </w:r>
    </w:p>
    <w:p w:rsidR="00BD0D2D" w:rsidRPr="00104F4B" w:rsidRDefault="00BD0D2D" w:rsidP="00BD0D2D">
      <w:pPr>
        <w:spacing w:before="0" w:after="160"/>
        <w:contextualSpacing/>
        <w:rPr>
          <w:rFonts w:cs="Arial"/>
          <w:szCs w:val="22"/>
        </w:rPr>
      </w:pPr>
    </w:p>
    <w:p w:rsidR="00BD0D2D" w:rsidRPr="00104F4B" w:rsidRDefault="00BD0D2D" w:rsidP="00BD0D2D">
      <w:pPr>
        <w:spacing w:before="0" w:after="160"/>
        <w:contextualSpacing/>
        <w:rPr>
          <w:rFonts w:cs="Arial"/>
          <w:szCs w:val="22"/>
        </w:rPr>
      </w:pPr>
      <w:r w:rsidRPr="00104F4B">
        <w:rPr>
          <w:rFonts w:cs="Arial"/>
          <w:szCs w:val="22"/>
        </w:rPr>
        <w:t xml:space="preserve">Se implementaron aspectos de mejora y aprendizaje constante que han posicionado a la comunicación de la entidad en condiciones de calidad y oportunidad. Gracias a esta labor se ha logrado posicionar positivamente a la Entidad en la opinión pública y en la administración Distrital. </w:t>
      </w:r>
    </w:p>
    <w:p w:rsidR="00BD0D2D" w:rsidRPr="00104F4B" w:rsidRDefault="00BD0D2D" w:rsidP="00BD0D2D">
      <w:pPr>
        <w:rPr>
          <w:rFonts w:cs="Arial"/>
          <w:szCs w:val="22"/>
        </w:rPr>
      </w:pPr>
    </w:p>
    <w:p w:rsidR="00BD0D2D" w:rsidRPr="00104F4B" w:rsidRDefault="00BD0D2D" w:rsidP="00364859">
      <w:pPr>
        <w:pStyle w:val="Ttulo1"/>
        <w:rPr>
          <w:rFonts w:ascii="Arial" w:hAnsi="Arial" w:cs="Arial"/>
          <w:sz w:val="22"/>
          <w:szCs w:val="22"/>
        </w:rPr>
      </w:pPr>
      <w:bookmarkStart w:id="32" w:name="_Toc536195534"/>
      <w:r w:rsidRPr="00104F4B">
        <w:rPr>
          <w:rFonts w:ascii="Arial" w:hAnsi="Arial" w:cs="Arial"/>
          <w:sz w:val="22"/>
          <w:szCs w:val="22"/>
        </w:rPr>
        <w:t>3.3.3  Dificultades en la ejecución de la gestión a cargo</w:t>
      </w:r>
      <w:bookmarkEnd w:id="32"/>
    </w:p>
    <w:p w:rsidR="00BD0D2D" w:rsidRPr="00104F4B" w:rsidRDefault="00BD0D2D" w:rsidP="00BD0D2D">
      <w:pPr>
        <w:spacing w:before="0" w:after="160"/>
        <w:contextualSpacing/>
        <w:rPr>
          <w:rFonts w:cs="Arial"/>
          <w:szCs w:val="22"/>
        </w:rPr>
      </w:pPr>
      <w:r w:rsidRPr="00104F4B">
        <w:rPr>
          <w:rFonts w:cs="Arial"/>
          <w:szCs w:val="22"/>
        </w:rPr>
        <w:t xml:space="preserve">Aunque se ejecutaron efectivamente los temas presupuestales, técnicos, administrativos, legales y ambientales, durante la vigencia se presentaron algunas dificultades con los contratos interadministrativos del área debido a los tiempos de la ley de garantías por la elección presidencial. Esta situación ocasionó demoras en los trámites. En todo caso, la ejecución fue del 92% de acuerdo al presupuesto final.  </w:t>
      </w:r>
    </w:p>
    <w:p w:rsidR="00BD0D2D" w:rsidRPr="00104F4B" w:rsidRDefault="00BD0D2D" w:rsidP="00364859">
      <w:pPr>
        <w:pStyle w:val="Ttulo1"/>
        <w:rPr>
          <w:rFonts w:ascii="Arial" w:hAnsi="Arial" w:cs="Arial"/>
          <w:sz w:val="22"/>
          <w:szCs w:val="22"/>
        </w:rPr>
      </w:pPr>
      <w:bookmarkStart w:id="33" w:name="_Toc536195535"/>
      <w:r w:rsidRPr="00104F4B">
        <w:rPr>
          <w:rFonts w:ascii="Arial" w:hAnsi="Arial" w:cs="Arial"/>
          <w:sz w:val="22"/>
          <w:szCs w:val="22"/>
        </w:rPr>
        <w:t>3.3.4  Recomendaciones para mejoramiento de la gestión</w:t>
      </w:r>
      <w:bookmarkEnd w:id="33"/>
    </w:p>
    <w:p w:rsidR="00700491" w:rsidRPr="00104F4B" w:rsidRDefault="00BD0D2D" w:rsidP="00700491">
      <w:pPr>
        <w:spacing w:before="0" w:after="160"/>
        <w:contextualSpacing/>
        <w:rPr>
          <w:rFonts w:cs="Arial"/>
          <w:szCs w:val="22"/>
        </w:rPr>
      </w:pPr>
      <w:r w:rsidRPr="00104F4B">
        <w:rPr>
          <w:rFonts w:cs="Arial"/>
          <w:szCs w:val="22"/>
        </w:rPr>
        <w:t xml:space="preserve">Se recomienda seguir fortaleciendo a la Oficina Asesora de Comunicaciones como se ha venido haciendo, para poder seguir ofreciendo una oferta de valor relacionada con la comunicación  para la cotidianidad, la entrega permanente de cifras y contextos sobre la gestión, los avances del Plan </w:t>
      </w:r>
      <w:r w:rsidRPr="00104F4B">
        <w:rPr>
          <w:rFonts w:cs="Arial"/>
          <w:szCs w:val="22"/>
        </w:rPr>
        <w:lastRenderedPageBreak/>
        <w:t>de Desarrollo de la Administración Distrital y evidenciar la comunicación emocional que parte de la vivencia testimonial de los ciudadanos que destacan los atributos estratégicos de la Comunicación del IDU</w:t>
      </w:r>
      <w:r w:rsidR="00700491" w:rsidRPr="00104F4B">
        <w:rPr>
          <w:rFonts w:cs="Arial"/>
          <w:szCs w:val="22"/>
        </w:rPr>
        <w:t>.</w:t>
      </w:r>
    </w:p>
    <w:p w:rsidR="00700491" w:rsidRPr="00104F4B" w:rsidRDefault="00700491" w:rsidP="00364859">
      <w:pPr>
        <w:pStyle w:val="Ttulo1"/>
        <w:rPr>
          <w:rFonts w:ascii="Arial" w:hAnsi="Arial" w:cs="Arial"/>
          <w:sz w:val="22"/>
          <w:szCs w:val="22"/>
        </w:rPr>
      </w:pPr>
      <w:bookmarkStart w:id="34" w:name="_Toc536195536"/>
      <w:r w:rsidRPr="00104F4B">
        <w:rPr>
          <w:rFonts w:ascii="Arial" w:hAnsi="Arial" w:cs="Arial"/>
          <w:sz w:val="22"/>
          <w:szCs w:val="22"/>
        </w:rPr>
        <w:t>3.4 OFICINA DE CONTROL DISCIPLINARIO</w:t>
      </w:r>
      <w:bookmarkEnd w:id="34"/>
    </w:p>
    <w:p w:rsidR="000C122C" w:rsidRPr="00104F4B" w:rsidRDefault="00700491" w:rsidP="00364859">
      <w:pPr>
        <w:pStyle w:val="Ttulo1"/>
        <w:rPr>
          <w:rFonts w:ascii="Arial" w:hAnsi="Arial" w:cs="Arial"/>
          <w:sz w:val="22"/>
          <w:szCs w:val="22"/>
        </w:rPr>
      </w:pPr>
      <w:bookmarkStart w:id="35" w:name="_Toc536195537"/>
      <w:r w:rsidRPr="00104F4B">
        <w:rPr>
          <w:rFonts w:ascii="Arial" w:hAnsi="Arial" w:cs="Arial"/>
          <w:sz w:val="22"/>
          <w:szCs w:val="22"/>
        </w:rPr>
        <w:t>3.4.1 Gestiones a Cargo</w:t>
      </w:r>
      <w:bookmarkEnd w:id="35"/>
    </w:p>
    <w:p w:rsidR="00700491" w:rsidRPr="00104F4B" w:rsidRDefault="00700491" w:rsidP="00700491">
      <w:pPr>
        <w:autoSpaceDE w:val="0"/>
        <w:autoSpaceDN w:val="0"/>
        <w:adjustRightInd w:val="0"/>
        <w:spacing w:before="0"/>
        <w:contextualSpacing/>
        <w:rPr>
          <w:rFonts w:cs="Arial"/>
          <w:b/>
          <w:i/>
        </w:rPr>
      </w:pPr>
      <w:r w:rsidRPr="00104F4B">
        <w:rPr>
          <w:rFonts w:cs="Arial"/>
          <w:b/>
          <w:i/>
        </w:rPr>
        <w:t>Plan para la actualización y cumplimiento de términos de procesos disciplinarios de vigencias anteriores a 2018.</w:t>
      </w:r>
    </w:p>
    <w:p w:rsidR="00700491" w:rsidRPr="00104F4B" w:rsidRDefault="00700491" w:rsidP="00700491">
      <w:pPr>
        <w:autoSpaceDE w:val="0"/>
        <w:autoSpaceDN w:val="0"/>
        <w:adjustRightInd w:val="0"/>
        <w:rPr>
          <w:rFonts w:cs="Arial"/>
          <w:b/>
          <w:i/>
        </w:rPr>
      </w:pPr>
      <w:r w:rsidRPr="00104F4B">
        <w:rPr>
          <w:rFonts w:cs="Arial"/>
        </w:rPr>
        <w:t>Cumplido el plan de normalización del recurso profesional  requerido para atender los procesos disciplinarios para el 2018, se colocó como una de las metas a obtener,  el poner al día todas las investigaciones que se encontraron atrasadas a Julio de 2017 (en términos y/o decisiones a adoptar dentro de procesos Ordinarios y Verbales y que se encontraron vigentes en la OCD) impartiendo para ello  instrucciones,  lineamientos y listado de procesos priorizados para el caso, presentación y discusión de la forma en que tal plan  se concretaría, realizando periódicamente revisiones y análisis del estado de cada uno del total de procesos, colocando metas precisas y fechas concretas para la presentación de los  proyectos  y el tipo de decisiones que correspondiera en cada caso, fechas para revisar y  adoptar las decisiones correspondientes,   así como repartos equitativos de tales procesos y de los nuevos iban llegando y atendiéndose, para que estos de manera simultánea fueran adelantándose con estricto cumplimiento de los términos de ley.</w:t>
      </w:r>
    </w:p>
    <w:p w:rsidR="00700491" w:rsidRPr="00104F4B" w:rsidRDefault="00700491" w:rsidP="00700491">
      <w:pPr>
        <w:autoSpaceDE w:val="0"/>
        <w:autoSpaceDN w:val="0"/>
        <w:adjustRightInd w:val="0"/>
        <w:rPr>
          <w:rFonts w:cs="Arial"/>
          <w:b/>
          <w:i/>
          <w:szCs w:val="22"/>
        </w:rPr>
      </w:pPr>
      <w:r w:rsidRPr="00104F4B">
        <w:rPr>
          <w:rFonts w:cs="Arial"/>
          <w:szCs w:val="22"/>
        </w:rPr>
        <w:t xml:space="preserve">Es así como al inicio de la vigencia 2018 se encontraban activos y adelantándose </w:t>
      </w:r>
      <w:r w:rsidRPr="00104F4B">
        <w:rPr>
          <w:rFonts w:cs="Arial"/>
          <w:b/>
          <w:szCs w:val="22"/>
        </w:rPr>
        <w:t>138 procesos</w:t>
      </w:r>
      <w:r w:rsidRPr="00104F4B">
        <w:rPr>
          <w:rFonts w:cs="Arial"/>
          <w:szCs w:val="22"/>
        </w:rPr>
        <w:t xml:space="preserve"> (133 en primera instancia y 5 en segunda instancia.) Adicionalmente al número anterior, en la vigencia 2018 se iniciaron </w:t>
      </w:r>
      <w:r w:rsidRPr="00104F4B">
        <w:rPr>
          <w:rFonts w:cs="Arial"/>
          <w:b/>
          <w:szCs w:val="22"/>
        </w:rPr>
        <w:t xml:space="preserve">94 nuevos procesos disciplinarios </w:t>
      </w:r>
      <w:r w:rsidRPr="00104F4B">
        <w:rPr>
          <w:rFonts w:cs="Arial"/>
          <w:szCs w:val="22"/>
        </w:rPr>
        <w:t>(provenientes de quejas, informes, anónimos y remisiones por competencia).</w:t>
      </w:r>
      <w:r w:rsidRPr="00104F4B">
        <w:rPr>
          <w:rFonts w:cs="Arial"/>
          <w:b/>
          <w:i/>
          <w:szCs w:val="22"/>
        </w:rPr>
        <w:t xml:space="preserve"> </w:t>
      </w:r>
    </w:p>
    <w:p w:rsidR="00700491" w:rsidRPr="00104F4B" w:rsidRDefault="00700491" w:rsidP="00700491">
      <w:pPr>
        <w:autoSpaceDE w:val="0"/>
        <w:autoSpaceDN w:val="0"/>
        <w:adjustRightInd w:val="0"/>
        <w:rPr>
          <w:rFonts w:cs="Arial"/>
          <w:szCs w:val="22"/>
        </w:rPr>
      </w:pPr>
      <w:r w:rsidRPr="00104F4B">
        <w:rPr>
          <w:rFonts w:cs="Arial"/>
          <w:szCs w:val="22"/>
        </w:rPr>
        <w:t xml:space="preserve">Es importante indicar que en los últimos cuatro (4) años, este año es el que presenta mayor disminución de quejas, contra el IDU, que se haya allegado a esta Oficina. (más adelante se explicará este logro). </w:t>
      </w:r>
    </w:p>
    <w:p w:rsidR="00700491" w:rsidRPr="00104F4B" w:rsidRDefault="00700491" w:rsidP="0091299B">
      <w:pPr>
        <w:autoSpaceDE w:val="0"/>
        <w:autoSpaceDN w:val="0"/>
        <w:adjustRightInd w:val="0"/>
        <w:rPr>
          <w:rFonts w:cs="Arial"/>
          <w:szCs w:val="22"/>
        </w:rPr>
      </w:pPr>
      <w:r w:rsidRPr="00104F4B">
        <w:rPr>
          <w:rFonts w:cs="Arial"/>
          <w:szCs w:val="22"/>
        </w:rPr>
        <w:t>En resumen, durante esta vigencia, se logró atender y adelantar Doscientos treinta y dos (232) procesos disciplinarios, de los cuales se finalizaron Ciento cincuenta y cuatro (154) con diversas decisiones:   inhibitorios, anulados, fallos absolutorios y Archivos, quedando al cierre del 31 de diciembre, como procesos activos un numero de Setenta y un (71) procesos en primera instancia y siete (7) procesos en segunda instancia, como se explica en el siguiente gráfico:</w:t>
      </w:r>
    </w:p>
    <w:p w:rsidR="0091299B" w:rsidRPr="00104F4B" w:rsidRDefault="0091299B" w:rsidP="0091299B">
      <w:pPr>
        <w:autoSpaceDE w:val="0"/>
        <w:autoSpaceDN w:val="0"/>
        <w:adjustRightInd w:val="0"/>
        <w:jc w:val="center"/>
        <w:rPr>
          <w:rFonts w:cs="Arial"/>
          <w:szCs w:val="22"/>
        </w:rPr>
      </w:pPr>
      <w:r w:rsidRPr="00104F4B">
        <w:rPr>
          <w:rFonts w:cs="Arial"/>
          <w:noProof/>
          <w:lang w:val="es-CO" w:eastAsia="es-CO"/>
        </w:rPr>
        <w:lastRenderedPageBreak/>
        <w:drawing>
          <wp:inline distT="0" distB="0" distL="0" distR="0">
            <wp:extent cx="4672554" cy="2957886"/>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675035" cy="2959457"/>
                    </a:xfrm>
                    <a:prstGeom prst="rect">
                      <a:avLst/>
                    </a:prstGeom>
                    <a:noFill/>
                    <a:ln>
                      <a:noFill/>
                    </a:ln>
                  </pic:spPr>
                </pic:pic>
              </a:graphicData>
            </a:graphic>
          </wp:inline>
        </w:drawing>
      </w:r>
    </w:p>
    <w:p w:rsidR="00700491" w:rsidRPr="00104F4B" w:rsidRDefault="00E2205F" w:rsidP="00E2205F">
      <w:pPr>
        <w:autoSpaceDE w:val="0"/>
        <w:autoSpaceDN w:val="0"/>
        <w:adjustRightInd w:val="0"/>
        <w:spacing w:before="0"/>
        <w:contextualSpacing/>
        <w:rPr>
          <w:rFonts w:cs="Arial"/>
          <w:b/>
          <w:i/>
        </w:rPr>
      </w:pPr>
      <w:r w:rsidRPr="00104F4B">
        <w:rPr>
          <w:rFonts w:cs="Arial"/>
          <w:b/>
          <w:i/>
        </w:rPr>
        <w:t>Plan prevención de prescripción y caducidad de los procesos disciplinarios activos en la OCD</w:t>
      </w:r>
      <w:r w:rsidR="00700491" w:rsidRPr="00104F4B">
        <w:rPr>
          <w:rFonts w:cs="Arial"/>
          <w:b/>
          <w:i/>
        </w:rPr>
        <w:t xml:space="preserve"> </w:t>
      </w:r>
    </w:p>
    <w:p w:rsidR="00700491" w:rsidRPr="00104F4B" w:rsidRDefault="00700491" w:rsidP="00700491">
      <w:pPr>
        <w:autoSpaceDE w:val="0"/>
        <w:autoSpaceDN w:val="0"/>
        <w:adjustRightInd w:val="0"/>
        <w:rPr>
          <w:rFonts w:cs="Arial"/>
          <w:szCs w:val="22"/>
        </w:rPr>
      </w:pPr>
      <w:r w:rsidRPr="00104F4B">
        <w:rPr>
          <w:rFonts w:cs="Arial"/>
          <w:szCs w:val="22"/>
        </w:rPr>
        <w:t xml:space="preserve">Se adoptaron una serie de medidas y controles permanentes, tendientes a impedir la generación de este fenómeno jurídico: Esto exigió análisis, desarrollo probatorio de los procesos activos, a fin de establecer y determinar las fechas y términos de ocurrencia de los hechos, objeto de queja, a fin de una vez identificadas, priorizar las diligencias  adelantando el proceso disciplinario priorizado,  en el menor termino procesal y  reasignando de manera  inmediata aquellos procesos que se encontraran en el límite de términos y/o cuando se conocía la vinculación del abogado que le brindaba apoyo a gestión procesal. </w:t>
      </w:r>
    </w:p>
    <w:p w:rsidR="00700491" w:rsidRPr="00104F4B" w:rsidRDefault="00700491" w:rsidP="00700491">
      <w:pPr>
        <w:autoSpaceDE w:val="0"/>
        <w:autoSpaceDN w:val="0"/>
        <w:adjustRightInd w:val="0"/>
        <w:rPr>
          <w:rFonts w:cs="Arial"/>
          <w:szCs w:val="22"/>
        </w:rPr>
      </w:pPr>
      <w:r w:rsidRPr="00104F4B">
        <w:rPr>
          <w:rFonts w:cs="Arial"/>
          <w:szCs w:val="22"/>
        </w:rPr>
        <w:t>Obteniéndose como resultado que</w:t>
      </w:r>
      <w:r w:rsidRPr="00104F4B">
        <w:rPr>
          <w:rFonts w:cs="Arial"/>
          <w:b/>
          <w:szCs w:val="22"/>
        </w:rPr>
        <w:t xml:space="preserve"> </w:t>
      </w:r>
      <w:r w:rsidRPr="00104F4B">
        <w:rPr>
          <w:rFonts w:cs="Arial"/>
          <w:szCs w:val="22"/>
        </w:rPr>
        <w:t>en la presente vigencia no se presentaron casos de prescripción o caducidad, dentro de los 232 procesos que fueron atendidos.</w:t>
      </w:r>
    </w:p>
    <w:p w:rsidR="00700491" w:rsidRPr="00104F4B" w:rsidRDefault="00700491" w:rsidP="00700491">
      <w:pPr>
        <w:autoSpaceDE w:val="0"/>
        <w:autoSpaceDN w:val="0"/>
        <w:adjustRightInd w:val="0"/>
        <w:rPr>
          <w:rFonts w:cs="Arial"/>
          <w:szCs w:val="22"/>
        </w:rPr>
      </w:pPr>
    </w:p>
    <w:p w:rsidR="00700491" w:rsidRPr="00104F4B" w:rsidRDefault="00E2205F" w:rsidP="00E2205F">
      <w:pPr>
        <w:autoSpaceDE w:val="0"/>
        <w:autoSpaceDN w:val="0"/>
        <w:adjustRightInd w:val="0"/>
        <w:spacing w:before="0"/>
        <w:contextualSpacing/>
        <w:rPr>
          <w:rFonts w:cs="Arial"/>
          <w:b/>
          <w:i/>
        </w:rPr>
      </w:pPr>
      <w:r w:rsidRPr="00104F4B">
        <w:rPr>
          <w:rFonts w:cs="Arial"/>
          <w:b/>
          <w:i/>
        </w:rPr>
        <w:t>Plan identificación, trazabilidad y actualización dentro el sistema SID, de los procesos disciplinarios atendidos desde 2016</w:t>
      </w:r>
      <w:r w:rsidR="00700491" w:rsidRPr="00104F4B">
        <w:rPr>
          <w:rFonts w:cs="Arial"/>
          <w:b/>
          <w:i/>
        </w:rPr>
        <w:t xml:space="preserve">. </w:t>
      </w:r>
    </w:p>
    <w:p w:rsidR="00700491" w:rsidRPr="00104F4B" w:rsidRDefault="00700491" w:rsidP="00700491">
      <w:pPr>
        <w:autoSpaceDE w:val="0"/>
        <w:autoSpaceDN w:val="0"/>
        <w:adjustRightInd w:val="0"/>
        <w:rPr>
          <w:rFonts w:cs="Arial"/>
          <w:szCs w:val="22"/>
        </w:rPr>
      </w:pPr>
      <w:r w:rsidRPr="00104F4B">
        <w:rPr>
          <w:rFonts w:cs="Arial"/>
          <w:szCs w:val="22"/>
        </w:rPr>
        <w:t xml:space="preserve">Dado el estado de la información de las actuaciones procesales realizadas por la OCD, y que no se evidenciaban en el sistema de información disciplinaria de la Alcaldía de Bogotá (son de obligatorio cumplimiento para todas las oficinas disciplinarias del Distrito Capital) el cual se constituye en sistema espejo que hace las veces de expediente de copia de los expedientes que obran en documento físico, hubo la necesidad de identificar, inventariar, clasificar y alimentar este sistema, actualizándolo en orden cronológico con  todos los procesos y actuaciones procesales que no se encontraron reportados o con errores desde la vigencia 2016, en que se inició la presente administración. Ello exigió coordinación y dialogo permanente con la Dirección Disciplinaria de la Alcaldía quien de manera eficaz brindó sus conocimientos y accesos, para tal finalidad. </w:t>
      </w:r>
    </w:p>
    <w:p w:rsidR="00700491" w:rsidRPr="00104F4B" w:rsidRDefault="00700491" w:rsidP="00700491">
      <w:pPr>
        <w:autoSpaceDE w:val="0"/>
        <w:autoSpaceDN w:val="0"/>
        <w:adjustRightInd w:val="0"/>
        <w:rPr>
          <w:rFonts w:cs="Arial"/>
          <w:szCs w:val="22"/>
        </w:rPr>
      </w:pPr>
      <w:r w:rsidRPr="00104F4B">
        <w:rPr>
          <w:rFonts w:cs="Arial"/>
          <w:szCs w:val="22"/>
        </w:rPr>
        <w:t>Este sistema es una herramienta de control y seguridad, que es básica y fundamental para la reconstrucción de expedientes y/o actuaciones procesales adelantadas extraviadas, neutralizándose con ello y otras medidas adoptadas, al interior de esta oficina, el extravío de expedientes que en cualquier fecha se hayan atendido y/o adelantado en esta Oficina.</w:t>
      </w:r>
      <w:r w:rsidRPr="00104F4B">
        <w:rPr>
          <w:rFonts w:cs="Arial"/>
          <w:b/>
          <w:color w:val="000000" w:themeColor="text1"/>
          <w:szCs w:val="22"/>
        </w:rPr>
        <w:t xml:space="preserve"> </w:t>
      </w:r>
      <w:r w:rsidRPr="00104F4B">
        <w:rPr>
          <w:rFonts w:cs="Arial"/>
          <w:color w:val="000000" w:themeColor="text1"/>
          <w:szCs w:val="22"/>
        </w:rPr>
        <w:t>(Decretos Distritales 284 DE 204 Y 342 DE 2007)</w:t>
      </w:r>
    </w:p>
    <w:p w:rsidR="00700491" w:rsidRPr="00104F4B" w:rsidRDefault="00E2205F" w:rsidP="00E2205F">
      <w:pPr>
        <w:autoSpaceDE w:val="0"/>
        <w:autoSpaceDN w:val="0"/>
        <w:adjustRightInd w:val="0"/>
        <w:spacing w:before="0"/>
        <w:contextualSpacing/>
        <w:rPr>
          <w:rFonts w:cs="Arial"/>
          <w:b/>
          <w:i/>
        </w:rPr>
      </w:pPr>
      <w:r w:rsidRPr="00104F4B">
        <w:rPr>
          <w:rFonts w:cs="Arial"/>
          <w:b/>
          <w:i/>
        </w:rPr>
        <w:lastRenderedPageBreak/>
        <w:t>Creación de una base de información que permita conocer y controlar- en tiempo real- la atención y fechas procesales de cada proceso disciplinario, medir cargas de trabajo y actividades adelantadas por cada profesional.</w:t>
      </w:r>
    </w:p>
    <w:p w:rsidR="00700491" w:rsidRPr="00104F4B" w:rsidRDefault="00700491" w:rsidP="00700491">
      <w:pPr>
        <w:autoSpaceDE w:val="0"/>
        <w:autoSpaceDN w:val="0"/>
        <w:adjustRightInd w:val="0"/>
        <w:rPr>
          <w:rFonts w:cs="Arial"/>
          <w:szCs w:val="22"/>
        </w:rPr>
      </w:pPr>
      <w:r w:rsidRPr="00104F4B">
        <w:rPr>
          <w:rFonts w:cs="Arial"/>
          <w:szCs w:val="22"/>
        </w:rPr>
        <w:t>Se diseñó y se puso en funcionamiento una herramienta de control y seguimiento gerencial, que de manera individual e integral permite la revisión en tiempo real del adelantamiento de cada uno de los procesos que, desde este año, se atienden en la oficina. Ello permite evidenciar al detalle cada etapa del proceso, monitorear permanentemente el desarrollo de las diligencias, el cumplimiento de términos procesales por parte de cada abogado, en cada uno de los procesos que apoya, otorgando adicionalmente entre otras muchas ventajas, la Supervisión periódica de los contratos del personal a cargo de esta oficina.</w:t>
      </w:r>
    </w:p>
    <w:p w:rsidR="00700491" w:rsidRPr="00104F4B" w:rsidRDefault="00700491" w:rsidP="00700491">
      <w:pPr>
        <w:pStyle w:val="Prrafodelista"/>
        <w:autoSpaceDE w:val="0"/>
        <w:autoSpaceDN w:val="0"/>
        <w:adjustRightInd w:val="0"/>
        <w:rPr>
          <w:rFonts w:ascii="Arial" w:hAnsi="Arial" w:cs="Arial"/>
        </w:rPr>
      </w:pPr>
    </w:p>
    <w:p w:rsidR="00700491" w:rsidRPr="00104F4B" w:rsidRDefault="00E2205F" w:rsidP="00E2205F">
      <w:pPr>
        <w:autoSpaceDE w:val="0"/>
        <w:autoSpaceDN w:val="0"/>
        <w:adjustRightInd w:val="0"/>
        <w:spacing w:before="0"/>
        <w:contextualSpacing/>
        <w:rPr>
          <w:rFonts w:cs="Arial"/>
          <w:b/>
          <w:i/>
        </w:rPr>
      </w:pPr>
      <w:r w:rsidRPr="00104F4B">
        <w:rPr>
          <w:rFonts w:cs="Arial"/>
          <w:b/>
          <w:i/>
        </w:rPr>
        <w:t>Plan creación y/o actualización de formatos para diligencias y/o tareas procesales.</w:t>
      </w:r>
    </w:p>
    <w:p w:rsidR="00700491" w:rsidRPr="00104F4B" w:rsidRDefault="00700491" w:rsidP="00700491">
      <w:pPr>
        <w:autoSpaceDE w:val="0"/>
        <w:autoSpaceDN w:val="0"/>
        <w:adjustRightInd w:val="0"/>
        <w:rPr>
          <w:rFonts w:cs="Arial"/>
          <w:szCs w:val="22"/>
        </w:rPr>
      </w:pPr>
      <w:r w:rsidRPr="00104F4B">
        <w:rPr>
          <w:rFonts w:cs="Arial"/>
          <w:szCs w:val="22"/>
        </w:rPr>
        <w:t xml:space="preserve">Se adelantó en el segundo semestre, entre los profesionales del área, el personal administrativo, una serie de reuniones para inventariar, revisar y definir el contenido y forma de todas las actuaciones procesales comunes y/o afines a cualquier proceso disciplinario, con el objetivo de parametrizar, el adelantamiento y cumplimiento correcto, de tales tareas. Es así como se tiene debidamente aprobado su diseño y contenido, una serie de formatos (25), para cada actuación procesal que deba adelantarse en las investigaciones. </w:t>
      </w:r>
    </w:p>
    <w:p w:rsidR="00700491" w:rsidRPr="00104F4B" w:rsidRDefault="00700491" w:rsidP="00700491">
      <w:pPr>
        <w:pStyle w:val="Prrafodelista"/>
        <w:autoSpaceDE w:val="0"/>
        <w:autoSpaceDN w:val="0"/>
        <w:adjustRightInd w:val="0"/>
        <w:rPr>
          <w:rFonts w:ascii="Arial" w:hAnsi="Arial" w:cs="Arial"/>
        </w:rPr>
      </w:pPr>
    </w:p>
    <w:p w:rsidR="00700491" w:rsidRPr="00104F4B" w:rsidRDefault="00E2205F" w:rsidP="00E2205F">
      <w:pPr>
        <w:autoSpaceDE w:val="0"/>
        <w:autoSpaceDN w:val="0"/>
        <w:adjustRightInd w:val="0"/>
        <w:spacing w:before="0"/>
        <w:contextualSpacing/>
        <w:rPr>
          <w:rFonts w:cs="Arial"/>
          <w:b/>
          <w:i/>
        </w:rPr>
      </w:pPr>
      <w:r w:rsidRPr="00104F4B">
        <w:rPr>
          <w:rFonts w:cs="Arial"/>
          <w:b/>
          <w:i/>
        </w:rPr>
        <w:t>Plan de inventario y seguimiento a la ejecución de sanciones expedidas y creación del procedimiento para la ejecución de sanciones disciplinarias.</w:t>
      </w:r>
      <w:r w:rsidR="00700491" w:rsidRPr="00104F4B">
        <w:rPr>
          <w:rFonts w:cs="Arial"/>
          <w:b/>
          <w:i/>
        </w:rPr>
        <w:t xml:space="preserve"> </w:t>
      </w:r>
    </w:p>
    <w:p w:rsidR="00700491" w:rsidRPr="00104F4B" w:rsidRDefault="00700491" w:rsidP="00700491">
      <w:pPr>
        <w:autoSpaceDE w:val="0"/>
        <w:autoSpaceDN w:val="0"/>
        <w:adjustRightInd w:val="0"/>
        <w:rPr>
          <w:rFonts w:cs="Arial"/>
          <w:szCs w:val="22"/>
        </w:rPr>
      </w:pPr>
      <w:r w:rsidRPr="00104F4B">
        <w:rPr>
          <w:rFonts w:cs="Arial"/>
          <w:szCs w:val="22"/>
        </w:rPr>
        <w:t>A falta de información verificable y unificada, para obtener el inventario y la trazabilidad de todos los procesos por cada vigencia, tal fin se acudió a un rastreo y verificación de toda clase de información que obraba en los diferentes aplicativos, como el SID, sistema de carpetas compartidas y en los equipos de la oficina, con lo cual se pudo constatar el extravío de dos procesos y localización de la información correspondiente, que sirvió de base para su reconstrucción total y la continuación de la atención del trámite correspondiente.</w:t>
      </w:r>
    </w:p>
    <w:p w:rsidR="00700491" w:rsidRPr="00104F4B" w:rsidRDefault="00700491" w:rsidP="00700491">
      <w:pPr>
        <w:autoSpaceDE w:val="0"/>
        <w:autoSpaceDN w:val="0"/>
        <w:adjustRightInd w:val="0"/>
        <w:rPr>
          <w:rFonts w:cs="Arial"/>
          <w:szCs w:val="22"/>
        </w:rPr>
      </w:pPr>
      <w:r w:rsidRPr="00104F4B">
        <w:rPr>
          <w:rFonts w:cs="Arial"/>
          <w:szCs w:val="22"/>
        </w:rPr>
        <w:t xml:space="preserve">Es así como se creó un control de consulta y seguimiento, a los procesos atendidos y a las sanciones disciplinarias expedidas, con la información de su origen, instancias, fechas y estado de la ejecución, y a exigir que en los informes mensuales de los contratistas se indique que todos los procesos a los que les brinda apoyo, están reportados y actualizados, en el aplicativo SID. Igual exigencia se hace para el personal de planta, en las diversas situaciones administrativas que se presenten. </w:t>
      </w:r>
    </w:p>
    <w:p w:rsidR="00700491" w:rsidRPr="00104F4B" w:rsidRDefault="00700491" w:rsidP="00700491">
      <w:pPr>
        <w:autoSpaceDE w:val="0"/>
        <w:autoSpaceDN w:val="0"/>
        <w:adjustRightInd w:val="0"/>
        <w:rPr>
          <w:rFonts w:cs="Arial"/>
          <w:szCs w:val="22"/>
        </w:rPr>
      </w:pPr>
      <w:r w:rsidRPr="00104F4B">
        <w:rPr>
          <w:rFonts w:cs="Arial"/>
          <w:szCs w:val="22"/>
        </w:rPr>
        <w:t xml:space="preserve">La anterior información dio paso a que se desarrollara e implementara un procedimiento interno en el IDU para tal fin, el cual identificara de manera clara y delimitada cuáles dependencias del instituto, deben intervenir y/o participar activamente en la ejecución de las sanciones disciplinarias que se impongan, cuales son los tiempos y formalidades a cumplir etc. Delimitándose así las responsabilidades de las áreas intervinientes.  </w:t>
      </w:r>
    </w:p>
    <w:p w:rsidR="00700491" w:rsidRPr="00104F4B" w:rsidRDefault="00700491" w:rsidP="00700491">
      <w:pPr>
        <w:autoSpaceDE w:val="0"/>
        <w:autoSpaceDN w:val="0"/>
        <w:adjustRightInd w:val="0"/>
        <w:rPr>
          <w:rFonts w:cs="Arial"/>
          <w:szCs w:val="22"/>
        </w:rPr>
      </w:pPr>
      <w:r w:rsidRPr="00104F4B">
        <w:rPr>
          <w:rFonts w:cs="Arial"/>
          <w:szCs w:val="22"/>
        </w:rPr>
        <w:t>La Jefatura de esta oficina lideró junto a un profesional de la Oficina asesora de Planeación y otros profesionales representantes de las diferentes dependencias competentes, la construcción, aprobación y socialización de tal procedimiento, el cual quedó identificado como (</w:t>
      </w:r>
      <w:r w:rsidRPr="00104F4B">
        <w:rPr>
          <w:rFonts w:cs="Arial"/>
          <w:b/>
          <w:szCs w:val="22"/>
        </w:rPr>
        <w:t>PREC02_EJECUCION DE LA SANCION DISCIPLINARIA V_1.0</w:t>
      </w:r>
      <w:r w:rsidRPr="00104F4B">
        <w:rPr>
          <w:rFonts w:cs="Arial"/>
          <w:szCs w:val="22"/>
        </w:rPr>
        <w:t>).  Este ha sido objeto de socialización, en las capacitaciones realizadas en el IDU en la vigencia 2018 y se encuentra para ser consultado en Intranet.</w:t>
      </w:r>
    </w:p>
    <w:p w:rsidR="00700491" w:rsidRPr="00104F4B" w:rsidRDefault="00700491" w:rsidP="00700491">
      <w:pPr>
        <w:autoSpaceDE w:val="0"/>
        <w:autoSpaceDN w:val="0"/>
        <w:adjustRightInd w:val="0"/>
        <w:rPr>
          <w:rFonts w:cs="Arial"/>
          <w:szCs w:val="22"/>
        </w:rPr>
      </w:pPr>
      <w:r w:rsidRPr="00104F4B">
        <w:rPr>
          <w:rFonts w:cs="Arial"/>
          <w:szCs w:val="22"/>
        </w:rPr>
        <w:lastRenderedPageBreak/>
        <w:t xml:space="preserve">Este procedimiento es de vital importancia y se constituye no solo un logro particular para el IDU, sino también un hecho de relevancia disciplinaria a nivel del Distrito, dada la falencia que de él adolecen la mayoría de las entidades públicas. </w:t>
      </w:r>
    </w:p>
    <w:p w:rsidR="0044617D" w:rsidRPr="00104F4B" w:rsidRDefault="0044617D" w:rsidP="00E2205F">
      <w:pPr>
        <w:autoSpaceDE w:val="0"/>
        <w:autoSpaceDN w:val="0"/>
        <w:adjustRightInd w:val="0"/>
        <w:spacing w:before="0"/>
        <w:contextualSpacing/>
        <w:rPr>
          <w:rFonts w:cs="Arial"/>
          <w:b/>
          <w:i/>
        </w:rPr>
      </w:pPr>
    </w:p>
    <w:p w:rsidR="00700491" w:rsidRPr="00104F4B" w:rsidRDefault="00E2205F" w:rsidP="00E2205F">
      <w:pPr>
        <w:autoSpaceDE w:val="0"/>
        <w:autoSpaceDN w:val="0"/>
        <w:adjustRightInd w:val="0"/>
        <w:spacing w:before="0"/>
        <w:contextualSpacing/>
        <w:rPr>
          <w:rFonts w:cs="Arial"/>
          <w:b/>
          <w:i/>
        </w:rPr>
      </w:pPr>
      <w:r w:rsidRPr="00104F4B">
        <w:rPr>
          <w:rFonts w:cs="Arial"/>
          <w:b/>
          <w:i/>
        </w:rPr>
        <w:t>Diseño, creación y administración del expediente virtual</w:t>
      </w:r>
      <w:r w:rsidR="00700491" w:rsidRPr="00104F4B">
        <w:rPr>
          <w:rFonts w:cs="Arial"/>
          <w:b/>
          <w:i/>
        </w:rPr>
        <w:t xml:space="preserve">. </w:t>
      </w:r>
    </w:p>
    <w:p w:rsidR="00700491" w:rsidRPr="00104F4B" w:rsidRDefault="00700491" w:rsidP="00700491">
      <w:pPr>
        <w:autoSpaceDE w:val="0"/>
        <w:autoSpaceDN w:val="0"/>
        <w:adjustRightInd w:val="0"/>
        <w:rPr>
          <w:rFonts w:cs="Arial"/>
          <w:szCs w:val="22"/>
        </w:rPr>
      </w:pPr>
      <w:r w:rsidRPr="00104F4B">
        <w:rPr>
          <w:rFonts w:cs="Arial"/>
          <w:szCs w:val="22"/>
        </w:rPr>
        <w:t>Se gestionó y creó la carpeta digital compartida, utilizándose la información escaneada, que reposa tanto en el sistema SID3 (sistema de información disciplinaria del Distrito) como de todas las actuaciones procesales, que obran dentro de cada carpeta física, de cada uno de procesos disciplinarios que atiende la Oficina. (actualmente se encuentra para revisión y ajustes respecto al acceso y reserva de la información).</w:t>
      </w:r>
    </w:p>
    <w:p w:rsidR="00700491" w:rsidRPr="00104F4B" w:rsidRDefault="00700491" w:rsidP="00700491">
      <w:pPr>
        <w:autoSpaceDE w:val="0"/>
        <w:autoSpaceDN w:val="0"/>
        <w:adjustRightInd w:val="0"/>
        <w:rPr>
          <w:rFonts w:cs="Arial"/>
          <w:b/>
          <w:bCs/>
          <w:szCs w:val="22"/>
        </w:rPr>
      </w:pPr>
    </w:p>
    <w:p w:rsidR="00700491" w:rsidRPr="00104F4B" w:rsidRDefault="00E2205F" w:rsidP="00E2205F">
      <w:pPr>
        <w:autoSpaceDE w:val="0"/>
        <w:autoSpaceDN w:val="0"/>
        <w:adjustRightInd w:val="0"/>
        <w:spacing w:before="0"/>
        <w:contextualSpacing/>
        <w:rPr>
          <w:rFonts w:cs="Arial"/>
          <w:b/>
          <w:i/>
        </w:rPr>
      </w:pPr>
      <w:r w:rsidRPr="00104F4B">
        <w:rPr>
          <w:rFonts w:cs="Arial"/>
          <w:b/>
          <w:i/>
        </w:rPr>
        <w:t>Plan atención integral de atención a funciones transversales.</w:t>
      </w:r>
    </w:p>
    <w:p w:rsidR="00700491" w:rsidRPr="00104F4B" w:rsidRDefault="00700491" w:rsidP="00700491">
      <w:pPr>
        <w:autoSpaceDE w:val="0"/>
        <w:autoSpaceDN w:val="0"/>
        <w:adjustRightInd w:val="0"/>
        <w:rPr>
          <w:rFonts w:cs="Arial"/>
          <w:szCs w:val="22"/>
        </w:rPr>
      </w:pPr>
      <w:r w:rsidRPr="00104F4B">
        <w:rPr>
          <w:rFonts w:cs="Arial"/>
          <w:szCs w:val="22"/>
        </w:rPr>
        <w:t xml:space="preserve">Las funciones como </w:t>
      </w:r>
      <w:r w:rsidR="00E2205F" w:rsidRPr="00104F4B">
        <w:rPr>
          <w:rFonts w:cs="Arial"/>
          <w:szCs w:val="22"/>
        </w:rPr>
        <w:t xml:space="preserve">gestión de </w:t>
      </w:r>
      <w:r w:rsidRPr="00104F4B">
        <w:rPr>
          <w:rFonts w:cs="Arial"/>
          <w:szCs w:val="22"/>
        </w:rPr>
        <w:t xml:space="preserve">calidad, mapa de riesgos, indicadores de gestión, mejoramiento, Índice de transparencia, Política anti-soborno, Derechos de petición, etc.  etc. Lo anterior fue atendido de manera eficiente y eficaz, en el lapso de la presente vigencia, entre un profesional de planta (provisional) y un contratista que lidera la contratación interna de varias dependencias, entre ellas esta oficina. Todo ello con el propósito de que tales conocimientos y prácticas, queden como un activo de conocimiento e información, en la cadena del personal de mayor permanencia en esta área. Permitiéndole a la Oficina, que la curva de aprendizaje y practica desarrollada para estos temas, no se pierda por los movimientos de personal y que, con ello, no se impacte negativamente el control y ejecución de tales funciones comunes, que deben ser atendidas por todas las dependencias. Ello exigió una serie de actuaciones y tareas para atenderse, entre ellas levantar un inventario y calendario con fechas fijas o aproximadas en algunos casos, en que tales proyectos de informes, respuestas o estudios debían ser atendidas, los componentes de los mismos, y quien era el encargado de coordinar cada uno de ellos, debiéndose presentar a revisión de la jefatura en un término previo a la fecha de cumplimiento y envió a la dependencia o entidad que se tratare. </w:t>
      </w:r>
    </w:p>
    <w:p w:rsidR="00700491" w:rsidRPr="00104F4B" w:rsidRDefault="00700491" w:rsidP="00700491">
      <w:pPr>
        <w:autoSpaceDE w:val="0"/>
        <w:autoSpaceDN w:val="0"/>
        <w:adjustRightInd w:val="0"/>
        <w:rPr>
          <w:rFonts w:cs="Arial"/>
          <w:szCs w:val="22"/>
        </w:rPr>
      </w:pPr>
      <w:r w:rsidRPr="00104F4B">
        <w:rPr>
          <w:rFonts w:cs="Arial"/>
          <w:szCs w:val="22"/>
        </w:rPr>
        <w:t>Entre las diferentes funciones que se atendieron, en este punto, se atendió el diseño, control y evaluación del cumplimiento de los Indicadores de Gestión, los cuales permiten medir de una manera objetiva y real, el cumplimiento de las metas de las acciones preventivas a que se comprometió la oficina, para este mismo periodo:</w:t>
      </w:r>
    </w:p>
    <w:p w:rsidR="00700491" w:rsidRPr="00104F4B" w:rsidRDefault="00700491" w:rsidP="00700491">
      <w:pPr>
        <w:autoSpaceDE w:val="0"/>
        <w:autoSpaceDN w:val="0"/>
        <w:adjustRightInd w:val="0"/>
        <w:rPr>
          <w:rFonts w:cs="Arial"/>
          <w:szCs w:val="22"/>
        </w:rPr>
      </w:pPr>
    </w:p>
    <w:p w:rsidR="00700491" w:rsidRPr="00104F4B" w:rsidRDefault="00700491" w:rsidP="002625A5">
      <w:pPr>
        <w:pStyle w:val="Prrafodelista"/>
        <w:numPr>
          <w:ilvl w:val="0"/>
          <w:numId w:val="33"/>
        </w:numPr>
        <w:spacing w:before="0" w:after="160" w:line="259" w:lineRule="auto"/>
        <w:contextualSpacing/>
        <w:rPr>
          <w:rFonts w:ascii="Arial" w:hAnsi="Arial" w:cs="Arial"/>
        </w:rPr>
      </w:pPr>
      <w:r w:rsidRPr="00104F4B">
        <w:rPr>
          <w:rFonts w:ascii="Arial" w:hAnsi="Arial" w:cs="Arial"/>
        </w:rPr>
        <w:t>Se impartieron más de catorce (14) Capacitaciones Disciplinarias en temas de interés estratégico para los diferentes niveles de cada grupo asistente, teniendo en cuanta en algunos casos requerimientos puntuales efectuados por las áreas u originados en los riesgos detectados a lo largo de diferentes procesos disciplinarios atendidos. Es así como a lo largo de este año, se dictaron diez (10) capacitaciones con una intensidad de dos y media horas, en sesiones de una por mes, donde se logró capacitar Seiscientos setenta y siete (677) funcionarios y/o contratistas, a lo largo del año. Sumándose a estas las capacitaciones atendidas dentro del ciclo de Inducciones, (aprox.6), para nuevos servidores y/o contratistas vinculados al IDU, lo largo del periodo las cuales fueron requeridas por la Subdirección Técnica de Recursos Humanos.</w:t>
      </w:r>
    </w:p>
    <w:p w:rsidR="00700491" w:rsidRPr="00104F4B" w:rsidRDefault="00700491" w:rsidP="002625A5">
      <w:pPr>
        <w:pStyle w:val="Prrafodelista"/>
        <w:numPr>
          <w:ilvl w:val="0"/>
          <w:numId w:val="33"/>
        </w:numPr>
        <w:rPr>
          <w:rFonts w:ascii="Arial" w:hAnsi="Arial" w:cs="Arial"/>
        </w:rPr>
      </w:pPr>
      <w:r w:rsidRPr="00104F4B">
        <w:rPr>
          <w:rFonts w:ascii="Arial" w:hAnsi="Arial" w:cs="Arial"/>
        </w:rPr>
        <w:t>Es de anotar el   apoyo y acompañamiento, de la Dirección Distrital de Asuntos Disciplinarios de la Alcaldía Mayor de Bogotá, en algunas de estas capacitaciones brindadas sobre Responsabilidad disciplinaria de quienes realizan la Supervisión y/o Coordinación a la Interventoría de contratos y Contratos de obra.</w:t>
      </w:r>
    </w:p>
    <w:p w:rsidR="00700491" w:rsidRPr="00104F4B" w:rsidRDefault="00700491" w:rsidP="002625A5">
      <w:pPr>
        <w:pStyle w:val="Prrafodelista"/>
        <w:numPr>
          <w:ilvl w:val="0"/>
          <w:numId w:val="33"/>
        </w:numPr>
        <w:spacing w:before="0" w:after="160" w:line="259" w:lineRule="auto"/>
        <w:contextualSpacing/>
        <w:rPr>
          <w:rFonts w:ascii="Arial" w:hAnsi="Arial" w:cs="Arial"/>
        </w:rPr>
      </w:pPr>
      <w:r w:rsidRPr="00104F4B">
        <w:rPr>
          <w:rFonts w:ascii="Arial" w:hAnsi="Arial" w:cs="Arial"/>
        </w:rPr>
        <w:lastRenderedPageBreak/>
        <w:t xml:space="preserve">Se elaboraron y remitieron quince (15) Informes con Recomendaciones Disciplinarias* elaborados y remitidos a diferentes dependencias del IDU, evidenciadas en riesgos detectados, a lo largo de algunos de los procesos atendidos, así: </w:t>
      </w:r>
    </w:p>
    <w:p w:rsidR="00700491" w:rsidRPr="00104F4B" w:rsidRDefault="00700491" w:rsidP="00700491">
      <w:pPr>
        <w:pStyle w:val="Prrafodelista"/>
        <w:rPr>
          <w:rFonts w:ascii="Arial" w:hAnsi="Arial" w:cs="Arial"/>
        </w:rPr>
      </w:pPr>
    </w:p>
    <w:p w:rsidR="00700491" w:rsidRPr="00104F4B" w:rsidRDefault="00700491" w:rsidP="0044617D">
      <w:pPr>
        <w:pStyle w:val="Prrafodelista"/>
        <w:spacing w:before="0"/>
        <w:ind w:left="1797"/>
        <w:rPr>
          <w:rFonts w:ascii="Arial" w:hAnsi="Arial" w:cs="Arial"/>
        </w:rPr>
      </w:pPr>
      <w:r w:rsidRPr="00104F4B">
        <w:rPr>
          <w:rFonts w:ascii="Arial" w:hAnsi="Arial" w:cs="Arial"/>
        </w:rPr>
        <w:t>Dirección Técnica de Gestión Judicial: 1</w:t>
      </w:r>
    </w:p>
    <w:p w:rsidR="00700491" w:rsidRPr="00104F4B" w:rsidRDefault="00700491" w:rsidP="0044617D">
      <w:pPr>
        <w:pStyle w:val="Prrafodelista"/>
        <w:spacing w:before="0"/>
        <w:ind w:left="1797"/>
        <w:rPr>
          <w:rFonts w:ascii="Arial" w:hAnsi="Arial" w:cs="Arial"/>
        </w:rPr>
      </w:pPr>
      <w:r w:rsidRPr="00104F4B">
        <w:rPr>
          <w:rFonts w:ascii="Arial" w:hAnsi="Arial" w:cs="Arial"/>
        </w:rPr>
        <w:t>Subdirección Técnica de Recursos Físicos: 2</w:t>
      </w:r>
    </w:p>
    <w:p w:rsidR="00700491" w:rsidRPr="00104F4B" w:rsidRDefault="00700491" w:rsidP="0044617D">
      <w:pPr>
        <w:pStyle w:val="Prrafodelista"/>
        <w:spacing w:before="0"/>
        <w:ind w:left="1797"/>
        <w:rPr>
          <w:rFonts w:ascii="Arial" w:hAnsi="Arial" w:cs="Arial"/>
        </w:rPr>
      </w:pPr>
      <w:r w:rsidRPr="00104F4B">
        <w:rPr>
          <w:rFonts w:ascii="Arial" w:hAnsi="Arial" w:cs="Arial"/>
        </w:rPr>
        <w:t>Dirección Técnica de Construcciones: 1</w:t>
      </w:r>
    </w:p>
    <w:p w:rsidR="00700491" w:rsidRPr="00104F4B" w:rsidRDefault="00700491" w:rsidP="0044617D">
      <w:pPr>
        <w:pStyle w:val="Prrafodelista"/>
        <w:spacing w:before="0"/>
        <w:ind w:left="1797"/>
        <w:rPr>
          <w:rFonts w:ascii="Arial" w:hAnsi="Arial" w:cs="Arial"/>
        </w:rPr>
      </w:pPr>
      <w:r w:rsidRPr="00104F4B">
        <w:rPr>
          <w:rFonts w:ascii="Arial" w:hAnsi="Arial" w:cs="Arial"/>
        </w:rPr>
        <w:t>Dirección Técnica de Predios: 3</w:t>
      </w:r>
    </w:p>
    <w:p w:rsidR="00700491" w:rsidRPr="00104F4B" w:rsidRDefault="00700491" w:rsidP="0044617D">
      <w:pPr>
        <w:pStyle w:val="Prrafodelista"/>
        <w:spacing w:before="0"/>
        <w:ind w:left="1797"/>
        <w:rPr>
          <w:rFonts w:ascii="Arial" w:hAnsi="Arial" w:cs="Arial"/>
        </w:rPr>
      </w:pPr>
      <w:r w:rsidRPr="00104F4B">
        <w:rPr>
          <w:rFonts w:ascii="Arial" w:hAnsi="Arial" w:cs="Arial"/>
        </w:rPr>
        <w:t>Subdirección Técnica de Recursos Humanos: 2</w:t>
      </w:r>
    </w:p>
    <w:p w:rsidR="00700491" w:rsidRPr="00104F4B" w:rsidRDefault="00700491" w:rsidP="0044617D">
      <w:pPr>
        <w:pStyle w:val="Prrafodelista"/>
        <w:spacing w:before="0"/>
        <w:ind w:left="1797"/>
        <w:rPr>
          <w:rFonts w:ascii="Arial" w:hAnsi="Arial" w:cs="Arial"/>
        </w:rPr>
      </w:pPr>
      <w:r w:rsidRPr="00104F4B">
        <w:rPr>
          <w:rFonts w:ascii="Arial" w:hAnsi="Arial" w:cs="Arial"/>
        </w:rPr>
        <w:t>Subdirección Técnica Jurídica y de Ejecuciones Fiscales: 1</w:t>
      </w:r>
    </w:p>
    <w:p w:rsidR="00700491" w:rsidRPr="00104F4B" w:rsidRDefault="00700491" w:rsidP="0044617D">
      <w:pPr>
        <w:pStyle w:val="Prrafodelista"/>
        <w:spacing w:before="0"/>
        <w:ind w:left="1797"/>
        <w:rPr>
          <w:rFonts w:ascii="Arial" w:hAnsi="Arial" w:cs="Arial"/>
        </w:rPr>
      </w:pPr>
      <w:r w:rsidRPr="00104F4B">
        <w:rPr>
          <w:rFonts w:ascii="Arial" w:hAnsi="Arial" w:cs="Arial"/>
        </w:rPr>
        <w:t>Subdirección Técnica de Presupuesto y Contabilidad: 1</w:t>
      </w:r>
    </w:p>
    <w:p w:rsidR="00700491" w:rsidRPr="00104F4B" w:rsidRDefault="00700491" w:rsidP="0044617D">
      <w:pPr>
        <w:pStyle w:val="Prrafodelista"/>
        <w:spacing w:before="0"/>
        <w:ind w:left="1797"/>
        <w:rPr>
          <w:rFonts w:ascii="Arial" w:hAnsi="Arial" w:cs="Arial"/>
        </w:rPr>
      </w:pPr>
      <w:r w:rsidRPr="00104F4B">
        <w:rPr>
          <w:rFonts w:ascii="Arial" w:hAnsi="Arial" w:cs="Arial"/>
        </w:rPr>
        <w:t>Subdirección Técnica de Recursos Tecnológicos: 1</w:t>
      </w:r>
    </w:p>
    <w:p w:rsidR="00700491" w:rsidRPr="00104F4B" w:rsidRDefault="00700491" w:rsidP="0044617D">
      <w:pPr>
        <w:pStyle w:val="Prrafodelista"/>
        <w:spacing w:before="0"/>
        <w:ind w:left="1797"/>
        <w:rPr>
          <w:rFonts w:ascii="Arial" w:hAnsi="Arial" w:cs="Arial"/>
        </w:rPr>
      </w:pPr>
      <w:r w:rsidRPr="00104F4B">
        <w:rPr>
          <w:rFonts w:ascii="Arial" w:hAnsi="Arial" w:cs="Arial"/>
        </w:rPr>
        <w:t>Dirección Técnica de Gestión Contractual: 1</w:t>
      </w:r>
    </w:p>
    <w:p w:rsidR="00700491" w:rsidRPr="00104F4B" w:rsidRDefault="00700491" w:rsidP="0044617D">
      <w:pPr>
        <w:pStyle w:val="Prrafodelista"/>
        <w:spacing w:before="0"/>
        <w:ind w:left="1797"/>
        <w:rPr>
          <w:rFonts w:ascii="Arial" w:hAnsi="Arial" w:cs="Arial"/>
        </w:rPr>
      </w:pPr>
      <w:r w:rsidRPr="00104F4B">
        <w:rPr>
          <w:rFonts w:ascii="Arial" w:hAnsi="Arial" w:cs="Arial"/>
        </w:rPr>
        <w:t>Oficina Asesora de Planeación: 1</w:t>
      </w:r>
    </w:p>
    <w:p w:rsidR="00700491" w:rsidRPr="00104F4B" w:rsidRDefault="00700491" w:rsidP="0044617D">
      <w:pPr>
        <w:pStyle w:val="Prrafodelista"/>
        <w:spacing w:before="0"/>
        <w:ind w:left="1797"/>
        <w:rPr>
          <w:rFonts w:ascii="Arial" w:hAnsi="Arial" w:cs="Arial"/>
        </w:rPr>
      </w:pPr>
      <w:r w:rsidRPr="00104F4B">
        <w:rPr>
          <w:rFonts w:ascii="Arial" w:hAnsi="Arial" w:cs="Arial"/>
        </w:rPr>
        <w:t>Subdirección General de Gestión Corporativa: 1</w:t>
      </w:r>
    </w:p>
    <w:p w:rsidR="0044617D" w:rsidRPr="00104F4B" w:rsidRDefault="00E2205F" w:rsidP="0044617D">
      <w:pPr>
        <w:rPr>
          <w:rFonts w:cs="Arial"/>
          <w:i/>
          <w:sz w:val="16"/>
          <w:szCs w:val="16"/>
        </w:rPr>
      </w:pPr>
      <w:r w:rsidRPr="00104F4B">
        <w:rPr>
          <w:rFonts w:cs="Arial"/>
          <w:sz w:val="16"/>
          <w:szCs w:val="16"/>
        </w:rPr>
        <w:t xml:space="preserve"> </w:t>
      </w:r>
      <w:r w:rsidR="00700491" w:rsidRPr="00104F4B">
        <w:rPr>
          <w:rFonts w:cs="Arial"/>
          <w:sz w:val="16"/>
          <w:szCs w:val="16"/>
        </w:rPr>
        <w:t xml:space="preserve">  *</w:t>
      </w:r>
      <w:r w:rsidR="00700491" w:rsidRPr="00104F4B">
        <w:rPr>
          <w:rFonts w:cs="Arial"/>
          <w:i/>
          <w:sz w:val="16"/>
          <w:szCs w:val="16"/>
        </w:rPr>
        <w:t>Es importante señalar, que todas las a</w:t>
      </w:r>
      <w:r w:rsidRPr="00104F4B">
        <w:rPr>
          <w:rFonts w:cs="Arial"/>
          <w:i/>
          <w:sz w:val="16"/>
          <w:szCs w:val="16"/>
        </w:rPr>
        <w:t>nteriores recomendaciones fueron r</w:t>
      </w:r>
      <w:r w:rsidR="00700491" w:rsidRPr="00104F4B">
        <w:rPr>
          <w:rFonts w:cs="Arial"/>
          <w:i/>
          <w:sz w:val="16"/>
          <w:szCs w:val="16"/>
        </w:rPr>
        <w:t>ecopiladas y remitidas con m</w:t>
      </w:r>
      <w:r w:rsidR="0044617D" w:rsidRPr="00104F4B">
        <w:rPr>
          <w:rFonts w:cs="Arial"/>
          <w:i/>
          <w:sz w:val="16"/>
          <w:szCs w:val="16"/>
        </w:rPr>
        <w:t>emorando a la Dirección General.</w:t>
      </w:r>
    </w:p>
    <w:p w:rsidR="00E2205F" w:rsidRPr="00104F4B" w:rsidRDefault="00E2205F" w:rsidP="0044617D">
      <w:pPr>
        <w:rPr>
          <w:rFonts w:cs="Arial"/>
          <w:i/>
          <w:sz w:val="16"/>
          <w:szCs w:val="16"/>
        </w:rPr>
      </w:pPr>
      <w:r w:rsidRPr="00104F4B">
        <w:rPr>
          <w:rFonts w:cs="Arial"/>
          <w:b/>
          <w:i/>
        </w:rPr>
        <w:t>Flash Disciplinario</w:t>
      </w:r>
    </w:p>
    <w:p w:rsidR="00700491" w:rsidRPr="00104F4B" w:rsidRDefault="00700491" w:rsidP="00E2205F">
      <w:pPr>
        <w:autoSpaceDE w:val="0"/>
        <w:autoSpaceDN w:val="0"/>
        <w:adjustRightInd w:val="0"/>
        <w:rPr>
          <w:rFonts w:cs="Arial"/>
          <w:szCs w:val="22"/>
        </w:rPr>
      </w:pPr>
      <w:r w:rsidRPr="00104F4B">
        <w:rPr>
          <w:rFonts w:cs="Arial"/>
          <w:szCs w:val="22"/>
        </w:rPr>
        <w:t>Se diseñaron y publicaron veintisiete (27) Flash Disciplinarios, los que fueron socializados desde esta Oficina a todo el personal del IDU, atreves del correo Institucional, con temas de interés puntual para los servidores y /o las áreas.</w:t>
      </w:r>
    </w:p>
    <w:p w:rsidR="00700491" w:rsidRPr="00104F4B" w:rsidRDefault="00E2205F" w:rsidP="00E2205F">
      <w:pPr>
        <w:autoSpaceDE w:val="0"/>
        <w:autoSpaceDN w:val="0"/>
        <w:adjustRightInd w:val="0"/>
        <w:rPr>
          <w:rFonts w:cs="Arial"/>
          <w:b/>
          <w:i/>
          <w:szCs w:val="22"/>
        </w:rPr>
      </w:pPr>
      <w:r w:rsidRPr="00104F4B">
        <w:rPr>
          <w:rFonts w:cs="Arial"/>
          <w:b/>
          <w:i/>
          <w:szCs w:val="22"/>
        </w:rPr>
        <w:t>Plan de obtención del recurso humano acorde a las funciones que debe cumplir la OCD</w:t>
      </w:r>
      <w:r w:rsidR="00700491" w:rsidRPr="00104F4B">
        <w:rPr>
          <w:rFonts w:cs="Arial"/>
          <w:b/>
          <w:i/>
          <w:szCs w:val="22"/>
        </w:rPr>
        <w:t xml:space="preserve">. </w:t>
      </w:r>
    </w:p>
    <w:p w:rsidR="00700491" w:rsidRPr="00104F4B" w:rsidRDefault="00700491" w:rsidP="00700491">
      <w:pPr>
        <w:autoSpaceDE w:val="0"/>
        <w:autoSpaceDN w:val="0"/>
        <w:adjustRightInd w:val="0"/>
        <w:rPr>
          <w:rFonts w:cs="Arial"/>
          <w:szCs w:val="22"/>
        </w:rPr>
      </w:pPr>
      <w:r w:rsidRPr="00104F4B">
        <w:rPr>
          <w:rFonts w:cs="Arial"/>
          <w:szCs w:val="22"/>
        </w:rPr>
        <w:t xml:space="preserve">Este plan fue diseñado como la primera medida a avocar, con el fin de suplir la deficiencia del recurso profesional idóneo, que presentaba la Oficina, para atender y adelantar los procesos, algunos de los cuales se encontraban en riesgo de vencimientos de términos.  Es así como a falta de cargos de planta y/o su vacancia, por diferentes motivos de índole administrativa, se obtuvo la contratación de cinco (5) profesionales abogados especializados, un (1) técnico y la continuidad de una (1) auxiliar administrativa, que venía laborando en esta oficina. </w:t>
      </w:r>
    </w:p>
    <w:p w:rsidR="00700491" w:rsidRPr="00104F4B" w:rsidRDefault="00700491" w:rsidP="00700491">
      <w:pPr>
        <w:autoSpaceDE w:val="0"/>
        <w:autoSpaceDN w:val="0"/>
        <w:adjustRightInd w:val="0"/>
        <w:rPr>
          <w:rFonts w:cs="Arial"/>
          <w:szCs w:val="22"/>
        </w:rPr>
      </w:pPr>
      <w:r w:rsidRPr="00104F4B">
        <w:rPr>
          <w:rFonts w:cs="Arial"/>
          <w:szCs w:val="22"/>
        </w:rPr>
        <w:t xml:space="preserve">Adicionalmente se gestionó el nombramiento en cualquier figura administrativa la provisión en los dos cargos de planta existentes para profesionales universitarios, los cuales finalmente fueron ocupados uno en “provisionalidad” y el otro “en encargo”, este último presentó dos situaciones administrativas,  la primera es el nombramiento en “encargo”, por seis meses, hasta el 16/02/2018; fecha en que regreso a su cargo original en otra área y nuevamente se le volvió a nombrar “en encargo” desde el 10/10/2018. Actualmente ambos profesionales se encuentran en periodo de aprendizaje especializado disciplinario. </w:t>
      </w:r>
    </w:p>
    <w:p w:rsidR="00700491" w:rsidRPr="00104F4B" w:rsidRDefault="00700491" w:rsidP="00700491">
      <w:pPr>
        <w:autoSpaceDE w:val="0"/>
        <w:autoSpaceDN w:val="0"/>
        <w:adjustRightInd w:val="0"/>
        <w:rPr>
          <w:rFonts w:cs="Arial"/>
          <w:szCs w:val="22"/>
        </w:rPr>
      </w:pPr>
      <w:r w:rsidRPr="00104F4B">
        <w:rPr>
          <w:rFonts w:cs="Arial"/>
          <w:szCs w:val="22"/>
        </w:rPr>
        <w:t>En este mismo periodo se nombró en el único cargo que tienen esta Oficina de profesional especializado- seleccionado por concurso público-  un abogado, que estuvo vinculado del 01/02/2018 al 31/10/2018., fecha en que renunció para posesionarse en un cargo de mayor jerarquía, en otra entidad. Actualmente dicho cargo, se haya vacante.</w:t>
      </w:r>
    </w:p>
    <w:p w:rsidR="00700491" w:rsidRPr="00104F4B" w:rsidRDefault="00700491" w:rsidP="00700491">
      <w:pPr>
        <w:autoSpaceDE w:val="0"/>
        <w:autoSpaceDN w:val="0"/>
        <w:adjustRightInd w:val="0"/>
        <w:rPr>
          <w:rFonts w:cs="Arial"/>
          <w:szCs w:val="22"/>
        </w:rPr>
      </w:pPr>
      <w:r w:rsidRPr="00104F4B">
        <w:rPr>
          <w:rFonts w:cs="Arial"/>
          <w:szCs w:val="22"/>
        </w:rPr>
        <w:t xml:space="preserve">Con el mínimo de personal antes relacionado, que por periodos intermitentes ha contado esta área, se trabaja con mucha planeación y organización, debiéndose priorizar aquellas tareas y proyectos de mayor impacto estratégico y aplazando aquellos que no se pueden asumir, hasta que se obtenga nuevas vinculaciones. </w:t>
      </w:r>
    </w:p>
    <w:p w:rsidR="00700491" w:rsidRPr="00104F4B" w:rsidRDefault="00E2205F" w:rsidP="00E2205F">
      <w:pPr>
        <w:autoSpaceDE w:val="0"/>
        <w:autoSpaceDN w:val="0"/>
        <w:adjustRightInd w:val="0"/>
        <w:rPr>
          <w:rFonts w:cs="Arial"/>
          <w:b/>
          <w:i/>
          <w:szCs w:val="22"/>
        </w:rPr>
      </w:pPr>
      <w:r w:rsidRPr="00104F4B">
        <w:rPr>
          <w:rFonts w:cs="Arial"/>
          <w:b/>
          <w:i/>
          <w:szCs w:val="22"/>
        </w:rPr>
        <w:t>Plan de capacitación interna a funcionarios y contratistas de la OCD.</w:t>
      </w:r>
    </w:p>
    <w:p w:rsidR="00700491" w:rsidRPr="00104F4B" w:rsidRDefault="00700491" w:rsidP="00700491">
      <w:pPr>
        <w:autoSpaceDE w:val="0"/>
        <w:autoSpaceDN w:val="0"/>
        <w:adjustRightInd w:val="0"/>
        <w:rPr>
          <w:rFonts w:cs="Arial"/>
          <w:szCs w:val="22"/>
        </w:rPr>
      </w:pPr>
      <w:r w:rsidRPr="00104F4B">
        <w:rPr>
          <w:rFonts w:cs="Arial"/>
          <w:szCs w:val="22"/>
        </w:rPr>
        <w:lastRenderedPageBreak/>
        <w:t>A fin de propender por la eficiencia en la atención de las funciones y obligaciones del área, se realizó un plan de capacitación interna, para todos los profesionales y personal administrativo, a fin de dominar el uso de los aplicativos internos que actualmente tienen a su disposición las diferentes dependencias del IDU con la  gestión de los respectivos accesos de consulta de información, la cual adquiere relevancia para las diferentes investigaciones disciplinarias que se adelantan y minimizan el volumen de requerimientos procesales, que antes debían hacerse a las áreas, para obtener información que en ellos  reposa.</w:t>
      </w:r>
    </w:p>
    <w:p w:rsidR="00700491" w:rsidRPr="00104F4B" w:rsidRDefault="00700491" w:rsidP="00700491">
      <w:pPr>
        <w:autoSpaceDE w:val="0"/>
        <w:autoSpaceDN w:val="0"/>
        <w:adjustRightInd w:val="0"/>
        <w:rPr>
          <w:rFonts w:cs="Arial"/>
          <w:szCs w:val="22"/>
        </w:rPr>
      </w:pPr>
      <w:r w:rsidRPr="00104F4B">
        <w:rPr>
          <w:rFonts w:cs="Arial"/>
          <w:szCs w:val="22"/>
        </w:rPr>
        <w:t>En la actualidad, el técnico con que cuenta la dependencia, entre otras obligaciones, brinda el soporte y apoyo necesario para el uso correcto y consulta de todos los aplicativos que están a nuestro servicio ORFEO, STONE, SIAC, SECOP, SID3, KACTUS, SDQS, entre otros. Adicionalmente el grupo de la OCD, ha participado en 25 diferentes capacitaciones, sensibilizaciones, charlas, congresos y diplomados, entre otras:</w:t>
      </w:r>
    </w:p>
    <w:p w:rsidR="00700491" w:rsidRPr="00104F4B" w:rsidRDefault="00700491" w:rsidP="00700491">
      <w:pPr>
        <w:autoSpaceDE w:val="0"/>
        <w:autoSpaceDN w:val="0"/>
        <w:adjustRightInd w:val="0"/>
        <w:rPr>
          <w:rFonts w:cs="Arial"/>
          <w:szCs w:val="22"/>
        </w:rPr>
      </w:pPr>
    </w:p>
    <w:p w:rsidR="00700491" w:rsidRPr="00104F4B" w:rsidRDefault="00700491" w:rsidP="002625A5">
      <w:pPr>
        <w:pStyle w:val="Prrafodelista"/>
        <w:numPr>
          <w:ilvl w:val="2"/>
          <w:numId w:val="32"/>
        </w:numPr>
        <w:spacing w:before="0" w:after="160" w:line="259" w:lineRule="auto"/>
        <w:ind w:left="1560" w:hanging="513"/>
        <w:contextualSpacing/>
        <w:rPr>
          <w:rFonts w:ascii="Arial" w:hAnsi="Arial" w:cs="Arial"/>
        </w:rPr>
      </w:pPr>
      <w:r w:rsidRPr="00104F4B">
        <w:rPr>
          <w:rFonts w:ascii="Arial" w:hAnsi="Arial" w:cs="Arial"/>
        </w:rPr>
        <w:t>Charla en materia de Riesgo Psicosocial</w:t>
      </w:r>
    </w:p>
    <w:p w:rsidR="00700491" w:rsidRPr="00104F4B" w:rsidRDefault="00700491" w:rsidP="002625A5">
      <w:pPr>
        <w:pStyle w:val="Prrafodelista"/>
        <w:numPr>
          <w:ilvl w:val="2"/>
          <w:numId w:val="32"/>
        </w:numPr>
        <w:spacing w:before="0" w:after="160" w:line="259" w:lineRule="auto"/>
        <w:ind w:left="1560" w:hanging="513"/>
        <w:contextualSpacing/>
        <w:rPr>
          <w:rFonts w:ascii="Arial" w:hAnsi="Arial" w:cs="Arial"/>
        </w:rPr>
      </w:pPr>
      <w:r w:rsidRPr="00104F4B">
        <w:rPr>
          <w:rFonts w:ascii="Arial" w:hAnsi="Arial" w:cs="Arial"/>
        </w:rPr>
        <w:t>Charla dirigida a directivos supervisores, profesionales de apoyo a la supervisión y coordinadores o gerentes de proyectos</w:t>
      </w:r>
    </w:p>
    <w:p w:rsidR="00700491" w:rsidRPr="00104F4B" w:rsidRDefault="00700491" w:rsidP="002625A5">
      <w:pPr>
        <w:pStyle w:val="Prrafodelista"/>
        <w:numPr>
          <w:ilvl w:val="2"/>
          <w:numId w:val="32"/>
        </w:numPr>
        <w:spacing w:before="0" w:after="160" w:line="259" w:lineRule="auto"/>
        <w:ind w:left="1560" w:hanging="513"/>
        <w:contextualSpacing/>
        <w:rPr>
          <w:rFonts w:ascii="Arial" w:hAnsi="Arial" w:cs="Arial"/>
        </w:rPr>
      </w:pPr>
      <w:r w:rsidRPr="00104F4B">
        <w:rPr>
          <w:rFonts w:ascii="Arial" w:hAnsi="Arial" w:cs="Arial"/>
        </w:rPr>
        <w:t>Capacitación funcional Alcaldía Mayor -Bogotá te escucha Sistema Distrital de Quejas y Soluciones</w:t>
      </w:r>
    </w:p>
    <w:p w:rsidR="00700491" w:rsidRPr="00104F4B" w:rsidRDefault="00700491" w:rsidP="002625A5">
      <w:pPr>
        <w:pStyle w:val="Prrafodelista"/>
        <w:numPr>
          <w:ilvl w:val="2"/>
          <w:numId w:val="32"/>
        </w:numPr>
        <w:spacing w:before="0" w:after="160" w:line="259" w:lineRule="auto"/>
        <w:ind w:left="1560" w:hanging="513"/>
        <w:contextualSpacing/>
        <w:rPr>
          <w:rFonts w:ascii="Arial" w:hAnsi="Arial" w:cs="Arial"/>
        </w:rPr>
      </w:pPr>
      <w:r w:rsidRPr="00104F4B">
        <w:rPr>
          <w:rFonts w:ascii="Arial" w:hAnsi="Arial" w:cs="Arial"/>
        </w:rPr>
        <w:t>Orientaciones para la adopción del Código de Integridad del Servicio Público</w:t>
      </w:r>
    </w:p>
    <w:p w:rsidR="00700491" w:rsidRPr="00104F4B" w:rsidRDefault="00700491" w:rsidP="002625A5">
      <w:pPr>
        <w:pStyle w:val="Prrafodelista"/>
        <w:numPr>
          <w:ilvl w:val="2"/>
          <w:numId w:val="32"/>
        </w:numPr>
        <w:spacing w:before="0" w:after="160" w:line="259" w:lineRule="auto"/>
        <w:ind w:left="1560" w:hanging="513"/>
        <w:contextualSpacing/>
        <w:rPr>
          <w:rFonts w:ascii="Arial" w:hAnsi="Arial" w:cs="Arial"/>
        </w:rPr>
      </w:pPr>
      <w:r w:rsidRPr="00104F4B">
        <w:rPr>
          <w:rFonts w:ascii="Arial" w:hAnsi="Arial" w:cs="Arial"/>
        </w:rPr>
        <w:t>Jornadas de conocimiento "el supervisor ideal del idu"</w:t>
      </w:r>
    </w:p>
    <w:p w:rsidR="00700491" w:rsidRPr="00104F4B" w:rsidRDefault="00700491" w:rsidP="002625A5">
      <w:pPr>
        <w:pStyle w:val="Prrafodelista"/>
        <w:numPr>
          <w:ilvl w:val="2"/>
          <w:numId w:val="32"/>
        </w:numPr>
        <w:spacing w:before="0" w:after="160" w:line="259" w:lineRule="auto"/>
        <w:ind w:left="1560" w:hanging="513"/>
        <w:contextualSpacing/>
        <w:rPr>
          <w:rFonts w:ascii="Arial" w:hAnsi="Arial" w:cs="Arial"/>
        </w:rPr>
      </w:pPr>
      <w:r w:rsidRPr="00104F4B">
        <w:rPr>
          <w:rFonts w:ascii="Arial" w:hAnsi="Arial" w:cs="Arial"/>
        </w:rPr>
        <w:t>Articulación Enlaces con OTC (IDU)</w:t>
      </w:r>
    </w:p>
    <w:p w:rsidR="00700491" w:rsidRPr="00104F4B" w:rsidRDefault="00700491" w:rsidP="002625A5">
      <w:pPr>
        <w:pStyle w:val="Prrafodelista"/>
        <w:numPr>
          <w:ilvl w:val="2"/>
          <w:numId w:val="32"/>
        </w:numPr>
        <w:spacing w:before="0" w:after="160" w:line="259" w:lineRule="auto"/>
        <w:ind w:left="1560" w:hanging="513"/>
        <w:contextualSpacing/>
        <w:rPr>
          <w:rFonts w:ascii="Arial" w:hAnsi="Arial" w:cs="Arial"/>
        </w:rPr>
      </w:pPr>
      <w:r w:rsidRPr="00104F4B">
        <w:rPr>
          <w:rFonts w:ascii="Arial" w:hAnsi="Arial" w:cs="Arial"/>
        </w:rPr>
        <w:t>Jornada por la Transparencia en Bogotá D.C., (Alcaldía Mayor)</w:t>
      </w:r>
    </w:p>
    <w:p w:rsidR="00700491" w:rsidRPr="00104F4B" w:rsidRDefault="00700491" w:rsidP="002625A5">
      <w:pPr>
        <w:pStyle w:val="Prrafodelista"/>
        <w:numPr>
          <w:ilvl w:val="2"/>
          <w:numId w:val="32"/>
        </w:numPr>
        <w:spacing w:before="0" w:after="160" w:line="259" w:lineRule="auto"/>
        <w:ind w:left="1560" w:hanging="513"/>
        <w:contextualSpacing/>
        <w:rPr>
          <w:rFonts w:ascii="Arial" w:hAnsi="Arial" w:cs="Arial"/>
        </w:rPr>
      </w:pPr>
      <w:r w:rsidRPr="00104F4B">
        <w:rPr>
          <w:rFonts w:ascii="Arial" w:hAnsi="Arial" w:cs="Arial"/>
        </w:rPr>
        <w:t>Supervisor Ideal del IDU</w:t>
      </w:r>
    </w:p>
    <w:p w:rsidR="00700491" w:rsidRPr="00104F4B" w:rsidRDefault="00700491" w:rsidP="002625A5">
      <w:pPr>
        <w:pStyle w:val="Prrafodelista"/>
        <w:numPr>
          <w:ilvl w:val="2"/>
          <w:numId w:val="32"/>
        </w:numPr>
        <w:spacing w:before="0" w:after="160" w:line="259" w:lineRule="auto"/>
        <w:ind w:left="1560" w:hanging="513"/>
        <w:contextualSpacing/>
        <w:rPr>
          <w:rFonts w:ascii="Arial" w:hAnsi="Arial" w:cs="Arial"/>
        </w:rPr>
      </w:pPr>
      <w:r w:rsidRPr="00104F4B">
        <w:rPr>
          <w:rFonts w:ascii="Arial" w:hAnsi="Arial" w:cs="Arial"/>
        </w:rPr>
        <w:t>Ley de infraestructura, aspectos contractuales para la construcción en el distrito</w:t>
      </w:r>
    </w:p>
    <w:p w:rsidR="00700491" w:rsidRPr="00104F4B" w:rsidRDefault="00700491" w:rsidP="002625A5">
      <w:pPr>
        <w:pStyle w:val="Prrafodelista"/>
        <w:numPr>
          <w:ilvl w:val="2"/>
          <w:numId w:val="32"/>
        </w:numPr>
        <w:spacing w:before="0" w:after="160" w:line="259" w:lineRule="auto"/>
        <w:ind w:left="1560" w:hanging="513"/>
        <w:contextualSpacing/>
        <w:rPr>
          <w:rFonts w:ascii="Arial" w:hAnsi="Arial" w:cs="Arial"/>
        </w:rPr>
      </w:pPr>
      <w:r w:rsidRPr="00104F4B">
        <w:rPr>
          <w:rFonts w:ascii="Arial" w:hAnsi="Arial" w:cs="Arial"/>
        </w:rPr>
        <w:t>Orientación en Derecho Disciplinario</w:t>
      </w:r>
    </w:p>
    <w:p w:rsidR="00700491" w:rsidRPr="00104F4B" w:rsidRDefault="00700491" w:rsidP="002625A5">
      <w:pPr>
        <w:pStyle w:val="Prrafodelista"/>
        <w:numPr>
          <w:ilvl w:val="2"/>
          <w:numId w:val="32"/>
        </w:numPr>
        <w:spacing w:before="0" w:after="160" w:line="259" w:lineRule="auto"/>
        <w:ind w:left="1560" w:hanging="513"/>
        <w:contextualSpacing/>
        <w:rPr>
          <w:rFonts w:ascii="Arial" w:hAnsi="Arial" w:cs="Arial"/>
        </w:rPr>
      </w:pPr>
      <w:r w:rsidRPr="00104F4B">
        <w:rPr>
          <w:rFonts w:ascii="Arial" w:hAnsi="Arial" w:cs="Arial"/>
        </w:rPr>
        <w:t>Capacitación en Sistema SIAC, SECOP I Y SECOP II</w:t>
      </w:r>
    </w:p>
    <w:p w:rsidR="00700491" w:rsidRPr="00104F4B" w:rsidRDefault="00700491" w:rsidP="002625A5">
      <w:pPr>
        <w:pStyle w:val="Prrafodelista"/>
        <w:numPr>
          <w:ilvl w:val="2"/>
          <w:numId w:val="32"/>
        </w:numPr>
        <w:spacing w:before="0" w:after="160" w:line="259" w:lineRule="auto"/>
        <w:ind w:left="1560" w:hanging="513"/>
        <w:contextualSpacing/>
        <w:rPr>
          <w:rFonts w:ascii="Arial" w:hAnsi="Arial" w:cs="Arial"/>
        </w:rPr>
      </w:pPr>
      <w:r w:rsidRPr="00104F4B">
        <w:rPr>
          <w:rFonts w:ascii="Arial" w:hAnsi="Arial" w:cs="Arial"/>
        </w:rPr>
        <w:t>Liquidación de contratos, convenios y tasación de perjuicios</w:t>
      </w:r>
    </w:p>
    <w:p w:rsidR="00700491" w:rsidRPr="00104F4B" w:rsidRDefault="00700491" w:rsidP="002625A5">
      <w:pPr>
        <w:pStyle w:val="Prrafodelista"/>
        <w:numPr>
          <w:ilvl w:val="2"/>
          <w:numId w:val="32"/>
        </w:numPr>
        <w:spacing w:before="0" w:after="160" w:line="259" w:lineRule="auto"/>
        <w:ind w:left="1560" w:hanging="513"/>
        <w:contextualSpacing/>
        <w:rPr>
          <w:rFonts w:ascii="Arial" w:hAnsi="Arial" w:cs="Arial"/>
        </w:rPr>
      </w:pPr>
      <w:r w:rsidRPr="00104F4B">
        <w:rPr>
          <w:rFonts w:ascii="Arial" w:hAnsi="Arial" w:cs="Arial"/>
        </w:rPr>
        <w:t>Delitos contra la Administración Pública</w:t>
      </w:r>
    </w:p>
    <w:p w:rsidR="00700491" w:rsidRPr="00104F4B" w:rsidRDefault="00700491" w:rsidP="002625A5">
      <w:pPr>
        <w:pStyle w:val="Prrafodelista"/>
        <w:numPr>
          <w:ilvl w:val="2"/>
          <w:numId w:val="32"/>
        </w:numPr>
        <w:spacing w:before="0" w:after="160" w:line="259" w:lineRule="auto"/>
        <w:ind w:left="1560" w:hanging="513"/>
        <w:contextualSpacing/>
        <w:rPr>
          <w:rFonts w:ascii="Arial" w:hAnsi="Arial" w:cs="Arial"/>
        </w:rPr>
      </w:pPr>
      <w:r w:rsidRPr="00104F4B">
        <w:rPr>
          <w:rFonts w:ascii="Arial" w:hAnsi="Arial" w:cs="Arial"/>
        </w:rPr>
        <w:t>Séptimo Congreso Nacional De Derecho Disciplinario</w:t>
      </w:r>
    </w:p>
    <w:p w:rsidR="00700491" w:rsidRPr="00104F4B" w:rsidRDefault="00700491" w:rsidP="002625A5">
      <w:pPr>
        <w:pStyle w:val="Prrafodelista"/>
        <w:numPr>
          <w:ilvl w:val="2"/>
          <w:numId w:val="32"/>
        </w:numPr>
        <w:spacing w:before="0" w:after="160" w:line="259" w:lineRule="auto"/>
        <w:ind w:left="1560" w:hanging="513"/>
        <w:contextualSpacing/>
        <w:rPr>
          <w:rFonts w:ascii="Arial" w:hAnsi="Arial" w:cs="Arial"/>
        </w:rPr>
      </w:pPr>
      <w:r w:rsidRPr="00104F4B">
        <w:rPr>
          <w:rFonts w:ascii="Arial" w:hAnsi="Arial" w:cs="Arial"/>
        </w:rPr>
        <w:t>Régimen probatorio</w:t>
      </w:r>
    </w:p>
    <w:p w:rsidR="00700491" w:rsidRPr="00104F4B" w:rsidRDefault="00700491" w:rsidP="002625A5">
      <w:pPr>
        <w:pStyle w:val="Prrafodelista"/>
        <w:numPr>
          <w:ilvl w:val="2"/>
          <w:numId w:val="32"/>
        </w:numPr>
        <w:spacing w:before="0" w:after="160" w:line="259" w:lineRule="auto"/>
        <w:ind w:left="1560" w:hanging="513"/>
        <w:contextualSpacing/>
        <w:rPr>
          <w:rFonts w:ascii="Arial" w:hAnsi="Arial" w:cs="Arial"/>
        </w:rPr>
      </w:pPr>
      <w:r w:rsidRPr="00104F4B">
        <w:rPr>
          <w:rFonts w:ascii="Arial" w:hAnsi="Arial" w:cs="Arial"/>
        </w:rPr>
        <w:t>Protección de datos</w:t>
      </w:r>
    </w:p>
    <w:p w:rsidR="00700491" w:rsidRPr="00104F4B" w:rsidRDefault="00700491" w:rsidP="002625A5">
      <w:pPr>
        <w:pStyle w:val="Prrafodelista"/>
        <w:numPr>
          <w:ilvl w:val="2"/>
          <w:numId w:val="32"/>
        </w:numPr>
        <w:spacing w:before="0" w:after="160" w:line="259" w:lineRule="auto"/>
        <w:ind w:left="1560" w:hanging="513"/>
        <w:contextualSpacing/>
        <w:rPr>
          <w:rFonts w:ascii="Arial" w:hAnsi="Arial" w:cs="Arial"/>
        </w:rPr>
      </w:pPr>
      <w:r w:rsidRPr="00104F4B">
        <w:rPr>
          <w:rFonts w:ascii="Arial" w:hAnsi="Arial" w:cs="Arial"/>
        </w:rPr>
        <w:t>Diplomado de Contratación Estatal, estudio y análisis del Estatuto          General de Decreto Único Reglamentario 1082 de 2015</w:t>
      </w:r>
    </w:p>
    <w:p w:rsidR="00700491" w:rsidRPr="00104F4B" w:rsidRDefault="00700491" w:rsidP="002625A5">
      <w:pPr>
        <w:pStyle w:val="Prrafodelista"/>
        <w:numPr>
          <w:ilvl w:val="2"/>
          <w:numId w:val="32"/>
        </w:numPr>
        <w:spacing w:before="0" w:after="160" w:line="259" w:lineRule="auto"/>
        <w:ind w:left="1560" w:hanging="513"/>
        <w:contextualSpacing/>
        <w:rPr>
          <w:rFonts w:ascii="Arial" w:hAnsi="Arial" w:cs="Arial"/>
        </w:rPr>
      </w:pPr>
      <w:r w:rsidRPr="00104F4B">
        <w:rPr>
          <w:rFonts w:ascii="Arial" w:hAnsi="Arial" w:cs="Arial"/>
        </w:rPr>
        <w:t>Capacitación plataforma SDQS Alcaldía Mayor de Bogotá</w:t>
      </w:r>
    </w:p>
    <w:p w:rsidR="00700491" w:rsidRPr="00104F4B" w:rsidRDefault="00700491" w:rsidP="002625A5">
      <w:pPr>
        <w:pStyle w:val="Prrafodelista"/>
        <w:numPr>
          <w:ilvl w:val="2"/>
          <w:numId w:val="32"/>
        </w:numPr>
        <w:spacing w:before="0" w:after="160" w:line="259" w:lineRule="auto"/>
        <w:ind w:left="1560" w:hanging="513"/>
        <w:contextualSpacing/>
        <w:rPr>
          <w:rFonts w:ascii="Arial" w:hAnsi="Arial" w:cs="Arial"/>
        </w:rPr>
      </w:pPr>
      <w:r w:rsidRPr="00104F4B">
        <w:rPr>
          <w:rFonts w:ascii="Arial" w:hAnsi="Arial" w:cs="Arial"/>
        </w:rPr>
        <w:t>Supervisor Ideal del IDU SESIÓN 3</w:t>
      </w:r>
    </w:p>
    <w:p w:rsidR="00700491" w:rsidRPr="00104F4B" w:rsidRDefault="00700491" w:rsidP="002625A5">
      <w:pPr>
        <w:pStyle w:val="Prrafodelista"/>
        <w:numPr>
          <w:ilvl w:val="2"/>
          <w:numId w:val="32"/>
        </w:numPr>
        <w:spacing w:before="0" w:after="160" w:line="259" w:lineRule="auto"/>
        <w:ind w:left="1560" w:hanging="513"/>
        <w:contextualSpacing/>
        <w:rPr>
          <w:rFonts w:ascii="Arial" w:hAnsi="Arial" w:cs="Arial"/>
        </w:rPr>
      </w:pPr>
      <w:r w:rsidRPr="00104F4B">
        <w:rPr>
          <w:rFonts w:ascii="Arial" w:hAnsi="Arial" w:cs="Arial"/>
        </w:rPr>
        <w:t>Sensibilización En El Procedimiento Verbal</w:t>
      </w:r>
    </w:p>
    <w:p w:rsidR="00700491" w:rsidRPr="00104F4B" w:rsidRDefault="00700491" w:rsidP="002625A5">
      <w:pPr>
        <w:pStyle w:val="Prrafodelista"/>
        <w:numPr>
          <w:ilvl w:val="2"/>
          <w:numId w:val="32"/>
        </w:numPr>
        <w:spacing w:before="0" w:after="160" w:line="259" w:lineRule="auto"/>
        <w:ind w:left="1560" w:hanging="513"/>
        <w:contextualSpacing/>
        <w:rPr>
          <w:rFonts w:ascii="Arial" w:hAnsi="Arial" w:cs="Arial"/>
        </w:rPr>
      </w:pPr>
      <w:r w:rsidRPr="00104F4B">
        <w:rPr>
          <w:rFonts w:ascii="Arial" w:hAnsi="Arial" w:cs="Arial"/>
        </w:rPr>
        <w:t>VI encuentro nacional de Operadores disciplinarios</w:t>
      </w:r>
    </w:p>
    <w:p w:rsidR="00700491" w:rsidRPr="00104F4B" w:rsidRDefault="00700491" w:rsidP="002625A5">
      <w:pPr>
        <w:pStyle w:val="Prrafodelista"/>
        <w:numPr>
          <w:ilvl w:val="2"/>
          <w:numId w:val="32"/>
        </w:numPr>
        <w:spacing w:before="0" w:after="160" w:line="259" w:lineRule="auto"/>
        <w:ind w:left="1560" w:hanging="513"/>
        <w:contextualSpacing/>
        <w:rPr>
          <w:rFonts w:ascii="Arial" w:hAnsi="Arial" w:cs="Arial"/>
        </w:rPr>
      </w:pPr>
      <w:r w:rsidRPr="00104F4B">
        <w:rPr>
          <w:rFonts w:ascii="Arial" w:hAnsi="Arial" w:cs="Arial"/>
        </w:rPr>
        <w:t>Diplomado De Redacción De Textos Jurídicos</w:t>
      </w:r>
    </w:p>
    <w:p w:rsidR="00700491" w:rsidRPr="00104F4B" w:rsidRDefault="00700491" w:rsidP="002625A5">
      <w:pPr>
        <w:pStyle w:val="Prrafodelista"/>
        <w:numPr>
          <w:ilvl w:val="2"/>
          <w:numId w:val="32"/>
        </w:numPr>
        <w:spacing w:before="0" w:after="160" w:line="259" w:lineRule="auto"/>
        <w:ind w:left="1560" w:hanging="513"/>
        <w:contextualSpacing/>
        <w:rPr>
          <w:rFonts w:ascii="Arial" w:hAnsi="Arial" w:cs="Arial"/>
        </w:rPr>
      </w:pPr>
      <w:r w:rsidRPr="00104F4B">
        <w:rPr>
          <w:rFonts w:ascii="Arial" w:hAnsi="Arial" w:cs="Arial"/>
        </w:rPr>
        <w:t>Curso de Profundización “la Supervisión en la Contratación Estatal”</w:t>
      </w:r>
    </w:p>
    <w:p w:rsidR="00700491" w:rsidRPr="00104F4B" w:rsidRDefault="00700491" w:rsidP="002625A5">
      <w:pPr>
        <w:pStyle w:val="Prrafodelista"/>
        <w:numPr>
          <w:ilvl w:val="2"/>
          <w:numId w:val="32"/>
        </w:numPr>
        <w:spacing w:before="0" w:after="160" w:line="259" w:lineRule="auto"/>
        <w:ind w:left="1560" w:hanging="513"/>
        <w:contextualSpacing/>
        <w:rPr>
          <w:rFonts w:ascii="Arial" w:hAnsi="Arial" w:cs="Arial"/>
        </w:rPr>
      </w:pPr>
      <w:r w:rsidRPr="00104F4B">
        <w:rPr>
          <w:rFonts w:ascii="Arial" w:hAnsi="Arial" w:cs="Arial"/>
        </w:rPr>
        <w:t>Curso de Gestores de Integridad.</w:t>
      </w:r>
    </w:p>
    <w:p w:rsidR="00700491" w:rsidRPr="00104F4B" w:rsidRDefault="00700491" w:rsidP="002625A5">
      <w:pPr>
        <w:pStyle w:val="Prrafodelista"/>
        <w:numPr>
          <w:ilvl w:val="2"/>
          <w:numId w:val="32"/>
        </w:numPr>
        <w:spacing w:before="0" w:after="160" w:line="259" w:lineRule="auto"/>
        <w:ind w:left="1560" w:hanging="513"/>
        <w:contextualSpacing/>
        <w:rPr>
          <w:rFonts w:ascii="Arial" w:hAnsi="Arial" w:cs="Arial"/>
        </w:rPr>
      </w:pPr>
      <w:r w:rsidRPr="00104F4B">
        <w:rPr>
          <w:rFonts w:ascii="Arial" w:hAnsi="Arial" w:cs="Arial"/>
        </w:rPr>
        <w:t>Segundo encuentro de Oficina de Control Disciplinario.</w:t>
      </w:r>
    </w:p>
    <w:p w:rsidR="0044617D" w:rsidRPr="00104F4B" w:rsidRDefault="0044617D" w:rsidP="00364859">
      <w:pPr>
        <w:pStyle w:val="Ttulo1"/>
        <w:rPr>
          <w:rFonts w:ascii="Arial" w:hAnsi="Arial" w:cs="Arial"/>
          <w:sz w:val="22"/>
          <w:szCs w:val="22"/>
        </w:rPr>
      </w:pPr>
      <w:bookmarkStart w:id="36" w:name="_Toc536195538"/>
      <w:r w:rsidRPr="00104F4B">
        <w:rPr>
          <w:rFonts w:ascii="Arial" w:hAnsi="Arial" w:cs="Arial"/>
          <w:sz w:val="22"/>
          <w:szCs w:val="22"/>
        </w:rPr>
        <w:lastRenderedPageBreak/>
        <w:t>3.4.2 Mejores Prácticas y Logros.</w:t>
      </w:r>
      <w:bookmarkEnd w:id="36"/>
    </w:p>
    <w:p w:rsidR="0044617D" w:rsidRPr="00104F4B" w:rsidRDefault="0044617D" w:rsidP="002625A5">
      <w:pPr>
        <w:pStyle w:val="Prrafodelista"/>
        <w:numPr>
          <w:ilvl w:val="0"/>
          <w:numId w:val="35"/>
        </w:numPr>
        <w:autoSpaceDE w:val="0"/>
        <w:autoSpaceDN w:val="0"/>
        <w:adjustRightInd w:val="0"/>
        <w:spacing w:before="0"/>
        <w:contextualSpacing/>
        <w:rPr>
          <w:rFonts w:ascii="Arial" w:hAnsi="Arial" w:cs="Arial"/>
          <w:bCs/>
        </w:rPr>
      </w:pPr>
      <w:r w:rsidRPr="00104F4B">
        <w:rPr>
          <w:rFonts w:ascii="Arial" w:hAnsi="Arial" w:cs="Arial"/>
          <w:bCs/>
        </w:rPr>
        <w:t>De acuerdo con la estrategia implementada por la OCD por medio de la cual se efectuaron Capacitaciones disciplinarias en temas estratégicos, apuntando a una mayor cobertura por niveles jerárquicos, más el envío de Flash disciplinarios puntuales y la remisión de Recomendaciones disciplinarias a las áreas, se logró para este año una reducción sustancial del volumen de quejas, informes, remisiones y/o hallazgos contra el IDU, respecto a los últimos cuatro años, así:</w:t>
      </w:r>
    </w:p>
    <w:p w:rsidR="0044617D" w:rsidRPr="00104F4B" w:rsidRDefault="0044617D" w:rsidP="0044617D">
      <w:pPr>
        <w:pStyle w:val="Prrafodelista"/>
        <w:autoSpaceDE w:val="0"/>
        <w:autoSpaceDN w:val="0"/>
        <w:adjustRightInd w:val="0"/>
        <w:ind w:left="1440"/>
        <w:rPr>
          <w:rFonts w:ascii="Arial" w:hAnsi="Arial" w:cs="Arial"/>
          <w:bCs/>
        </w:rPr>
      </w:pPr>
    </w:p>
    <w:tbl>
      <w:tblPr>
        <w:tblW w:w="6232" w:type="dxa"/>
        <w:jc w:val="center"/>
        <w:tblCellMar>
          <w:left w:w="70" w:type="dxa"/>
          <w:right w:w="70" w:type="dxa"/>
        </w:tblCellMar>
        <w:tblLook w:val="04A0" w:firstRow="1" w:lastRow="0" w:firstColumn="1" w:lastColumn="0" w:noHBand="0" w:noVBand="1"/>
      </w:tblPr>
      <w:tblGrid>
        <w:gridCol w:w="1801"/>
        <w:gridCol w:w="1200"/>
        <w:gridCol w:w="1200"/>
        <w:gridCol w:w="1200"/>
        <w:gridCol w:w="1016"/>
      </w:tblGrid>
      <w:tr w:rsidR="0044617D" w:rsidRPr="00104F4B" w:rsidTr="0024547C">
        <w:trPr>
          <w:trHeight w:val="300"/>
          <w:jc w:val="center"/>
        </w:trPr>
        <w:tc>
          <w:tcPr>
            <w:tcW w:w="16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4617D" w:rsidRPr="00104F4B" w:rsidRDefault="0044617D" w:rsidP="0091299B">
            <w:pPr>
              <w:jc w:val="center"/>
              <w:rPr>
                <w:rFonts w:cs="Arial"/>
                <w:b/>
                <w:bCs/>
                <w:color w:val="000000"/>
                <w:sz w:val="18"/>
                <w:szCs w:val="18"/>
              </w:rPr>
            </w:pPr>
            <w:r w:rsidRPr="00104F4B">
              <w:rPr>
                <w:rFonts w:cs="Arial"/>
                <w:b/>
                <w:bCs/>
                <w:color w:val="000000"/>
                <w:sz w:val="18"/>
                <w:szCs w:val="18"/>
              </w:rPr>
              <w:t>QUEJAS</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rsidR="0044617D" w:rsidRPr="00104F4B" w:rsidRDefault="0044617D" w:rsidP="0091299B">
            <w:pPr>
              <w:jc w:val="center"/>
              <w:rPr>
                <w:rFonts w:cs="Arial"/>
                <w:b/>
                <w:bCs/>
                <w:color w:val="000000"/>
                <w:sz w:val="18"/>
                <w:szCs w:val="18"/>
              </w:rPr>
            </w:pPr>
            <w:r w:rsidRPr="00104F4B">
              <w:rPr>
                <w:rFonts w:cs="Arial"/>
                <w:b/>
                <w:bCs/>
                <w:color w:val="000000"/>
                <w:sz w:val="18"/>
                <w:szCs w:val="18"/>
              </w:rPr>
              <w:t>2015</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rsidR="0044617D" w:rsidRPr="00104F4B" w:rsidRDefault="0044617D" w:rsidP="0091299B">
            <w:pPr>
              <w:jc w:val="center"/>
              <w:rPr>
                <w:rFonts w:cs="Arial"/>
                <w:b/>
                <w:bCs/>
                <w:color w:val="000000"/>
                <w:sz w:val="18"/>
                <w:szCs w:val="18"/>
              </w:rPr>
            </w:pPr>
            <w:r w:rsidRPr="00104F4B">
              <w:rPr>
                <w:rFonts w:cs="Arial"/>
                <w:b/>
                <w:bCs/>
                <w:color w:val="000000"/>
                <w:sz w:val="18"/>
                <w:szCs w:val="18"/>
              </w:rPr>
              <w:t>2016</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rsidR="0044617D" w:rsidRPr="00104F4B" w:rsidRDefault="0044617D" w:rsidP="0091299B">
            <w:pPr>
              <w:jc w:val="center"/>
              <w:rPr>
                <w:rFonts w:cs="Arial"/>
                <w:b/>
                <w:bCs/>
                <w:color w:val="000000"/>
                <w:sz w:val="18"/>
                <w:szCs w:val="18"/>
              </w:rPr>
            </w:pPr>
            <w:r w:rsidRPr="00104F4B">
              <w:rPr>
                <w:rFonts w:cs="Arial"/>
                <w:b/>
                <w:bCs/>
                <w:color w:val="000000"/>
                <w:sz w:val="18"/>
                <w:szCs w:val="18"/>
              </w:rPr>
              <w:t>2017</w:t>
            </w:r>
          </w:p>
        </w:tc>
        <w:tc>
          <w:tcPr>
            <w:tcW w:w="1016" w:type="dxa"/>
            <w:tcBorders>
              <w:top w:val="single" w:sz="4" w:space="0" w:color="auto"/>
              <w:left w:val="nil"/>
              <w:bottom w:val="single" w:sz="4" w:space="0" w:color="auto"/>
              <w:right w:val="single" w:sz="4" w:space="0" w:color="auto"/>
            </w:tcBorders>
            <w:shd w:val="clear" w:color="auto" w:fill="auto"/>
            <w:noWrap/>
            <w:vAlign w:val="center"/>
            <w:hideMark/>
          </w:tcPr>
          <w:p w:rsidR="0044617D" w:rsidRPr="00104F4B" w:rsidRDefault="0044617D" w:rsidP="0091299B">
            <w:pPr>
              <w:jc w:val="center"/>
              <w:rPr>
                <w:rFonts w:cs="Arial"/>
                <w:b/>
                <w:bCs/>
                <w:color w:val="000000"/>
                <w:sz w:val="18"/>
                <w:szCs w:val="18"/>
              </w:rPr>
            </w:pPr>
            <w:r w:rsidRPr="00104F4B">
              <w:rPr>
                <w:rFonts w:cs="Arial"/>
                <w:b/>
                <w:bCs/>
                <w:color w:val="000000"/>
                <w:sz w:val="18"/>
                <w:szCs w:val="18"/>
              </w:rPr>
              <w:t>2018</w:t>
            </w:r>
          </w:p>
        </w:tc>
      </w:tr>
      <w:tr w:rsidR="0044617D" w:rsidRPr="00104F4B" w:rsidTr="0024547C">
        <w:trPr>
          <w:trHeight w:val="300"/>
          <w:jc w:val="center"/>
        </w:trPr>
        <w:tc>
          <w:tcPr>
            <w:tcW w:w="1616" w:type="dxa"/>
            <w:tcBorders>
              <w:top w:val="nil"/>
              <w:left w:val="single" w:sz="4" w:space="0" w:color="auto"/>
              <w:bottom w:val="nil"/>
              <w:right w:val="single" w:sz="4" w:space="0" w:color="auto"/>
            </w:tcBorders>
            <w:shd w:val="clear" w:color="auto" w:fill="auto"/>
            <w:noWrap/>
            <w:vAlign w:val="center"/>
            <w:hideMark/>
          </w:tcPr>
          <w:p w:rsidR="0044617D" w:rsidRPr="00104F4B" w:rsidRDefault="0044617D" w:rsidP="0091299B">
            <w:pPr>
              <w:jc w:val="center"/>
              <w:rPr>
                <w:rFonts w:cs="Arial"/>
                <w:b/>
                <w:bCs/>
                <w:color w:val="000000"/>
                <w:sz w:val="18"/>
                <w:szCs w:val="18"/>
              </w:rPr>
            </w:pPr>
            <w:r w:rsidRPr="00104F4B">
              <w:rPr>
                <w:rFonts w:cs="Arial"/>
                <w:b/>
                <w:bCs/>
                <w:color w:val="000000"/>
                <w:sz w:val="18"/>
                <w:szCs w:val="18"/>
              </w:rPr>
              <w:t>PROC.RADICADOS</w:t>
            </w:r>
          </w:p>
        </w:tc>
        <w:tc>
          <w:tcPr>
            <w:tcW w:w="1200" w:type="dxa"/>
            <w:tcBorders>
              <w:top w:val="nil"/>
              <w:left w:val="nil"/>
              <w:bottom w:val="nil"/>
              <w:right w:val="single" w:sz="4" w:space="0" w:color="auto"/>
            </w:tcBorders>
            <w:shd w:val="clear" w:color="auto" w:fill="auto"/>
            <w:noWrap/>
            <w:vAlign w:val="center"/>
            <w:hideMark/>
          </w:tcPr>
          <w:p w:rsidR="0044617D" w:rsidRPr="00104F4B" w:rsidRDefault="0044617D" w:rsidP="0091299B">
            <w:pPr>
              <w:jc w:val="center"/>
              <w:rPr>
                <w:rFonts w:cs="Arial"/>
                <w:color w:val="000000"/>
                <w:sz w:val="18"/>
                <w:szCs w:val="18"/>
              </w:rPr>
            </w:pPr>
            <w:r w:rsidRPr="00104F4B">
              <w:rPr>
                <w:rFonts w:cs="Arial"/>
                <w:color w:val="000000"/>
                <w:sz w:val="18"/>
                <w:szCs w:val="18"/>
              </w:rPr>
              <w:t>219</w:t>
            </w:r>
          </w:p>
        </w:tc>
        <w:tc>
          <w:tcPr>
            <w:tcW w:w="1200" w:type="dxa"/>
            <w:tcBorders>
              <w:top w:val="nil"/>
              <w:left w:val="nil"/>
              <w:bottom w:val="nil"/>
              <w:right w:val="single" w:sz="4" w:space="0" w:color="auto"/>
            </w:tcBorders>
            <w:shd w:val="clear" w:color="auto" w:fill="auto"/>
            <w:noWrap/>
            <w:vAlign w:val="center"/>
            <w:hideMark/>
          </w:tcPr>
          <w:p w:rsidR="0044617D" w:rsidRPr="00104F4B" w:rsidRDefault="0044617D" w:rsidP="0091299B">
            <w:pPr>
              <w:jc w:val="center"/>
              <w:rPr>
                <w:rFonts w:cs="Arial"/>
                <w:color w:val="000000"/>
                <w:sz w:val="18"/>
                <w:szCs w:val="18"/>
              </w:rPr>
            </w:pPr>
            <w:r w:rsidRPr="00104F4B">
              <w:rPr>
                <w:rFonts w:cs="Arial"/>
                <w:color w:val="000000"/>
                <w:sz w:val="18"/>
                <w:szCs w:val="18"/>
              </w:rPr>
              <w:t>135</w:t>
            </w:r>
          </w:p>
        </w:tc>
        <w:tc>
          <w:tcPr>
            <w:tcW w:w="1200" w:type="dxa"/>
            <w:tcBorders>
              <w:top w:val="nil"/>
              <w:left w:val="nil"/>
              <w:bottom w:val="nil"/>
              <w:right w:val="single" w:sz="4" w:space="0" w:color="auto"/>
            </w:tcBorders>
            <w:shd w:val="clear" w:color="auto" w:fill="auto"/>
            <w:noWrap/>
            <w:vAlign w:val="center"/>
            <w:hideMark/>
          </w:tcPr>
          <w:p w:rsidR="0044617D" w:rsidRPr="00104F4B" w:rsidRDefault="0044617D" w:rsidP="0091299B">
            <w:pPr>
              <w:jc w:val="center"/>
              <w:rPr>
                <w:rFonts w:cs="Arial"/>
                <w:color w:val="000000"/>
                <w:sz w:val="18"/>
                <w:szCs w:val="18"/>
              </w:rPr>
            </w:pPr>
            <w:r w:rsidRPr="00104F4B">
              <w:rPr>
                <w:rFonts w:cs="Arial"/>
                <w:color w:val="000000"/>
                <w:sz w:val="18"/>
                <w:szCs w:val="18"/>
              </w:rPr>
              <w:t>169</w:t>
            </w:r>
          </w:p>
        </w:tc>
        <w:tc>
          <w:tcPr>
            <w:tcW w:w="1016" w:type="dxa"/>
            <w:tcBorders>
              <w:top w:val="nil"/>
              <w:left w:val="nil"/>
              <w:bottom w:val="nil"/>
              <w:right w:val="single" w:sz="4" w:space="0" w:color="auto"/>
            </w:tcBorders>
            <w:shd w:val="clear" w:color="auto" w:fill="auto"/>
            <w:noWrap/>
            <w:vAlign w:val="center"/>
            <w:hideMark/>
          </w:tcPr>
          <w:p w:rsidR="0044617D" w:rsidRPr="00104F4B" w:rsidRDefault="0044617D" w:rsidP="0091299B">
            <w:pPr>
              <w:jc w:val="center"/>
              <w:rPr>
                <w:rFonts w:cs="Arial"/>
                <w:b/>
                <w:color w:val="000000"/>
                <w:sz w:val="18"/>
                <w:szCs w:val="18"/>
              </w:rPr>
            </w:pPr>
            <w:r w:rsidRPr="00104F4B">
              <w:rPr>
                <w:rFonts w:cs="Arial"/>
                <w:b/>
                <w:color w:val="000000"/>
                <w:sz w:val="18"/>
                <w:szCs w:val="18"/>
              </w:rPr>
              <w:t>94</w:t>
            </w:r>
          </w:p>
        </w:tc>
      </w:tr>
      <w:tr w:rsidR="0044617D" w:rsidRPr="00104F4B" w:rsidTr="0091299B">
        <w:trPr>
          <w:trHeight w:val="252"/>
          <w:jc w:val="center"/>
        </w:trPr>
        <w:tc>
          <w:tcPr>
            <w:tcW w:w="1616" w:type="dxa"/>
            <w:tcBorders>
              <w:top w:val="nil"/>
              <w:left w:val="single" w:sz="4" w:space="0" w:color="auto"/>
              <w:bottom w:val="single" w:sz="4" w:space="0" w:color="auto"/>
              <w:right w:val="single" w:sz="4" w:space="0" w:color="auto"/>
            </w:tcBorders>
            <w:shd w:val="clear" w:color="auto" w:fill="auto"/>
            <w:noWrap/>
            <w:vAlign w:val="center"/>
          </w:tcPr>
          <w:p w:rsidR="0044617D" w:rsidRPr="00104F4B" w:rsidRDefault="0044617D" w:rsidP="0091299B">
            <w:pPr>
              <w:rPr>
                <w:rFonts w:cs="Arial"/>
                <w:b/>
                <w:bCs/>
                <w:color w:val="000000"/>
                <w:sz w:val="18"/>
                <w:szCs w:val="18"/>
              </w:rPr>
            </w:pPr>
          </w:p>
        </w:tc>
        <w:tc>
          <w:tcPr>
            <w:tcW w:w="1200" w:type="dxa"/>
            <w:tcBorders>
              <w:top w:val="nil"/>
              <w:left w:val="nil"/>
              <w:bottom w:val="single" w:sz="4" w:space="0" w:color="auto"/>
              <w:right w:val="single" w:sz="4" w:space="0" w:color="auto"/>
            </w:tcBorders>
            <w:shd w:val="clear" w:color="auto" w:fill="auto"/>
            <w:noWrap/>
            <w:vAlign w:val="center"/>
          </w:tcPr>
          <w:p w:rsidR="0044617D" w:rsidRPr="00104F4B" w:rsidRDefault="0044617D" w:rsidP="0091299B">
            <w:pPr>
              <w:rPr>
                <w:rFonts w:cs="Arial"/>
                <w:color w:val="000000"/>
                <w:sz w:val="18"/>
                <w:szCs w:val="18"/>
              </w:rPr>
            </w:pPr>
          </w:p>
        </w:tc>
        <w:tc>
          <w:tcPr>
            <w:tcW w:w="1200" w:type="dxa"/>
            <w:tcBorders>
              <w:top w:val="nil"/>
              <w:left w:val="nil"/>
              <w:bottom w:val="single" w:sz="4" w:space="0" w:color="auto"/>
              <w:right w:val="single" w:sz="4" w:space="0" w:color="auto"/>
            </w:tcBorders>
            <w:shd w:val="clear" w:color="auto" w:fill="auto"/>
            <w:noWrap/>
            <w:vAlign w:val="center"/>
          </w:tcPr>
          <w:p w:rsidR="0044617D" w:rsidRPr="00104F4B" w:rsidRDefault="0044617D" w:rsidP="0091299B">
            <w:pPr>
              <w:rPr>
                <w:rFonts w:cs="Arial"/>
                <w:color w:val="000000"/>
                <w:sz w:val="18"/>
                <w:szCs w:val="18"/>
              </w:rPr>
            </w:pPr>
          </w:p>
        </w:tc>
        <w:tc>
          <w:tcPr>
            <w:tcW w:w="1200" w:type="dxa"/>
            <w:tcBorders>
              <w:top w:val="nil"/>
              <w:left w:val="nil"/>
              <w:bottom w:val="single" w:sz="4" w:space="0" w:color="auto"/>
              <w:right w:val="single" w:sz="4" w:space="0" w:color="auto"/>
            </w:tcBorders>
            <w:shd w:val="clear" w:color="auto" w:fill="auto"/>
            <w:noWrap/>
            <w:vAlign w:val="center"/>
          </w:tcPr>
          <w:p w:rsidR="0044617D" w:rsidRPr="00104F4B" w:rsidRDefault="0044617D" w:rsidP="0091299B">
            <w:pPr>
              <w:rPr>
                <w:rFonts w:cs="Arial"/>
                <w:color w:val="000000"/>
                <w:sz w:val="18"/>
                <w:szCs w:val="18"/>
              </w:rPr>
            </w:pPr>
          </w:p>
        </w:tc>
        <w:tc>
          <w:tcPr>
            <w:tcW w:w="1016" w:type="dxa"/>
            <w:tcBorders>
              <w:top w:val="nil"/>
              <w:left w:val="nil"/>
              <w:bottom w:val="single" w:sz="4" w:space="0" w:color="auto"/>
              <w:right w:val="single" w:sz="4" w:space="0" w:color="auto"/>
            </w:tcBorders>
            <w:shd w:val="clear" w:color="auto" w:fill="auto"/>
            <w:noWrap/>
            <w:vAlign w:val="center"/>
          </w:tcPr>
          <w:p w:rsidR="0044617D" w:rsidRPr="00104F4B" w:rsidRDefault="0044617D" w:rsidP="0091299B">
            <w:pPr>
              <w:rPr>
                <w:rFonts w:cs="Arial"/>
                <w:color w:val="000000"/>
                <w:sz w:val="18"/>
                <w:szCs w:val="18"/>
              </w:rPr>
            </w:pPr>
          </w:p>
        </w:tc>
      </w:tr>
    </w:tbl>
    <w:p w:rsidR="0044617D" w:rsidRPr="00104F4B" w:rsidRDefault="0044617D" w:rsidP="0044617D">
      <w:pPr>
        <w:pStyle w:val="Prrafodelista"/>
        <w:rPr>
          <w:rFonts w:ascii="Arial" w:hAnsi="Arial" w:cs="Arial"/>
        </w:rPr>
      </w:pPr>
    </w:p>
    <w:p w:rsidR="0044617D" w:rsidRPr="00104F4B" w:rsidRDefault="0044617D" w:rsidP="002625A5">
      <w:pPr>
        <w:pStyle w:val="Prrafodelista"/>
        <w:numPr>
          <w:ilvl w:val="0"/>
          <w:numId w:val="35"/>
        </w:numPr>
        <w:spacing w:before="0" w:after="160" w:line="259" w:lineRule="auto"/>
        <w:contextualSpacing/>
        <w:rPr>
          <w:rFonts w:ascii="Arial" w:hAnsi="Arial" w:cs="Arial"/>
        </w:rPr>
      </w:pPr>
      <w:r w:rsidRPr="00104F4B">
        <w:rPr>
          <w:rFonts w:ascii="Arial" w:hAnsi="Arial" w:cs="Arial"/>
        </w:rPr>
        <w:t>Por primera vez esta Oficina recibió comunicación de reconocimiento a la gestión adelantada OCD-IDU, por parte de la Dirección Distrital de Asuntos Disciplinarios. (radicado 20185260746022 de fecha 23/07/2018).</w:t>
      </w:r>
    </w:p>
    <w:p w:rsidR="0044617D" w:rsidRPr="00104F4B" w:rsidRDefault="0044617D" w:rsidP="002625A5">
      <w:pPr>
        <w:pStyle w:val="Prrafodelista"/>
        <w:numPr>
          <w:ilvl w:val="0"/>
          <w:numId w:val="35"/>
        </w:numPr>
        <w:spacing w:before="0" w:line="259" w:lineRule="auto"/>
        <w:contextualSpacing/>
        <w:rPr>
          <w:rFonts w:ascii="Arial" w:hAnsi="Arial" w:cs="Arial"/>
        </w:rPr>
      </w:pPr>
      <w:r w:rsidRPr="00104F4B">
        <w:rPr>
          <w:rFonts w:ascii="Arial" w:hAnsi="Arial" w:cs="Arial"/>
        </w:rPr>
        <w:t>Se socializo y publico el procedimiento de ejecución administrativa de sanciones disciplinarias (</w:t>
      </w:r>
      <w:hyperlink r:id="rId29" w:tgtFrame="nueva" w:history="1">
        <w:r w:rsidRPr="00104F4B">
          <w:rPr>
            <w:rStyle w:val="Hipervnculo"/>
            <w:rFonts w:ascii="Arial" w:hAnsi="Arial" w:cs="Arial"/>
            <w:color w:val="0089CF"/>
          </w:rPr>
          <w:t>PREC02_EJECUCION_DE_LA_SANCION_DISCIPLINARIA_V_1.0.pdf</w:t>
        </w:r>
      </w:hyperlink>
      <w:r w:rsidRPr="00104F4B">
        <w:rPr>
          <w:rFonts w:ascii="Arial" w:hAnsi="Arial" w:cs="Arial"/>
        </w:rPr>
        <w:t>).</w:t>
      </w:r>
    </w:p>
    <w:p w:rsidR="0044617D" w:rsidRPr="00104F4B" w:rsidRDefault="0044617D" w:rsidP="002625A5">
      <w:pPr>
        <w:pStyle w:val="Prrafodelista"/>
        <w:numPr>
          <w:ilvl w:val="0"/>
          <w:numId w:val="35"/>
        </w:numPr>
        <w:spacing w:before="0" w:line="259" w:lineRule="auto"/>
        <w:contextualSpacing/>
        <w:rPr>
          <w:rFonts w:ascii="Arial" w:hAnsi="Arial" w:cs="Arial"/>
        </w:rPr>
      </w:pPr>
      <w:r w:rsidRPr="00104F4B">
        <w:rPr>
          <w:rFonts w:ascii="Arial" w:hAnsi="Arial" w:cs="Arial"/>
        </w:rPr>
        <w:t>Se haya organizada y controlada la trazabilidad de las quejas y procesos disciplinarios, que se reciben y atienden en la OCD, (ubicación, desarrollo y desenlace). Igualmente se unificó y parametrizó la identificación, de los procesos disciplinarios</w:t>
      </w:r>
    </w:p>
    <w:p w:rsidR="0044617D" w:rsidRPr="00104F4B" w:rsidRDefault="0044617D" w:rsidP="002625A5">
      <w:pPr>
        <w:pStyle w:val="Prrafodelista"/>
        <w:numPr>
          <w:ilvl w:val="0"/>
          <w:numId w:val="35"/>
        </w:numPr>
        <w:spacing w:before="0" w:after="160" w:line="259" w:lineRule="auto"/>
        <w:contextualSpacing/>
        <w:rPr>
          <w:rFonts w:ascii="Arial" w:hAnsi="Arial" w:cs="Arial"/>
        </w:rPr>
      </w:pPr>
      <w:r w:rsidRPr="00104F4B">
        <w:rPr>
          <w:rFonts w:ascii="Arial" w:hAnsi="Arial" w:cs="Arial"/>
        </w:rPr>
        <w:t>Por primera vez el Sistema de Información Disciplinaria (SID3)</w:t>
      </w:r>
      <w:r w:rsidRPr="00104F4B">
        <w:rPr>
          <w:rFonts w:ascii="Arial" w:hAnsi="Arial" w:cs="Arial"/>
          <w:b/>
        </w:rPr>
        <w:t xml:space="preserve"> </w:t>
      </w:r>
      <w:r w:rsidRPr="00104F4B">
        <w:rPr>
          <w:rFonts w:ascii="Arial" w:hAnsi="Arial" w:cs="Arial"/>
        </w:rPr>
        <w:t>se encuentra al día con todos los procesos disciplinarios que se abrieron y atendieron desde enero del 2016 a la fecha, lo cual constituye una herramienta confiable, para el control y monitoreo de los mismos.</w:t>
      </w:r>
    </w:p>
    <w:p w:rsidR="0044617D" w:rsidRPr="00104F4B" w:rsidRDefault="0044617D" w:rsidP="002625A5">
      <w:pPr>
        <w:pStyle w:val="Prrafodelista"/>
        <w:numPr>
          <w:ilvl w:val="0"/>
          <w:numId w:val="35"/>
        </w:numPr>
        <w:spacing w:before="0" w:after="160" w:line="259" w:lineRule="auto"/>
        <w:contextualSpacing/>
        <w:rPr>
          <w:rFonts w:ascii="Arial" w:hAnsi="Arial" w:cs="Arial"/>
        </w:rPr>
      </w:pPr>
      <w:r w:rsidRPr="00104F4B">
        <w:rPr>
          <w:rFonts w:ascii="Arial" w:hAnsi="Arial" w:cs="Arial"/>
        </w:rPr>
        <w:t xml:space="preserve">Se actualizaron y/o diseñaron todos los formatos de cada tarea procesal que se deba adelantar. De un total de 98 formatos existentes que fueron objeto de revisión y análisis desde el año 2015, se actualizaron (15), se eliminaron (34) y se crearon (10) formatos nuevos,  </w:t>
      </w:r>
    </w:p>
    <w:p w:rsidR="0044617D" w:rsidRPr="00104F4B" w:rsidRDefault="0044617D" w:rsidP="002625A5">
      <w:pPr>
        <w:pStyle w:val="Prrafodelista"/>
        <w:numPr>
          <w:ilvl w:val="0"/>
          <w:numId w:val="35"/>
        </w:numPr>
        <w:spacing w:before="0" w:after="160" w:line="259" w:lineRule="auto"/>
        <w:contextualSpacing/>
        <w:rPr>
          <w:rFonts w:ascii="Arial" w:hAnsi="Arial" w:cs="Arial"/>
        </w:rPr>
      </w:pPr>
      <w:r w:rsidRPr="00104F4B">
        <w:rPr>
          <w:rFonts w:ascii="Arial" w:hAnsi="Arial" w:cs="Arial"/>
        </w:rPr>
        <w:t xml:space="preserve">Se generó un mecanismo de Mejores Prácticas Procesales, con el adelantamiento y socialización en talleres y reuniones, donde se originaron Directrices y Recomendaciones para la correcta atención y el adelantamiento del proceso disciplinario, lo cual se compila en carpetas físicas y virtuales para la consulta de todos los funcionarios y contratistas. </w:t>
      </w:r>
    </w:p>
    <w:p w:rsidR="0044617D" w:rsidRPr="00104F4B" w:rsidRDefault="0044617D" w:rsidP="002625A5">
      <w:pPr>
        <w:pStyle w:val="Prrafodelista"/>
        <w:numPr>
          <w:ilvl w:val="0"/>
          <w:numId w:val="35"/>
        </w:numPr>
        <w:spacing w:before="0" w:line="259" w:lineRule="auto"/>
        <w:contextualSpacing/>
        <w:rPr>
          <w:rFonts w:ascii="Arial" w:hAnsi="Arial" w:cs="Arial"/>
        </w:rPr>
      </w:pPr>
      <w:r w:rsidRPr="00104F4B">
        <w:rPr>
          <w:rFonts w:ascii="Arial" w:hAnsi="Arial" w:cs="Arial"/>
        </w:rPr>
        <w:t>Se desarrolló y gestionó estrategias de comunicación, obteniéndose un espacio en la Intranet del IDU (</w:t>
      </w:r>
      <w:hyperlink r:id="rId30" w:history="1">
        <w:r w:rsidRPr="00104F4B">
          <w:rPr>
            <w:rStyle w:val="Hipervnculo"/>
            <w:rFonts w:ascii="Arial" w:hAnsi="Arial" w:cs="Arial"/>
          </w:rPr>
          <w:t>http://lntranet/web/intranet/oficina-de-control-disciplinario</w:t>
        </w:r>
      </w:hyperlink>
      <w:r w:rsidRPr="00104F4B">
        <w:rPr>
          <w:rFonts w:ascii="Arial" w:hAnsi="Arial" w:cs="Arial"/>
        </w:rPr>
        <w:t>) donde se publican temas de interés disciplinario institucional, capacitaciones, eventos, preguntas frecuentes, lineamientos.</w:t>
      </w:r>
    </w:p>
    <w:p w:rsidR="0044617D" w:rsidRPr="00104F4B" w:rsidRDefault="0044617D" w:rsidP="002625A5">
      <w:pPr>
        <w:pStyle w:val="Prrafodelista"/>
        <w:numPr>
          <w:ilvl w:val="0"/>
          <w:numId w:val="35"/>
        </w:numPr>
        <w:autoSpaceDE w:val="0"/>
        <w:autoSpaceDN w:val="0"/>
        <w:adjustRightInd w:val="0"/>
        <w:spacing w:before="0"/>
        <w:contextualSpacing/>
        <w:jc w:val="left"/>
        <w:rPr>
          <w:rFonts w:ascii="Arial" w:hAnsi="Arial" w:cs="Arial"/>
        </w:rPr>
      </w:pPr>
      <w:r w:rsidRPr="00104F4B">
        <w:rPr>
          <w:rFonts w:ascii="Arial" w:hAnsi="Arial" w:cs="Arial"/>
        </w:rPr>
        <w:t>Se atendió y brindó oportuna respuesta al 100% (2.392) requerimientos recibidos en la OCD.</w:t>
      </w:r>
    </w:p>
    <w:p w:rsidR="0044617D" w:rsidRPr="00104F4B" w:rsidRDefault="0044617D" w:rsidP="002625A5">
      <w:pPr>
        <w:pStyle w:val="Prrafodelista"/>
        <w:numPr>
          <w:ilvl w:val="0"/>
          <w:numId w:val="35"/>
        </w:numPr>
        <w:autoSpaceDE w:val="0"/>
        <w:autoSpaceDN w:val="0"/>
        <w:adjustRightInd w:val="0"/>
        <w:spacing w:before="0"/>
        <w:contextualSpacing/>
        <w:jc w:val="left"/>
        <w:rPr>
          <w:rFonts w:ascii="Arial" w:hAnsi="Arial" w:cs="Arial"/>
        </w:rPr>
      </w:pPr>
      <w:r w:rsidRPr="00104F4B">
        <w:rPr>
          <w:rFonts w:ascii="Arial" w:hAnsi="Arial" w:cs="Arial"/>
        </w:rPr>
        <w:t>Igualmente se atendió dentro de los términos de ley el 100% de los procesos disciplinarios iniciados.</w:t>
      </w:r>
    </w:p>
    <w:p w:rsidR="0044617D" w:rsidRPr="00104F4B" w:rsidRDefault="0044617D" w:rsidP="002625A5">
      <w:pPr>
        <w:pStyle w:val="Prrafodelista"/>
        <w:numPr>
          <w:ilvl w:val="0"/>
          <w:numId w:val="35"/>
        </w:numPr>
        <w:autoSpaceDE w:val="0"/>
        <w:autoSpaceDN w:val="0"/>
        <w:adjustRightInd w:val="0"/>
        <w:spacing w:before="0"/>
        <w:contextualSpacing/>
        <w:rPr>
          <w:rFonts w:ascii="Arial" w:hAnsi="Arial" w:cs="Arial"/>
          <w:color w:val="000000" w:themeColor="text1"/>
        </w:rPr>
      </w:pPr>
      <w:r w:rsidRPr="00104F4B">
        <w:rPr>
          <w:rFonts w:ascii="Arial" w:hAnsi="Arial" w:cs="Arial"/>
          <w:color w:val="000000" w:themeColor="text1"/>
        </w:rPr>
        <w:t xml:space="preserve">Se capacitó en esta vigencia, en temas disciplinarios a más de 700 funcionarios y contratistas del IDU y el personal de esta oficina participó en más de 25 capacitaciones. </w:t>
      </w:r>
    </w:p>
    <w:p w:rsidR="0044617D" w:rsidRPr="00104F4B" w:rsidRDefault="0044617D" w:rsidP="002625A5">
      <w:pPr>
        <w:pStyle w:val="Prrafodelista"/>
        <w:numPr>
          <w:ilvl w:val="0"/>
          <w:numId w:val="35"/>
        </w:numPr>
        <w:autoSpaceDE w:val="0"/>
        <w:autoSpaceDN w:val="0"/>
        <w:adjustRightInd w:val="0"/>
        <w:spacing w:before="0"/>
        <w:contextualSpacing/>
        <w:rPr>
          <w:rFonts w:ascii="Arial" w:hAnsi="Arial" w:cs="Arial"/>
        </w:rPr>
      </w:pPr>
      <w:r w:rsidRPr="00104F4B">
        <w:rPr>
          <w:rFonts w:ascii="Arial" w:hAnsi="Arial" w:cs="Arial"/>
        </w:rPr>
        <w:t>Se crearon mecanismos de Control y Seguridad de la información documental y digital de los procesos que se atienden y se actualizó   la matriz de seguridad de la información, se adelantó análisis y valoración de riesgos para los procesos. Se efectuó seguimiento y actualización en riesgos de gestión y riegos de corrupción.</w:t>
      </w:r>
    </w:p>
    <w:p w:rsidR="0044617D" w:rsidRPr="00104F4B" w:rsidRDefault="0044617D" w:rsidP="00364859">
      <w:pPr>
        <w:pStyle w:val="Ttulo1"/>
        <w:rPr>
          <w:rFonts w:ascii="Arial" w:hAnsi="Arial" w:cs="Arial"/>
          <w:sz w:val="22"/>
          <w:szCs w:val="22"/>
        </w:rPr>
      </w:pPr>
      <w:bookmarkStart w:id="37" w:name="_Toc536195539"/>
      <w:r w:rsidRPr="00104F4B">
        <w:rPr>
          <w:rFonts w:ascii="Arial" w:hAnsi="Arial" w:cs="Arial"/>
          <w:sz w:val="22"/>
          <w:szCs w:val="22"/>
        </w:rPr>
        <w:lastRenderedPageBreak/>
        <w:t>3.4.3 Recomendaciones para el mejoramiento de la gestión</w:t>
      </w:r>
      <w:bookmarkEnd w:id="37"/>
    </w:p>
    <w:p w:rsidR="0044617D" w:rsidRPr="00104F4B" w:rsidRDefault="0044617D" w:rsidP="0044617D">
      <w:pPr>
        <w:pStyle w:val="Prrafodelista"/>
        <w:autoSpaceDE w:val="0"/>
        <w:autoSpaceDN w:val="0"/>
        <w:adjustRightInd w:val="0"/>
        <w:ind w:left="1080"/>
        <w:rPr>
          <w:rFonts w:ascii="Arial" w:hAnsi="Arial" w:cs="Arial"/>
        </w:rPr>
      </w:pPr>
    </w:p>
    <w:p w:rsidR="0044617D" w:rsidRPr="00104F4B" w:rsidRDefault="0044617D" w:rsidP="002625A5">
      <w:pPr>
        <w:pStyle w:val="Prrafodelista"/>
        <w:numPr>
          <w:ilvl w:val="0"/>
          <w:numId w:val="36"/>
        </w:numPr>
        <w:autoSpaceDE w:val="0"/>
        <w:autoSpaceDN w:val="0"/>
        <w:adjustRightInd w:val="0"/>
        <w:spacing w:before="0"/>
        <w:contextualSpacing/>
        <w:rPr>
          <w:rFonts w:ascii="Arial" w:hAnsi="Arial" w:cs="Arial"/>
        </w:rPr>
      </w:pPr>
      <w:r w:rsidRPr="00104F4B">
        <w:rPr>
          <w:rFonts w:ascii="Arial" w:hAnsi="Arial" w:cs="Arial"/>
        </w:rPr>
        <w:t xml:space="preserve">Se requiere la vinculación adicional de dos (2) profesionales especializados y un profesional universitario, para que coordinen y atiendan tareas y proyectos, relevantes para el mejoramiento de prácticas jurídicas y de  control Disciplinario;  </w:t>
      </w:r>
      <w:r w:rsidRPr="00104F4B">
        <w:rPr>
          <w:rFonts w:ascii="Arial" w:hAnsi="Arial" w:cs="Arial"/>
          <w:bCs/>
        </w:rPr>
        <w:t xml:space="preserve"> Revisión de proyectos de decisiones disciplinarias y la coordinación de términos y requerimientos de los procesos que se envían a la segunda instancia; Coordinar la capacitación Interna de los abogados en Audiencias Orales; Atiendan la interpretación y análisis de perfiles y riesgos disciplinarios internos del Instituto; Coordine el plan anual de capacitación disciplinaria estratégica y por consenso para el IDU, atienda y apoye procesos priorizados por tipología disciplinaria y/o por el nivel y jerarquía de quienes resulten vinculados a los procesos, la creación y administración de la Relatoría Disciplinaria, para que sirva de fuente de conocimiento y apoyo procesal,  Coordinar con la segunda instancia los requerimientos procesales de las investigaciones que surtan el recurso de Apelación, entre otros temas.</w:t>
      </w:r>
    </w:p>
    <w:p w:rsidR="0044617D" w:rsidRPr="00104F4B" w:rsidRDefault="0044617D" w:rsidP="002625A5">
      <w:pPr>
        <w:pStyle w:val="Prrafodelista"/>
        <w:numPr>
          <w:ilvl w:val="0"/>
          <w:numId w:val="36"/>
        </w:numPr>
        <w:autoSpaceDE w:val="0"/>
        <w:autoSpaceDN w:val="0"/>
        <w:adjustRightInd w:val="0"/>
        <w:spacing w:before="0"/>
        <w:contextualSpacing/>
        <w:rPr>
          <w:rFonts w:ascii="Arial" w:hAnsi="Arial" w:cs="Arial"/>
        </w:rPr>
      </w:pPr>
      <w:r w:rsidRPr="00104F4B">
        <w:rPr>
          <w:rFonts w:ascii="Arial" w:hAnsi="Arial" w:cs="Arial"/>
        </w:rPr>
        <w:t>Se requiere asignar un espacio con la adecuación locativa, tecnológica y amueblamiento para que funcione la sala de audiencias para procesos orales, al igual que se adecue un espacio físico, para alojar los archivos de expedientes que se encuentran a cargo de la OCD</w:t>
      </w:r>
    </w:p>
    <w:p w:rsidR="0044617D" w:rsidRPr="00104F4B" w:rsidRDefault="0044617D" w:rsidP="002625A5">
      <w:pPr>
        <w:pStyle w:val="Prrafodelista"/>
        <w:numPr>
          <w:ilvl w:val="0"/>
          <w:numId w:val="36"/>
        </w:numPr>
        <w:autoSpaceDE w:val="0"/>
        <w:autoSpaceDN w:val="0"/>
        <w:adjustRightInd w:val="0"/>
        <w:spacing w:before="0"/>
        <w:contextualSpacing/>
        <w:rPr>
          <w:rFonts w:ascii="Arial" w:hAnsi="Arial" w:cs="Arial"/>
        </w:rPr>
      </w:pPr>
      <w:r w:rsidRPr="00104F4B">
        <w:rPr>
          <w:rFonts w:ascii="Arial" w:hAnsi="Arial" w:cs="Arial"/>
        </w:rPr>
        <w:t>Solicitar el apoyo institucional, como también a otras entidades públicas, para adelantar y recibir capacitaciones, entre ellas el adelantamiento del procedimiento oral disciplinario.</w:t>
      </w:r>
    </w:p>
    <w:p w:rsidR="0044617D" w:rsidRPr="00104F4B" w:rsidRDefault="0044617D" w:rsidP="002625A5">
      <w:pPr>
        <w:pStyle w:val="Prrafodelista"/>
        <w:numPr>
          <w:ilvl w:val="0"/>
          <w:numId w:val="36"/>
        </w:numPr>
        <w:spacing w:before="0" w:after="160"/>
        <w:contextualSpacing/>
        <w:rPr>
          <w:rFonts w:ascii="Arial" w:hAnsi="Arial" w:cs="Arial"/>
        </w:rPr>
      </w:pPr>
      <w:r w:rsidRPr="00104F4B">
        <w:rPr>
          <w:rFonts w:ascii="Arial" w:hAnsi="Arial" w:cs="Arial"/>
        </w:rPr>
        <w:t>Solicitar la habilitación de un sistema tecnológico de control y acceso para las personas que ingresan a la OCD, al igual que un estudio sobre necesidades de cámaras de seguridad en las instalaciones actuales y las que se asignen para la OCD.</w:t>
      </w:r>
    </w:p>
    <w:p w:rsidR="0044617D" w:rsidRPr="00104F4B" w:rsidRDefault="0044617D" w:rsidP="002625A5">
      <w:pPr>
        <w:pStyle w:val="Prrafodelista"/>
        <w:numPr>
          <w:ilvl w:val="0"/>
          <w:numId w:val="36"/>
        </w:numPr>
        <w:spacing w:before="0" w:after="160"/>
        <w:contextualSpacing/>
        <w:rPr>
          <w:rFonts w:ascii="Arial" w:hAnsi="Arial" w:cs="Arial"/>
        </w:rPr>
      </w:pPr>
      <w:r w:rsidRPr="00104F4B">
        <w:rPr>
          <w:rFonts w:ascii="Arial" w:hAnsi="Arial" w:cs="Arial"/>
        </w:rPr>
        <w:t xml:space="preserve">Creación de la RELATORIA DISCIPLINARIA, la cual implemente y ponga a disposición de todo el IDU y particularmente a los abogados de la oficina, la compilación de normatividad, doctrina y jurisprudencia Disciplinaria que interesa y aplica en los procesos disciplinarios. </w:t>
      </w:r>
    </w:p>
    <w:p w:rsidR="0044617D" w:rsidRPr="00104F4B" w:rsidRDefault="0044617D" w:rsidP="0044617D">
      <w:pPr>
        <w:pStyle w:val="Prrafodelista"/>
        <w:rPr>
          <w:rFonts w:ascii="Arial" w:hAnsi="Arial" w:cs="Arial"/>
        </w:rPr>
      </w:pPr>
    </w:p>
    <w:p w:rsidR="0044617D" w:rsidRPr="00104F4B" w:rsidRDefault="0044617D" w:rsidP="0044617D">
      <w:pPr>
        <w:spacing w:before="0" w:after="160" w:line="259" w:lineRule="auto"/>
        <w:contextualSpacing/>
        <w:jc w:val="left"/>
        <w:rPr>
          <w:rFonts w:cs="Arial"/>
          <w:b/>
        </w:rPr>
      </w:pPr>
      <w:r w:rsidRPr="00104F4B">
        <w:rPr>
          <w:rFonts w:cs="Arial"/>
          <w:b/>
        </w:rPr>
        <w:t>Compromisos</w:t>
      </w:r>
    </w:p>
    <w:p w:rsidR="0044617D" w:rsidRPr="00104F4B" w:rsidRDefault="0044617D" w:rsidP="002625A5">
      <w:pPr>
        <w:pStyle w:val="Prrafodelista"/>
        <w:numPr>
          <w:ilvl w:val="0"/>
          <w:numId w:val="37"/>
        </w:numPr>
        <w:autoSpaceDE w:val="0"/>
        <w:autoSpaceDN w:val="0"/>
        <w:adjustRightInd w:val="0"/>
        <w:spacing w:before="0"/>
        <w:contextualSpacing/>
        <w:rPr>
          <w:rFonts w:ascii="Arial" w:hAnsi="Arial" w:cs="Arial"/>
        </w:rPr>
      </w:pPr>
      <w:r w:rsidRPr="00104F4B">
        <w:rPr>
          <w:rFonts w:ascii="Arial" w:hAnsi="Arial" w:cs="Arial"/>
        </w:rPr>
        <w:t>Elaborar y socializar el Plan de Capacitación IDU-2019, en materia de Prevención disciplinaria.</w:t>
      </w:r>
    </w:p>
    <w:p w:rsidR="0044617D" w:rsidRPr="00104F4B" w:rsidRDefault="0044617D" w:rsidP="002625A5">
      <w:pPr>
        <w:pStyle w:val="Prrafodelista"/>
        <w:numPr>
          <w:ilvl w:val="0"/>
          <w:numId w:val="37"/>
        </w:numPr>
        <w:autoSpaceDE w:val="0"/>
        <w:autoSpaceDN w:val="0"/>
        <w:adjustRightInd w:val="0"/>
        <w:spacing w:before="0"/>
        <w:contextualSpacing/>
        <w:rPr>
          <w:rFonts w:ascii="Arial" w:hAnsi="Arial" w:cs="Arial"/>
        </w:rPr>
      </w:pPr>
      <w:r w:rsidRPr="00104F4B">
        <w:rPr>
          <w:rFonts w:ascii="Arial" w:hAnsi="Arial" w:cs="Arial"/>
        </w:rPr>
        <w:t>Remisión periódica a las áreas o dependencias, de recomendaciones disciplinarias que surjan como resultado de las investigaciones adelantadas, que sirvan para la implementación de mejores prácticas y minimizar riesgos.</w:t>
      </w:r>
    </w:p>
    <w:p w:rsidR="0044617D" w:rsidRPr="00104F4B" w:rsidRDefault="0044617D" w:rsidP="002625A5">
      <w:pPr>
        <w:pStyle w:val="Prrafodelista"/>
        <w:numPr>
          <w:ilvl w:val="0"/>
          <w:numId w:val="37"/>
        </w:numPr>
        <w:autoSpaceDE w:val="0"/>
        <w:autoSpaceDN w:val="0"/>
        <w:adjustRightInd w:val="0"/>
        <w:spacing w:before="0"/>
        <w:contextualSpacing/>
        <w:rPr>
          <w:rFonts w:ascii="Arial" w:hAnsi="Arial" w:cs="Arial"/>
        </w:rPr>
      </w:pPr>
      <w:r w:rsidRPr="00104F4B">
        <w:rPr>
          <w:rFonts w:ascii="Arial" w:hAnsi="Arial" w:cs="Arial"/>
        </w:rPr>
        <w:t xml:space="preserve">Elaboración de informes Gerenciales estratégicos, que sirvan para la adopción de directrices que neutralicen riesgos detectados en las dependencias del Instituto. </w:t>
      </w:r>
    </w:p>
    <w:p w:rsidR="0044617D" w:rsidRPr="00104F4B" w:rsidRDefault="0044617D" w:rsidP="002625A5">
      <w:pPr>
        <w:pStyle w:val="Prrafodelista"/>
        <w:numPr>
          <w:ilvl w:val="0"/>
          <w:numId w:val="37"/>
        </w:numPr>
        <w:autoSpaceDE w:val="0"/>
        <w:autoSpaceDN w:val="0"/>
        <w:adjustRightInd w:val="0"/>
        <w:spacing w:before="0"/>
        <w:contextualSpacing/>
        <w:rPr>
          <w:rFonts w:ascii="Arial" w:hAnsi="Arial" w:cs="Arial"/>
        </w:rPr>
      </w:pPr>
      <w:r w:rsidRPr="00104F4B">
        <w:rPr>
          <w:rFonts w:ascii="Arial" w:hAnsi="Arial" w:cs="Arial"/>
        </w:rPr>
        <w:t>Elaboración de un protocolo ético que materialice internamente, el cumplimiento de la reserva legal de los procesos disciplinarios y ejecutar revisiones, en este mismo sentido, a los aplicativos e instrumentos, de que dispone esta Oficina, para que se minimice o neutralice el incumplimiento de tal mandato.</w:t>
      </w:r>
    </w:p>
    <w:p w:rsidR="0044617D" w:rsidRPr="00104F4B" w:rsidRDefault="0044617D" w:rsidP="002625A5">
      <w:pPr>
        <w:pStyle w:val="Prrafodelista"/>
        <w:numPr>
          <w:ilvl w:val="0"/>
          <w:numId w:val="37"/>
        </w:numPr>
        <w:autoSpaceDE w:val="0"/>
        <w:autoSpaceDN w:val="0"/>
        <w:adjustRightInd w:val="0"/>
        <w:spacing w:before="0"/>
        <w:contextualSpacing/>
        <w:rPr>
          <w:rFonts w:ascii="Arial" w:hAnsi="Arial" w:cs="Arial"/>
        </w:rPr>
      </w:pPr>
      <w:r w:rsidRPr="00104F4B">
        <w:rPr>
          <w:rFonts w:ascii="Arial" w:hAnsi="Arial" w:cs="Arial"/>
        </w:rPr>
        <w:t xml:space="preserve">Solicitar el apoyo institucional para que nos asignen, un espacio con la adecuación locativa, tecnológica y amueblamiento para el funcionamiento de la sala de audiencias públicas, para los procesos orales; al igual que se nos adecue un espacio físico, para alojar los archivos de expedientes que se </w:t>
      </w:r>
    </w:p>
    <w:p w:rsidR="0044617D" w:rsidRPr="00104F4B" w:rsidRDefault="0044617D" w:rsidP="002625A5">
      <w:pPr>
        <w:pStyle w:val="Prrafodelista"/>
        <w:numPr>
          <w:ilvl w:val="0"/>
          <w:numId w:val="37"/>
        </w:numPr>
        <w:autoSpaceDE w:val="0"/>
        <w:autoSpaceDN w:val="0"/>
        <w:adjustRightInd w:val="0"/>
        <w:spacing w:before="0"/>
        <w:contextualSpacing/>
        <w:rPr>
          <w:rFonts w:ascii="Arial" w:hAnsi="Arial" w:cs="Arial"/>
        </w:rPr>
      </w:pPr>
      <w:r w:rsidRPr="00104F4B">
        <w:rPr>
          <w:rFonts w:ascii="Arial" w:hAnsi="Arial" w:cs="Arial"/>
        </w:rPr>
        <w:t>Solicitar el apoyo institucional, para que se autorice la vinculación adicional de dos (2) profesionales especializados y un profesional universitario, que se encarguen de apoyar y coordinar proyectos, tareas y planes relevantes para el mejoramiento de prácticas jurídicas y de control Disciplinario.</w:t>
      </w:r>
    </w:p>
    <w:p w:rsidR="0044617D" w:rsidRPr="00104F4B" w:rsidRDefault="0044617D" w:rsidP="002625A5">
      <w:pPr>
        <w:pStyle w:val="Prrafodelista"/>
        <w:numPr>
          <w:ilvl w:val="0"/>
          <w:numId w:val="37"/>
        </w:numPr>
        <w:autoSpaceDE w:val="0"/>
        <w:autoSpaceDN w:val="0"/>
        <w:adjustRightInd w:val="0"/>
        <w:spacing w:before="0"/>
        <w:contextualSpacing/>
        <w:rPr>
          <w:rFonts w:ascii="Arial" w:hAnsi="Arial" w:cs="Arial"/>
        </w:rPr>
      </w:pPr>
      <w:r w:rsidRPr="00104F4B">
        <w:rPr>
          <w:rFonts w:ascii="Arial" w:hAnsi="Arial" w:cs="Arial"/>
        </w:rPr>
        <w:lastRenderedPageBreak/>
        <w:t>Solicitar la habilitación de un sistema tecnológico de control y acceso para las personas que ingresan a la OCD, al igual que un estudio sobre necesidades de cámaras de seguridad en las instalaciones actuales y las que se asignen para la OCD.</w:t>
      </w:r>
    </w:p>
    <w:p w:rsidR="00700491" w:rsidRPr="00104F4B" w:rsidRDefault="0044617D" w:rsidP="00364859">
      <w:pPr>
        <w:pStyle w:val="Ttulo1"/>
        <w:rPr>
          <w:rFonts w:ascii="Arial" w:hAnsi="Arial" w:cs="Arial"/>
          <w:sz w:val="22"/>
          <w:szCs w:val="22"/>
        </w:rPr>
      </w:pPr>
      <w:bookmarkStart w:id="38" w:name="_Toc536195540"/>
      <w:r w:rsidRPr="00104F4B">
        <w:rPr>
          <w:rFonts w:ascii="Arial" w:hAnsi="Arial" w:cs="Arial"/>
          <w:sz w:val="22"/>
          <w:szCs w:val="22"/>
        </w:rPr>
        <w:t xml:space="preserve">3.4.4 </w:t>
      </w:r>
      <w:r w:rsidR="00700491" w:rsidRPr="00104F4B">
        <w:rPr>
          <w:rFonts w:ascii="Arial" w:hAnsi="Arial" w:cs="Arial"/>
          <w:sz w:val="22"/>
          <w:szCs w:val="22"/>
        </w:rPr>
        <w:t>D</w:t>
      </w:r>
      <w:r w:rsidRPr="00104F4B">
        <w:rPr>
          <w:rFonts w:ascii="Arial" w:hAnsi="Arial" w:cs="Arial"/>
          <w:sz w:val="22"/>
          <w:szCs w:val="22"/>
        </w:rPr>
        <w:t>ificultades en la ejecución de la gestión a cargo</w:t>
      </w:r>
      <w:r w:rsidR="00700491" w:rsidRPr="00104F4B">
        <w:rPr>
          <w:rFonts w:ascii="Arial" w:hAnsi="Arial" w:cs="Arial"/>
          <w:sz w:val="22"/>
          <w:szCs w:val="22"/>
        </w:rPr>
        <w:t>.</w:t>
      </w:r>
      <w:bookmarkEnd w:id="38"/>
    </w:p>
    <w:p w:rsidR="00700491" w:rsidRPr="00104F4B" w:rsidRDefault="00700491" w:rsidP="00E2205F">
      <w:pPr>
        <w:pStyle w:val="Prrafodelista"/>
        <w:autoSpaceDE w:val="0"/>
        <w:autoSpaceDN w:val="0"/>
        <w:adjustRightInd w:val="0"/>
        <w:rPr>
          <w:rFonts w:ascii="Arial" w:hAnsi="Arial" w:cs="Arial"/>
          <w:b/>
          <w:bCs/>
        </w:rPr>
      </w:pPr>
    </w:p>
    <w:p w:rsidR="00700491" w:rsidRPr="00104F4B" w:rsidRDefault="00700491" w:rsidP="002625A5">
      <w:pPr>
        <w:pStyle w:val="Prrafodelista"/>
        <w:numPr>
          <w:ilvl w:val="0"/>
          <w:numId w:val="34"/>
        </w:numPr>
        <w:autoSpaceDE w:val="0"/>
        <w:autoSpaceDN w:val="0"/>
        <w:adjustRightInd w:val="0"/>
        <w:spacing w:before="0"/>
        <w:ind w:left="360"/>
        <w:contextualSpacing/>
        <w:rPr>
          <w:rFonts w:ascii="Arial" w:hAnsi="Arial" w:cs="Arial"/>
          <w:bCs/>
        </w:rPr>
      </w:pPr>
      <w:r w:rsidRPr="00104F4B">
        <w:rPr>
          <w:rFonts w:ascii="Arial" w:hAnsi="Arial" w:cs="Arial"/>
          <w:bCs/>
        </w:rPr>
        <w:t xml:space="preserve">Deficiente número de personal en la OCD, (2 profesionales y un tecnólogo) para tender en debida forma las labores de control y revisión de los proyectos de decisiones disciplinarias; capacitación Interna en el adelantamiento del Procedimiento Oral disciplinario; interpretación y análisis de perfiles y riesgos disciplinarios; Coordinación del plan de capacitación disciplinaria estratégica para la entidad, el diseño y construcción de la Relatoría Disciplinaria, Diseño y adecuación de la sala para Audiencias Verbales con el equipamiento y tecnología requerida, entre otros.  </w:t>
      </w:r>
    </w:p>
    <w:p w:rsidR="00700491" w:rsidRPr="00104F4B" w:rsidRDefault="00700491" w:rsidP="002625A5">
      <w:pPr>
        <w:pStyle w:val="Prrafodelista"/>
        <w:numPr>
          <w:ilvl w:val="0"/>
          <w:numId w:val="34"/>
        </w:numPr>
        <w:autoSpaceDE w:val="0"/>
        <w:autoSpaceDN w:val="0"/>
        <w:adjustRightInd w:val="0"/>
        <w:spacing w:before="0"/>
        <w:ind w:left="360"/>
        <w:contextualSpacing/>
        <w:rPr>
          <w:rFonts w:ascii="Arial" w:hAnsi="Arial" w:cs="Arial"/>
        </w:rPr>
      </w:pPr>
      <w:r w:rsidRPr="00104F4B">
        <w:rPr>
          <w:rFonts w:ascii="Arial" w:hAnsi="Arial" w:cs="Arial"/>
        </w:rPr>
        <w:t xml:space="preserve">Se requiere un espacio para la ubicación de una   sala de Audiencias que cuente </w:t>
      </w:r>
      <w:r w:rsidRPr="00104F4B">
        <w:rPr>
          <w:rFonts w:ascii="Arial" w:hAnsi="Arial" w:cs="Arial"/>
          <w:i/>
        </w:rPr>
        <w:t>con sistema de video, audio, archivo digital y demás equipamiento tecnológico para la</w:t>
      </w:r>
      <w:r w:rsidRPr="00104F4B">
        <w:rPr>
          <w:rFonts w:ascii="Arial" w:hAnsi="Arial" w:cs="Arial"/>
        </w:rPr>
        <w:t xml:space="preserve"> conservación, archivo y administración de todas las evidencias digitales de las audiencias orales que se atiendan y que además cuente con el amueblamiento específico de una sala de audiencias pública.</w:t>
      </w:r>
    </w:p>
    <w:p w:rsidR="00700491" w:rsidRPr="00104F4B" w:rsidRDefault="00700491" w:rsidP="002625A5">
      <w:pPr>
        <w:pStyle w:val="Prrafodelista"/>
        <w:numPr>
          <w:ilvl w:val="0"/>
          <w:numId w:val="34"/>
        </w:numPr>
        <w:autoSpaceDE w:val="0"/>
        <w:autoSpaceDN w:val="0"/>
        <w:adjustRightInd w:val="0"/>
        <w:spacing w:before="0"/>
        <w:ind w:left="360"/>
        <w:contextualSpacing/>
        <w:rPr>
          <w:rFonts w:ascii="Arial" w:hAnsi="Arial" w:cs="Arial"/>
        </w:rPr>
      </w:pPr>
      <w:r w:rsidRPr="00104F4B">
        <w:rPr>
          <w:rFonts w:ascii="Arial" w:hAnsi="Arial" w:cs="Arial"/>
        </w:rPr>
        <w:t xml:space="preserve">Falta de capacitación, en el adelantamiento del procedimiento disciplinario oral por parte de los abogados que laboran en la Oficina, teniendo en cuenta que se haya para sanción presidencial la nueva ley disciplinario que cambia el adelantamiento de los procesos disciplinarios a la ritualidad Oral. </w:t>
      </w:r>
    </w:p>
    <w:p w:rsidR="00700491" w:rsidRPr="00104F4B" w:rsidRDefault="00700491" w:rsidP="002625A5">
      <w:pPr>
        <w:pStyle w:val="Prrafodelista"/>
        <w:numPr>
          <w:ilvl w:val="0"/>
          <w:numId w:val="34"/>
        </w:numPr>
        <w:autoSpaceDE w:val="0"/>
        <w:autoSpaceDN w:val="0"/>
        <w:adjustRightInd w:val="0"/>
        <w:spacing w:before="0"/>
        <w:ind w:left="360"/>
        <w:contextualSpacing/>
        <w:rPr>
          <w:rFonts w:ascii="Arial" w:hAnsi="Arial" w:cs="Arial"/>
        </w:rPr>
      </w:pPr>
      <w:r w:rsidRPr="00104F4B">
        <w:rPr>
          <w:rFonts w:ascii="Arial" w:hAnsi="Arial" w:cs="Arial"/>
        </w:rPr>
        <w:t>Se han presentado fallas en el sistema SID3 que administra la Secretaría Jurídica de la Alcaldía Mayor de Bogotá, lo cual retrasa la actualización procesal dentro del aplicativo.</w:t>
      </w:r>
    </w:p>
    <w:p w:rsidR="00700491" w:rsidRPr="00104F4B" w:rsidRDefault="00700491" w:rsidP="002625A5">
      <w:pPr>
        <w:pStyle w:val="Prrafodelista"/>
        <w:numPr>
          <w:ilvl w:val="0"/>
          <w:numId w:val="34"/>
        </w:numPr>
        <w:autoSpaceDE w:val="0"/>
        <w:autoSpaceDN w:val="0"/>
        <w:adjustRightInd w:val="0"/>
        <w:spacing w:before="0"/>
        <w:ind w:left="360"/>
        <w:contextualSpacing/>
        <w:rPr>
          <w:rFonts w:ascii="Arial" w:hAnsi="Arial" w:cs="Arial"/>
        </w:rPr>
      </w:pPr>
      <w:r w:rsidRPr="00104F4B">
        <w:rPr>
          <w:rFonts w:ascii="Arial" w:hAnsi="Arial" w:cs="Arial"/>
        </w:rPr>
        <w:t>Se presentan fallas del servicio de energía y/o tecnológicos intermitentes a nivel de la sede alterna calle 20, caída de los distintos sistemas de información, lentitud de la velocidad.</w:t>
      </w:r>
    </w:p>
    <w:p w:rsidR="00700491" w:rsidRPr="00104F4B" w:rsidRDefault="00700491" w:rsidP="002625A5">
      <w:pPr>
        <w:pStyle w:val="Prrafodelista"/>
        <w:numPr>
          <w:ilvl w:val="0"/>
          <w:numId w:val="34"/>
        </w:numPr>
        <w:autoSpaceDE w:val="0"/>
        <w:autoSpaceDN w:val="0"/>
        <w:adjustRightInd w:val="0"/>
        <w:spacing w:before="0"/>
        <w:ind w:left="360"/>
        <w:contextualSpacing/>
        <w:rPr>
          <w:rFonts w:ascii="Arial" w:hAnsi="Arial" w:cs="Arial"/>
        </w:rPr>
      </w:pPr>
      <w:r w:rsidRPr="00104F4B">
        <w:rPr>
          <w:rFonts w:ascii="Arial" w:hAnsi="Arial" w:cs="Arial"/>
        </w:rPr>
        <w:t xml:space="preserve">Falta de un espacio físico para el almacenamiento de los procesos activos y aquellos que, aunque se encuentren archivados deben permanecer a disposición de la OCD, acorde a las tablas de Gestión documental. </w:t>
      </w:r>
    </w:p>
    <w:p w:rsidR="00700491" w:rsidRPr="00104F4B" w:rsidRDefault="00700491" w:rsidP="002625A5">
      <w:pPr>
        <w:pStyle w:val="Prrafodelista"/>
        <w:numPr>
          <w:ilvl w:val="0"/>
          <w:numId w:val="34"/>
        </w:numPr>
        <w:autoSpaceDE w:val="0"/>
        <w:autoSpaceDN w:val="0"/>
        <w:adjustRightInd w:val="0"/>
        <w:spacing w:before="0"/>
        <w:ind w:left="360"/>
        <w:contextualSpacing/>
        <w:rPr>
          <w:rFonts w:ascii="Arial" w:hAnsi="Arial" w:cs="Arial"/>
        </w:rPr>
      </w:pPr>
      <w:r w:rsidRPr="00104F4B">
        <w:rPr>
          <w:rFonts w:ascii="Arial" w:hAnsi="Arial" w:cs="Arial"/>
        </w:rPr>
        <w:t>Errónea clasificación por parte del Sistema Oficial de Documental del IDU, Orfeo, el cual quedó mal parametrizado y exige que toda la documentación que se reciba de un ente externo, sea clasificada como Derecho de Petición, aunque solo se trate de una invitación o su contenido solo sea informativa, debiéndose responder, sin que sea necesario, a fin de que el sistema no evidencie -un errado- incumplimiento.</w:t>
      </w:r>
    </w:p>
    <w:p w:rsidR="00700491" w:rsidRPr="00104F4B" w:rsidRDefault="00700491" w:rsidP="002625A5">
      <w:pPr>
        <w:pStyle w:val="Prrafodelista"/>
        <w:numPr>
          <w:ilvl w:val="0"/>
          <w:numId w:val="34"/>
        </w:numPr>
        <w:autoSpaceDE w:val="0"/>
        <w:autoSpaceDN w:val="0"/>
        <w:adjustRightInd w:val="0"/>
        <w:spacing w:before="0"/>
        <w:ind w:left="360"/>
        <w:contextualSpacing/>
        <w:rPr>
          <w:rFonts w:ascii="Arial" w:hAnsi="Arial" w:cs="Arial"/>
        </w:rPr>
      </w:pPr>
      <w:r w:rsidRPr="00104F4B">
        <w:rPr>
          <w:rFonts w:ascii="Arial" w:hAnsi="Arial" w:cs="Arial"/>
        </w:rPr>
        <w:t>Falta de marcación en los documentos dirigidos a esta Oficina como “reservado”, de las quejas, anónimos y/o de las respuestas de pruebas procesales que tienen como fin el adelantamiento de las investigaciones, dentro del sistema Orfeo.</w:t>
      </w:r>
    </w:p>
    <w:p w:rsidR="00700491" w:rsidRPr="00104F4B" w:rsidRDefault="00700491" w:rsidP="002625A5">
      <w:pPr>
        <w:pStyle w:val="Prrafodelista"/>
        <w:numPr>
          <w:ilvl w:val="0"/>
          <w:numId w:val="34"/>
        </w:numPr>
        <w:autoSpaceDE w:val="0"/>
        <w:autoSpaceDN w:val="0"/>
        <w:adjustRightInd w:val="0"/>
        <w:spacing w:before="0"/>
        <w:ind w:left="360"/>
        <w:contextualSpacing/>
        <w:rPr>
          <w:rFonts w:ascii="Arial" w:hAnsi="Arial" w:cs="Arial"/>
        </w:rPr>
      </w:pPr>
      <w:r w:rsidRPr="00104F4B">
        <w:rPr>
          <w:rFonts w:ascii="Arial" w:hAnsi="Arial" w:cs="Arial"/>
        </w:rPr>
        <w:t>Falta de plan de mantenimiento del funcionamiento eficiente del sistema de control de ingreso y salida de los funcionarios y/o, lo cual incide en la eficiencia probatoria que se requiere, dentro de algunos de los procesos disciplinarios que se atienden.</w:t>
      </w:r>
    </w:p>
    <w:p w:rsidR="00700491" w:rsidRDefault="00700491" w:rsidP="002625A5">
      <w:pPr>
        <w:pStyle w:val="Prrafodelista"/>
        <w:numPr>
          <w:ilvl w:val="0"/>
          <w:numId w:val="34"/>
        </w:numPr>
        <w:autoSpaceDE w:val="0"/>
        <w:autoSpaceDN w:val="0"/>
        <w:adjustRightInd w:val="0"/>
        <w:spacing w:before="0"/>
        <w:ind w:left="360"/>
        <w:contextualSpacing/>
        <w:rPr>
          <w:rFonts w:ascii="Arial" w:hAnsi="Arial" w:cs="Arial"/>
        </w:rPr>
      </w:pPr>
      <w:r w:rsidRPr="00104F4B">
        <w:rPr>
          <w:rFonts w:ascii="Arial" w:hAnsi="Arial" w:cs="Arial"/>
        </w:rPr>
        <w:t xml:space="preserve">Ampliación de cámaras de seguridad y de la cobertura de mayores espacios en todas las áreas del IDU y la conservación de tales grabaciones- como cláusula contractual en los respectivos contratos de seguridad-  hasta por un periodo máximo de 4 años, para que puedan coadyuvar en labores investigativas. </w:t>
      </w:r>
    </w:p>
    <w:p w:rsidR="003156EC" w:rsidRPr="003156EC" w:rsidRDefault="003156EC" w:rsidP="003156EC">
      <w:pPr>
        <w:pStyle w:val="Ttulo1"/>
        <w:rPr>
          <w:rFonts w:ascii="Arial" w:hAnsi="Arial" w:cs="Arial"/>
          <w:sz w:val="22"/>
          <w:szCs w:val="22"/>
        </w:rPr>
      </w:pPr>
      <w:bookmarkStart w:id="39" w:name="_Toc536195541"/>
      <w:r w:rsidRPr="003156EC">
        <w:rPr>
          <w:rFonts w:ascii="Arial" w:hAnsi="Arial" w:cs="Arial"/>
          <w:sz w:val="22"/>
          <w:szCs w:val="22"/>
        </w:rPr>
        <w:t>3.5 OFICINA DE ATENCIÓN AL CIUDADANO</w:t>
      </w:r>
      <w:bookmarkEnd w:id="39"/>
    </w:p>
    <w:p w:rsidR="003156EC" w:rsidRPr="00DC3D85" w:rsidRDefault="003156EC" w:rsidP="003156EC">
      <w:pPr>
        <w:rPr>
          <w:rFonts w:cs="Arial"/>
          <w:bCs/>
          <w:szCs w:val="22"/>
        </w:rPr>
      </w:pPr>
      <w:r w:rsidRPr="00DC3D85">
        <w:rPr>
          <w:rFonts w:cs="Arial"/>
          <w:bCs/>
          <w:szCs w:val="22"/>
        </w:rPr>
        <w:t xml:space="preserve">En las últimas dos décadas el Instituto de Desarrollo Urbano avanzó en la consolidación de estrategias y mecanismos de diálogo con la ciudadanía y gobernanza urbana como elementos constitutivos del desarrollo urbano de Bogotá. Desde 2016, y luego de un período en que la gestión </w:t>
      </w:r>
      <w:r w:rsidRPr="00DC3D85">
        <w:rPr>
          <w:rFonts w:cs="Arial"/>
          <w:bCs/>
          <w:szCs w:val="22"/>
        </w:rPr>
        <w:lastRenderedPageBreak/>
        <w:t xml:space="preserve">social estuvo diseminada en diversas áreas de la Entidad, vuelve a estar concentrada en la Oficina de Atención al Ciudadano – OTC por orden de la Dirección General a través la Directiva 20161250173163 de agosto de 2016, desde la cual se ha integrado la </w:t>
      </w:r>
      <w:r w:rsidRPr="00DC3D85">
        <w:rPr>
          <w:rFonts w:cs="Arial"/>
          <w:bCs/>
          <w:i/>
          <w:szCs w:val="22"/>
        </w:rPr>
        <w:t>Gestión Social y Servicio a la Ciudadanía</w:t>
      </w:r>
      <w:r w:rsidRPr="00DC3D85">
        <w:rPr>
          <w:rFonts w:cs="Arial"/>
          <w:bCs/>
          <w:szCs w:val="22"/>
        </w:rPr>
        <w:t xml:space="preserve"> como proceso estratégico de la Entidad, en el marco de dos pilares del Plan Distrital de Desarrollo 2016-2019 “Bogotá Mejor para Todos”: Democracia Urbana (segundo pilar) y Construcción de Comunidad y Cultura Ciudadana (tercer pilar).</w:t>
      </w:r>
    </w:p>
    <w:p w:rsidR="003156EC" w:rsidRPr="00DC3D85" w:rsidRDefault="003156EC" w:rsidP="003156EC">
      <w:pPr>
        <w:rPr>
          <w:rFonts w:cs="Arial"/>
          <w:szCs w:val="22"/>
        </w:rPr>
      </w:pPr>
      <w:r w:rsidRPr="00DC3D85">
        <w:rPr>
          <w:rFonts w:cs="Arial"/>
          <w:bCs/>
          <w:szCs w:val="22"/>
        </w:rPr>
        <w:t xml:space="preserve">Este informe sintetiza la gestión de la OTC durante la vigencia 2018, dando cuenta de aspectos principales del proceso estratégico a su cargo a través de </w:t>
      </w:r>
      <w:r w:rsidRPr="00DC3D85">
        <w:rPr>
          <w:rFonts w:cs="Arial"/>
          <w:szCs w:val="22"/>
        </w:rPr>
        <w:t>cuatro componentes:</w:t>
      </w:r>
    </w:p>
    <w:p w:rsidR="003156EC" w:rsidRPr="00ED62E1" w:rsidRDefault="003156EC" w:rsidP="00ED62E1">
      <w:pPr>
        <w:pStyle w:val="Ttulo1"/>
        <w:rPr>
          <w:rFonts w:ascii="Arial" w:hAnsi="Arial" w:cs="Arial"/>
          <w:sz w:val="22"/>
          <w:szCs w:val="22"/>
        </w:rPr>
      </w:pPr>
      <w:bookmarkStart w:id="40" w:name="_Toc536195542"/>
      <w:r w:rsidRPr="00ED62E1">
        <w:rPr>
          <w:rFonts w:ascii="Arial" w:hAnsi="Arial" w:cs="Arial"/>
          <w:sz w:val="22"/>
          <w:szCs w:val="22"/>
        </w:rPr>
        <w:t>3.5.1 Gestiones a Cargo</w:t>
      </w:r>
      <w:bookmarkEnd w:id="40"/>
    </w:p>
    <w:p w:rsidR="003156EC" w:rsidRPr="003156EC" w:rsidRDefault="003156EC" w:rsidP="003156EC">
      <w:pPr>
        <w:rPr>
          <w:lang w:eastAsia="es-CO"/>
        </w:rPr>
      </w:pPr>
    </w:p>
    <w:p w:rsidR="003156EC" w:rsidRPr="003156EC" w:rsidRDefault="003156EC" w:rsidP="003156EC">
      <w:pPr>
        <w:pStyle w:val="Contenidodelatabla"/>
        <w:jc w:val="both"/>
        <w:rPr>
          <w:rFonts w:ascii="Arial" w:hAnsi="Arial" w:cs="Arial"/>
          <w:sz w:val="22"/>
          <w:szCs w:val="22"/>
        </w:rPr>
      </w:pPr>
      <w:r w:rsidRPr="003156EC">
        <w:rPr>
          <w:rFonts w:ascii="Arial" w:hAnsi="Arial" w:cs="Arial"/>
          <w:b/>
          <w:sz w:val="22"/>
          <w:szCs w:val="22"/>
          <w:lang w:eastAsia="es-CO"/>
        </w:rPr>
        <w:t xml:space="preserve">GESTIÓN SOCIAL Y PARTICIPACION CIUDADANA: </w:t>
      </w:r>
      <w:r w:rsidRPr="003156EC">
        <w:rPr>
          <w:rFonts w:ascii="Arial" w:hAnsi="Arial" w:cs="Arial"/>
          <w:noProof/>
          <w:sz w:val="22"/>
          <w:szCs w:val="22"/>
          <w:lang w:eastAsia="es-CO" w:bidi="ar-SA"/>
        </w:rPr>
        <w:drawing>
          <wp:anchor distT="0" distB="0" distL="114300" distR="114300" simplePos="0" relativeHeight="251664384" behindDoc="0" locked="0" layoutInCell="1" allowOverlap="1" wp14:anchorId="20C1D406" wp14:editId="46EFB58F">
            <wp:simplePos x="0" y="0"/>
            <wp:positionH relativeFrom="margin">
              <wp:align>left</wp:align>
            </wp:positionH>
            <wp:positionV relativeFrom="margin">
              <wp:posOffset>4795461</wp:posOffset>
            </wp:positionV>
            <wp:extent cx="3210560" cy="2778125"/>
            <wp:effectExtent l="0" t="0" r="8890" b="3175"/>
            <wp:wrapSquare wrapText="bothSides"/>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229431" cy="2794109"/>
                    </a:xfrm>
                    <a:prstGeom prst="rect">
                      <a:avLst/>
                    </a:prstGeom>
                    <a:noFill/>
                  </pic:spPr>
                </pic:pic>
              </a:graphicData>
            </a:graphic>
            <wp14:sizeRelH relativeFrom="margin">
              <wp14:pctWidth>0</wp14:pctWidth>
            </wp14:sizeRelH>
            <wp14:sizeRelV relativeFrom="margin">
              <wp14:pctHeight>0</wp14:pctHeight>
            </wp14:sizeRelV>
          </wp:anchor>
        </w:drawing>
      </w:r>
      <w:r w:rsidRPr="003156EC">
        <w:rPr>
          <w:rFonts w:ascii="Arial" w:hAnsi="Arial" w:cs="Arial"/>
          <w:sz w:val="22"/>
          <w:szCs w:val="22"/>
        </w:rPr>
        <w:t>En gestión territorial la OTC cumplió en el 2018 con la participación en 983 reuniones institucionales, comunitarias y con actores políticos, manteniendo contacto permanente y directo con Alcaldes Locales y Equipos Asesores, Juntas Administradoras Locales, Concejales y Juntas de Acción Comunal, asumiendo así la representación del Instituto en diferentes escenarios locales y distritales, como las mesas de discapacidad, de mujer, de género, de habitante de calle y de reasentamiento, con el fin de entregar la información sobre la gestión del IDU en las localidades y el desarrollo de los contratos presentes en las mismas.</w:t>
      </w:r>
    </w:p>
    <w:p w:rsidR="003156EC" w:rsidRPr="003156EC" w:rsidRDefault="003156EC" w:rsidP="003156EC">
      <w:pPr>
        <w:rPr>
          <w:rFonts w:cs="Arial"/>
          <w:bCs/>
          <w:szCs w:val="22"/>
        </w:rPr>
      </w:pPr>
      <w:r w:rsidRPr="003156EC">
        <w:rPr>
          <w:rFonts w:cs="Arial"/>
          <w:bCs/>
          <w:szCs w:val="22"/>
        </w:rPr>
        <w:t>En cuanto a la gestión social de los proyectos de infraestructura, se realizaron 1275 reuniones en el 2018, en espacios como reuniones de inicio, avance finalización, extraordinarias, talleres de sostenibilidad, comités IDU, reuniones con comerciantes y comunidad.</w:t>
      </w:r>
    </w:p>
    <w:p w:rsidR="003156EC" w:rsidRPr="003156EC" w:rsidRDefault="003156EC" w:rsidP="003156EC">
      <w:pPr>
        <w:rPr>
          <w:rFonts w:cs="Arial"/>
          <w:szCs w:val="22"/>
        </w:rPr>
      </w:pPr>
      <w:r w:rsidRPr="003156EC">
        <w:rPr>
          <w:rFonts w:cs="Arial"/>
          <w:szCs w:val="22"/>
        </w:rPr>
        <w:t>Del mismo modo, durante el 2018 se estructuraron desde la Oficina de Atención al Ciudadano los pliegos sociales de 25 proyectos así como el componente social de 3 convenios, 14 prefactibilidades y 2 factibilidades. Finalmente, se realizó también el seguimiento del componente social de 143 proyectos (56% en ejecución y 44% en liquidación), logrando liquidar el componente social de 22 contratos (el 13% sobre el total de contratos a los que se les realizó seguimiento durante 2018).</w:t>
      </w:r>
    </w:p>
    <w:p w:rsidR="003156EC" w:rsidRPr="003156EC" w:rsidRDefault="003156EC" w:rsidP="003156EC">
      <w:pPr>
        <w:rPr>
          <w:rFonts w:cs="Arial"/>
          <w:szCs w:val="22"/>
        </w:rPr>
      </w:pPr>
    </w:p>
    <w:p w:rsidR="003156EC" w:rsidRPr="003156EC" w:rsidRDefault="003156EC" w:rsidP="003156EC">
      <w:pPr>
        <w:pStyle w:val="Contenidodelatabla"/>
        <w:rPr>
          <w:rFonts w:ascii="Arial" w:hAnsi="Arial" w:cs="Arial"/>
          <w:b/>
          <w:sz w:val="22"/>
          <w:szCs w:val="22"/>
        </w:rPr>
      </w:pPr>
      <w:r w:rsidRPr="003156EC">
        <w:rPr>
          <w:rFonts w:ascii="Arial" w:hAnsi="Arial" w:cs="Arial"/>
          <w:b/>
          <w:sz w:val="22"/>
          <w:szCs w:val="22"/>
        </w:rPr>
        <w:t>PROYECTO CULATAS Y REMANENTES</w:t>
      </w:r>
    </w:p>
    <w:p w:rsidR="003156EC" w:rsidRPr="00DC3D85" w:rsidRDefault="003156EC" w:rsidP="003156EC">
      <w:pPr>
        <w:rPr>
          <w:rFonts w:cs="Arial"/>
          <w:bCs/>
          <w:szCs w:val="22"/>
        </w:rPr>
      </w:pPr>
      <w:r w:rsidRPr="00DC3D85">
        <w:rPr>
          <w:rFonts w:cs="Arial"/>
          <w:bCs/>
          <w:szCs w:val="22"/>
        </w:rPr>
        <w:t>En 2018 la OTC construyó una estrategia de intervención en espacios que potencialmente se pueden constituir en culatas o remanentes a partir de procesos de diálogo ciudadano que involucran actores sociales y privados, y en coordinación con las entidades distritales, generando apropiación y cuidado del espacio público y contribuyendo así a la sostenibilidad de los proyectos. Esta estrategia contempla acciones diferenciadas a corto, mediano y largo plazo, teniendo en cuenta la situación de cada proyecto, sus características y la búsqueda de actores aliados para este proceso.</w:t>
      </w:r>
    </w:p>
    <w:p w:rsidR="003156EC" w:rsidRPr="00DC3D85" w:rsidRDefault="003156EC" w:rsidP="003156EC">
      <w:pPr>
        <w:pStyle w:val="Prrafodelista"/>
        <w:rPr>
          <w:rFonts w:ascii="Arial" w:hAnsi="Arial" w:cs="Arial"/>
        </w:rPr>
      </w:pPr>
    </w:p>
    <w:p w:rsidR="003156EC" w:rsidRPr="00DC3D85" w:rsidRDefault="003156EC" w:rsidP="00582748">
      <w:pPr>
        <w:pStyle w:val="Prrafodelista"/>
        <w:numPr>
          <w:ilvl w:val="0"/>
          <w:numId w:val="80"/>
        </w:numPr>
        <w:spacing w:before="0"/>
        <w:contextualSpacing/>
        <w:rPr>
          <w:rFonts w:ascii="Arial" w:hAnsi="Arial" w:cs="Arial"/>
        </w:rPr>
      </w:pPr>
      <w:r w:rsidRPr="00DC3D85">
        <w:rPr>
          <w:rFonts w:ascii="Arial" w:hAnsi="Arial" w:cs="Arial"/>
          <w:bCs/>
        </w:rPr>
        <w:t>Se realizó a</w:t>
      </w:r>
      <w:r w:rsidRPr="00DC3D85">
        <w:rPr>
          <w:rFonts w:ascii="Arial" w:eastAsiaTheme="minorHAnsi" w:hAnsi="Arial" w:cs="Arial"/>
        </w:rPr>
        <w:t>compañamiento a 5 proyectos en etapa de construcción</w:t>
      </w:r>
      <w:r w:rsidRPr="00DC3D85">
        <w:rPr>
          <w:rFonts w:ascii="Arial" w:hAnsi="Arial" w:cs="Arial"/>
        </w:rPr>
        <w:t xml:space="preserve"> (</w:t>
      </w:r>
      <w:r w:rsidRPr="00DC3D85">
        <w:rPr>
          <w:rFonts w:ascii="Arial" w:eastAsiaTheme="minorHAnsi" w:hAnsi="Arial" w:cs="Arial"/>
        </w:rPr>
        <w:t>Av</w:t>
      </w:r>
      <w:r w:rsidRPr="00DC3D85">
        <w:rPr>
          <w:rFonts w:ascii="Arial" w:hAnsi="Arial" w:cs="Arial"/>
        </w:rPr>
        <w:t xml:space="preserve">. </w:t>
      </w:r>
      <w:r w:rsidRPr="00DC3D85">
        <w:rPr>
          <w:rFonts w:ascii="Arial" w:eastAsiaTheme="minorHAnsi" w:hAnsi="Arial" w:cs="Arial"/>
        </w:rPr>
        <w:t>Ciudad de Cali</w:t>
      </w:r>
      <w:r w:rsidRPr="00DC3D85">
        <w:rPr>
          <w:rFonts w:ascii="Arial" w:hAnsi="Arial" w:cs="Arial"/>
        </w:rPr>
        <w:t>,</w:t>
      </w:r>
      <w:r w:rsidRPr="00DC3D85">
        <w:rPr>
          <w:rFonts w:ascii="Arial" w:eastAsiaTheme="minorHAnsi" w:hAnsi="Arial" w:cs="Arial"/>
        </w:rPr>
        <w:t xml:space="preserve"> Av</w:t>
      </w:r>
      <w:r w:rsidRPr="00DC3D85">
        <w:rPr>
          <w:rFonts w:ascii="Arial" w:hAnsi="Arial" w:cs="Arial"/>
        </w:rPr>
        <w:t xml:space="preserve">. </w:t>
      </w:r>
      <w:r w:rsidRPr="00DC3D85">
        <w:rPr>
          <w:rFonts w:ascii="Arial" w:eastAsiaTheme="minorHAnsi" w:hAnsi="Arial" w:cs="Arial"/>
        </w:rPr>
        <w:t>Bosa</w:t>
      </w:r>
      <w:r w:rsidRPr="00DC3D85">
        <w:rPr>
          <w:rFonts w:ascii="Arial" w:hAnsi="Arial" w:cs="Arial"/>
        </w:rPr>
        <w:t xml:space="preserve">, </w:t>
      </w:r>
      <w:r w:rsidRPr="00DC3D85">
        <w:rPr>
          <w:rFonts w:ascii="Arial" w:eastAsiaTheme="minorHAnsi" w:hAnsi="Arial" w:cs="Arial"/>
        </w:rPr>
        <w:t>Av</w:t>
      </w:r>
      <w:r w:rsidRPr="00DC3D85">
        <w:rPr>
          <w:rFonts w:ascii="Arial" w:hAnsi="Arial" w:cs="Arial"/>
        </w:rPr>
        <w:t xml:space="preserve">. </w:t>
      </w:r>
      <w:r w:rsidRPr="00DC3D85">
        <w:rPr>
          <w:rFonts w:ascii="Arial" w:eastAsiaTheme="minorHAnsi" w:hAnsi="Arial" w:cs="Arial"/>
        </w:rPr>
        <w:t>Rincón Tabor</w:t>
      </w:r>
      <w:r w:rsidRPr="00DC3D85">
        <w:rPr>
          <w:rFonts w:ascii="Arial" w:hAnsi="Arial" w:cs="Arial"/>
        </w:rPr>
        <w:t>,</w:t>
      </w:r>
      <w:r w:rsidRPr="00DC3D85">
        <w:rPr>
          <w:rFonts w:ascii="Arial" w:eastAsiaTheme="minorHAnsi" w:hAnsi="Arial" w:cs="Arial"/>
        </w:rPr>
        <w:t xml:space="preserve"> Av</w:t>
      </w:r>
      <w:r w:rsidRPr="00DC3D85">
        <w:rPr>
          <w:rFonts w:ascii="Arial" w:hAnsi="Arial" w:cs="Arial"/>
        </w:rPr>
        <w:t xml:space="preserve">. </w:t>
      </w:r>
      <w:r w:rsidRPr="00DC3D85">
        <w:rPr>
          <w:rFonts w:ascii="Arial" w:eastAsiaTheme="minorHAnsi" w:hAnsi="Arial" w:cs="Arial"/>
        </w:rPr>
        <w:lastRenderedPageBreak/>
        <w:t xml:space="preserve">Ferrocarril de Occidente </w:t>
      </w:r>
      <w:r w:rsidRPr="00DC3D85">
        <w:rPr>
          <w:rFonts w:ascii="Arial" w:hAnsi="Arial" w:cs="Arial"/>
        </w:rPr>
        <w:t xml:space="preserve">y </w:t>
      </w:r>
      <w:r w:rsidRPr="00DC3D85">
        <w:rPr>
          <w:rFonts w:ascii="Arial" w:eastAsiaTheme="minorHAnsi" w:hAnsi="Arial" w:cs="Arial"/>
        </w:rPr>
        <w:t>Av</w:t>
      </w:r>
      <w:r w:rsidRPr="00DC3D85">
        <w:rPr>
          <w:rFonts w:ascii="Arial" w:hAnsi="Arial" w:cs="Arial"/>
        </w:rPr>
        <w:t xml:space="preserve">. </w:t>
      </w:r>
      <w:r w:rsidRPr="00DC3D85">
        <w:rPr>
          <w:rFonts w:ascii="Arial" w:eastAsiaTheme="minorHAnsi" w:hAnsi="Arial" w:cs="Arial"/>
        </w:rPr>
        <w:t>Mutis</w:t>
      </w:r>
      <w:r w:rsidRPr="00DC3D85">
        <w:rPr>
          <w:rFonts w:ascii="Arial" w:hAnsi="Arial" w:cs="Arial"/>
        </w:rPr>
        <w:t>), se identificaron espacios remanentes y culatas, y las acciones de diálogo con las comunidades</w:t>
      </w:r>
      <w:r w:rsidRPr="00DC3D85">
        <w:rPr>
          <w:rFonts w:ascii="Arial" w:eastAsiaTheme="minorHAnsi" w:hAnsi="Arial" w:cs="Arial"/>
        </w:rPr>
        <w:t>.</w:t>
      </w:r>
      <w:r w:rsidRPr="00DC3D85">
        <w:rPr>
          <w:rFonts w:ascii="Arial" w:hAnsi="Arial" w:cs="Arial"/>
        </w:rPr>
        <w:t xml:space="preserve"> En Av. Bosa, se hizo un proceso de articulación interinstitucional con IDPAC para intervenir culatas a través de murales concertados con la comunidad. </w:t>
      </w:r>
    </w:p>
    <w:p w:rsidR="003156EC" w:rsidRPr="00DC3D85" w:rsidRDefault="003156EC" w:rsidP="00582748">
      <w:pPr>
        <w:pStyle w:val="Prrafodelista"/>
        <w:numPr>
          <w:ilvl w:val="0"/>
          <w:numId w:val="80"/>
        </w:numPr>
        <w:spacing w:before="0"/>
        <w:contextualSpacing/>
        <w:rPr>
          <w:rFonts w:ascii="Arial" w:hAnsi="Arial" w:cs="Arial"/>
        </w:rPr>
      </w:pPr>
      <w:r w:rsidRPr="00DC3D85">
        <w:rPr>
          <w:rFonts w:ascii="Arial" w:hAnsi="Arial" w:cs="Arial"/>
        </w:rPr>
        <w:t xml:space="preserve">En proyectos en </w:t>
      </w:r>
      <w:r w:rsidRPr="00DC3D85">
        <w:rPr>
          <w:rFonts w:ascii="Arial" w:eastAsiaTheme="minorHAnsi" w:hAnsi="Arial" w:cs="Arial"/>
        </w:rPr>
        <w:t>estudios y diseños</w:t>
      </w:r>
      <w:r w:rsidRPr="00DC3D85">
        <w:rPr>
          <w:rFonts w:ascii="Arial" w:hAnsi="Arial" w:cs="Arial"/>
        </w:rPr>
        <w:t xml:space="preserve"> (</w:t>
      </w:r>
      <w:r w:rsidRPr="00DC3D85">
        <w:rPr>
          <w:rFonts w:ascii="Arial" w:eastAsiaTheme="minorHAnsi" w:hAnsi="Arial" w:cs="Arial"/>
        </w:rPr>
        <w:t xml:space="preserve">Ampliación </w:t>
      </w:r>
      <w:r w:rsidRPr="00DC3D85">
        <w:rPr>
          <w:rFonts w:ascii="Arial" w:hAnsi="Arial" w:cs="Arial"/>
        </w:rPr>
        <w:t>Troncal</w:t>
      </w:r>
      <w:r w:rsidRPr="00DC3D85">
        <w:rPr>
          <w:rFonts w:ascii="Arial" w:eastAsiaTheme="minorHAnsi" w:hAnsi="Arial" w:cs="Arial"/>
        </w:rPr>
        <w:t xml:space="preserve"> Caracas</w:t>
      </w:r>
      <w:r w:rsidRPr="00DC3D85">
        <w:rPr>
          <w:rFonts w:ascii="Arial" w:hAnsi="Arial" w:cs="Arial"/>
        </w:rPr>
        <w:t>,</w:t>
      </w:r>
      <w:r w:rsidRPr="00DC3D85">
        <w:rPr>
          <w:rFonts w:ascii="Arial" w:eastAsiaTheme="minorHAnsi" w:hAnsi="Arial" w:cs="Arial"/>
        </w:rPr>
        <w:t xml:space="preserve"> Troncal Av Ciudad de Cali</w:t>
      </w:r>
      <w:r w:rsidRPr="00DC3D85">
        <w:rPr>
          <w:rFonts w:ascii="Arial" w:hAnsi="Arial" w:cs="Arial"/>
        </w:rPr>
        <w:t>,</w:t>
      </w:r>
      <w:r w:rsidRPr="00DC3D85">
        <w:rPr>
          <w:rFonts w:ascii="Arial" w:eastAsiaTheme="minorHAnsi" w:hAnsi="Arial" w:cs="Arial"/>
        </w:rPr>
        <w:t xml:space="preserve"> Troncal A</w:t>
      </w:r>
      <w:r w:rsidRPr="00DC3D85">
        <w:rPr>
          <w:rFonts w:ascii="Arial" w:hAnsi="Arial" w:cs="Arial"/>
        </w:rPr>
        <w:t xml:space="preserve">v. </w:t>
      </w:r>
      <w:r w:rsidRPr="00DC3D85">
        <w:rPr>
          <w:rFonts w:ascii="Arial" w:eastAsiaTheme="minorHAnsi" w:hAnsi="Arial" w:cs="Arial"/>
        </w:rPr>
        <w:t>68</w:t>
      </w:r>
      <w:r w:rsidRPr="00DC3D85">
        <w:rPr>
          <w:rFonts w:ascii="Arial" w:hAnsi="Arial" w:cs="Arial"/>
        </w:rPr>
        <w:t>, a</w:t>
      </w:r>
      <w:r w:rsidRPr="00DC3D85">
        <w:rPr>
          <w:rFonts w:ascii="Arial" w:eastAsiaTheme="minorHAnsi" w:hAnsi="Arial" w:cs="Arial"/>
        </w:rPr>
        <w:t xml:space="preserve">mpliación </w:t>
      </w:r>
      <w:r w:rsidRPr="00DC3D85">
        <w:rPr>
          <w:rFonts w:ascii="Arial" w:hAnsi="Arial" w:cs="Arial"/>
        </w:rPr>
        <w:t xml:space="preserve">de la Av. </w:t>
      </w:r>
      <w:r w:rsidRPr="00DC3D85">
        <w:rPr>
          <w:rFonts w:ascii="Arial" w:eastAsiaTheme="minorHAnsi" w:hAnsi="Arial" w:cs="Arial"/>
        </w:rPr>
        <w:t>1° de Mayo</w:t>
      </w:r>
      <w:r w:rsidRPr="00DC3D85">
        <w:rPr>
          <w:rFonts w:ascii="Arial" w:hAnsi="Arial" w:cs="Arial"/>
        </w:rPr>
        <w:t xml:space="preserve"> y Av. Rincón intersección con Av. Boyacá), se hizo seguimiento a producto de identificación de espacios; así mismo, se apoyó el proceso de solicitudes interesadas en adquisición de remanentes a lo largo de los proyectos en esta etapa.</w:t>
      </w:r>
    </w:p>
    <w:p w:rsidR="003156EC" w:rsidRPr="00DC3D85" w:rsidRDefault="003156EC" w:rsidP="00582748">
      <w:pPr>
        <w:pStyle w:val="Prrafodelista"/>
        <w:numPr>
          <w:ilvl w:val="0"/>
          <w:numId w:val="80"/>
        </w:numPr>
        <w:spacing w:before="0"/>
        <w:contextualSpacing/>
        <w:rPr>
          <w:rFonts w:ascii="Arial" w:hAnsi="Arial" w:cs="Arial"/>
        </w:rPr>
      </w:pPr>
      <w:r w:rsidRPr="00DC3D85">
        <w:rPr>
          <w:rFonts w:ascii="Arial" w:hAnsi="Arial" w:cs="Arial"/>
        </w:rPr>
        <w:t xml:space="preserve">Se incluyó el </w:t>
      </w:r>
      <w:r w:rsidRPr="00DC3D85">
        <w:rPr>
          <w:rFonts w:ascii="Arial" w:eastAsiaTheme="minorHAnsi" w:hAnsi="Arial" w:cs="Arial"/>
        </w:rPr>
        <w:t>programa de manejo al paisaje urbano, con estrategias de participación social, en los pliegos</w:t>
      </w:r>
      <w:r w:rsidRPr="00DC3D85">
        <w:rPr>
          <w:rFonts w:ascii="Arial" w:hAnsi="Arial" w:cs="Arial"/>
        </w:rPr>
        <w:t xml:space="preserve"> de la etapa</w:t>
      </w:r>
      <w:r w:rsidRPr="00DC3D85">
        <w:rPr>
          <w:rFonts w:ascii="Arial" w:eastAsiaTheme="minorHAnsi" w:hAnsi="Arial" w:cs="Arial"/>
        </w:rPr>
        <w:t xml:space="preserve"> de construcción</w:t>
      </w:r>
      <w:r w:rsidRPr="00DC3D85">
        <w:rPr>
          <w:rFonts w:ascii="Arial" w:hAnsi="Arial" w:cs="Arial"/>
        </w:rPr>
        <w:t xml:space="preserve"> de proyectos que inician en 2019 (adecuación Transmilenio por la Séptima, Av. Tintal–Alsacia–Bosa–Constitución, Av. Rincón intersección por Av. Boyacá, Intersección de la Av. Ferrocarril de Occidente y ampliación de la Troncal Caracas).  </w:t>
      </w:r>
    </w:p>
    <w:p w:rsidR="003156EC" w:rsidRPr="00DC3D85" w:rsidRDefault="003156EC" w:rsidP="00582748">
      <w:pPr>
        <w:pStyle w:val="Prrafodelista"/>
        <w:numPr>
          <w:ilvl w:val="0"/>
          <w:numId w:val="80"/>
        </w:numPr>
        <w:spacing w:before="0"/>
        <w:contextualSpacing/>
        <w:rPr>
          <w:rFonts w:ascii="Arial" w:hAnsi="Arial" w:cs="Arial"/>
        </w:rPr>
      </w:pPr>
      <w:r w:rsidRPr="00DC3D85">
        <w:rPr>
          <w:rFonts w:ascii="Arial" w:hAnsi="Arial" w:cs="Arial"/>
        </w:rPr>
        <w:t xml:space="preserve">Se acompañó inclusión del muro de la calle 45 costado sur entre carreras 7ma y 13 en el contrato IDU-1285-2018, con el fin se mejorar las condiciones físicas del sector. </w:t>
      </w:r>
    </w:p>
    <w:p w:rsidR="003156EC" w:rsidRPr="00DC3D85" w:rsidRDefault="003156EC" w:rsidP="003156EC">
      <w:pPr>
        <w:rPr>
          <w:rFonts w:cs="Arial"/>
          <w:b/>
        </w:rPr>
      </w:pPr>
      <w:bookmarkStart w:id="41" w:name="_Toc504055519"/>
      <w:r w:rsidRPr="00DC3D85">
        <w:rPr>
          <w:rFonts w:cs="Arial"/>
          <w:b/>
        </w:rPr>
        <w:t>CANALES DE ATENCIÓN AL CIUDADANO</w:t>
      </w:r>
      <w:bookmarkEnd w:id="41"/>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6"/>
        <w:gridCol w:w="4978"/>
      </w:tblGrid>
      <w:tr w:rsidR="003156EC" w:rsidRPr="00DC3D85" w:rsidTr="003156EC">
        <w:tc>
          <w:tcPr>
            <w:tcW w:w="4416" w:type="dxa"/>
          </w:tcPr>
          <w:p w:rsidR="003156EC" w:rsidRPr="00DC3D85" w:rsidRDefault="003156EC" w:rsidP="003156EC">
            <w:pPr>
              <w:rPr>
                <w:rFonts w:cs="Arial"/>
                <w:szCs w:val="22"/>
              </w:rPr>
            </w:pPr>
            <w:r w:rsidRPr="00DC3D85">
              <w:rPr>
                <w:rFonts w:cs="Arial"/>
                <w:bCs/>
                <w:noProof/>
                <w:szCs w:val="22"/>
                <w:lang w:val="es-CO" w:eastAsia="es-CO"/>
              </w:rPr>
              <w:drawing>
                <wp:inline distT="0" distB="0" distL="0" distR="0" wp14:anchorId="7514FE72" wp14:editId="417250E7">
                  <wp:extent cx="2631796" cy="1614115"/>
                  <wp:effectExtent l="19050" t="19050" r="16510" b="24765"/>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12192" cy="1663423"/>
                          </a:xfrm>
                          <a:prstGeom prst="rect">
                            <a:avLst/>
                          </a:prstGeom>
                          <a:noFill/>
                          <a:ln>
                            <a:solidFill>
                              <a:schemeClr val="tx1"/>
                            </a:solidFill>
                          </a:ln>
                        </pic:spPr>
                      </pic:pic>
                    </a:graphicData>
                  </a:graphic>
                </wp:inline>
              </w:drawing>
            </w:r>
          </w:p>
        </w:tc>
        <w:tc>
          <w:tcPr>
            <w:tcW w:w="4978" w:type="dxa"/>
            <w:vAlign w:val="center"/>
          </w:tcPr>
          <w:p w:rsidR="003156EC" w:rsidRPr="00DC3D85" w:rsidRDefault="003156EC" w:rsidP="003156EC">
            <w:pPr>
              <w:rPr>
                <w:rFonts w:cs="Arial"/>
                <w:szCs w:val="22"/>
              </w:rPr>
            </w:pPr>
            <w:r w:rsidRPr="00DC3D85">
              <w:rPr>
                <w:rFonts w:cs="Arial"/>
                <w:szCs w:val="22"/>
              </w:rPr>
              <w:t>Durante 2018 se atendieron 29.666 requerimientos ciudadanos, de los cuales la OTC atendió en primer contacto 11.171 PQRS (37.66%), en los Puntos IDU se atendieron 2.765 PQRS (9.32%), en Dirección Técnica de Predios 84 PQRS (0.28%) y 15.646 derechos de petición (52.74%) fueron respondidos por las distintas dependencias del Instituto (incluidas OTC y DTDP).</w:t>
            </w:r>
          </w:p>
        </w:tc>
      </w:tr>
      <w:tr w:rsidR="003156EC" w:rsidRPr="00DC3D85" w:rsidTr="003156EC">
        <w:tc>
          <w:tcPr>
            <w:tcW w:w="4416" w:type="dxa"/>
          </w:tcPr>
          <w:p w:rsidR="003156EC" w:rsidRPr="00DC3D85" w:rsidRDefault="003156EC" w:rsidP="003156EC">
            <w:pPr>
              <w:rPr>
                <w:rFonts w:cs="Arial"/>
                <w:szCs w:val="22"/>
              </w:rPr>
            </w:pPr>
            <w:r w:rsidRPr="00DC3D85">
              <w:rPr>
                <w:rFonts w:cs="Arial"/>
                <w:bCs/>
                <w:noProof/>
                <w:szCs w:val="22"/>
                <w:lang w:val="es-CO" w:eastAsia="es-CO"/>
              </w:rPr>
              <w:drawing>
                <wp:inline distT="0" distB="0" distL="0" distR="0" wp14:anchorId="59968090" wp14:editId="7DCEFB8F">
                  <wp:extent cx="2633222" cy="1359673"/>
                  <wp:effectExtent l="19050" t="19050" r="15240" b="1206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713804" cy="1401282"/>
                          </a:xfrm>
                          <a:prstGeom prst="rect">
                            <a:avLst/>
                          </a:prstGeom>
                          <a:noFill/>
                          <a:ln>
                            <a:solidFill>
                              <a:schemeClr val="tx1"/>
                            </a:solidFill>
                          </a:ln>
                        </pic:spPr>
                      </pic:pic>
                    </a:graphicData>
                  </a:graphic>
                </wp:inline>
              </w:drawing>
            </w:r>
          </w:p>
        </w:tc>
        <w:tc>
          <w:tcPr>
            <w:tcW w:w="4978" w:type="dxa"/>
            <w:vAlign w:val="center"/>
          </w:tcPr>
          <w:p w:rsidR="003156EC" w:rsidRPr="00DC3D85" w:rsidRDefault="003156EC" w:rsidP="003156EC">
            <w:pPr>
              <w:rPr>
                <w:rFonts w:cs="Arial"/>
                <w:szCs w:val="22"/>
              </w:rPr>
            </w:pPr>
            <w:r w:rsidRPr="00DC3D85">
              <w:rPr>
                <w:rFonts w:cs="Arial"/>
                <w:szCs w:val="22"/>
              </w:rPr>
              <w:t>Analizando los resultados frente a los canales de atención, se puede establecer que el canal virtual (Chat, SDQS, formulario web y e-mail IDU) es el que más utiliza la ciudadanía para contactarse con el IDU y presentar sus requerimientos.</w:t>
            </w:r>
          </w:p>
        </w:tc>
      </w:tr>
      <w:tr w:rsidR="003156EC" w:rsidRPr="00DC3D85" w:rsidTr="003156EC">
        <w:tc>
          <w:tcPr>
            <w:tcW w:w="4416" w:type="dxa"/>
          </w:tcPr>
          <w:p w:rsidR="003156EC" w:rsidRPr="00DC3D85" w:rsidRDefault="003156EC" w:rsidP="003156EC">
            <w:pPr>
              <w:rPr>
                <w:rFonts w:cs="Arial"/>
                <w:szCs w:val="22"/>
              </w:rPr>
            </w:pPr>
            <w:r w:rsidRPr="00DC3D85">
              <w:rPr>
                <w:rFonts w:cs="Arial"/>
                <w:noProof/>
                <w:szCs w:val="22"/>
                <w:lang w:val="es-CO" w:eastAsia="es-CO"/>
              </w:rPr>
              <w:drawing>
                <wp:inline distT="0" distB="0" distL="0" distR="0" wp14:anchorId="0895A8B2" wp14:editId="70755EFF">
                  <wp:extent cx="2633617" cy="1272208"/>
                  <wp:effectExtent l="19050" t="19050" r="14605" b="23495"/>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664252" cy="1287007"/>
                          </a:xfrm>
                          <a:prstGeom prst="rect">
                            <a:avLst/>
                          </a:prstGeom>
                          <a:noFill/>
                          <a:ln>
                            <a:solidFill>
                              <a:schemeClr val="tx1"/>
                            </a:solidFill>
                          </a:ln>
                        </pic:spPr>
                      </pic:pic>
                    </a:graphicData>
                  </a:graphic>
                </wp:inline>
              </w:drawing>
            </w:r>
          </w:p>
        </w:tc>
        <w:tc>
          <w:tcPr>
            <w:tcW w:w="4978" w:type="dxa"/>
            <w:vAlign w:val="center"/>
          </w:tcPr>
          <w:p w:rsidR="003156EC" w:rsidRPr="00DC3D85" w:rsidRDefault="003156EC" w:rsidP="003156EC">
            <w:pPr>
              <w:rPr>
                <w:rFonts w:cs="Arial"/>
                <w:szCs w:val="22"/>
              </w:rPr>
            </w:pPr>
            <w:r w:rsidRPr="00DC3D85">
              <w:rPr>
                <w:rFonts w:cs="Arial"/>
                <w:szCs w:val="22"/>
              </w:rPr>
              <w:t>En 2018 se atendieron 12.950 PQRS a través del canal virtual (el 43,65% del total recibido), seguido del canal escrito con PQRS 10.797 (36,40%), el presencial con 3.959 pqrs (13,35%) y el telefónico con 1.960 pqrs (6,61%).</w:t>
            </w:r>
          </w:p>
        </w:tc>
      </w:tr>
      <w:tr w:rsidR="003156EC" w:rsidRPr="00DC3D85" w:rsidTr="003156EC">
        <w:trPr>
          <w:trHeight w:val="2128"/>
        </w:trPr>
        <w:tc>
          <w:tcPr>
            <w:tcW w:w="4416" w:type="dxa"/>
          </w:tcPr>
          <w:p w:rsidR="003156EC" w:rsidRPr="00DC3D85" w:rsidRDefault="003156EC" w:rsidP="003156EC">
            <w:pPr>
              <w:rPr>
                <w:rFonts w:cs="Arial"/>
                <w:szCs w:val="22"/>
              </w:rPr>
            </w:pPr>
            <w:r w:rsidRPr="00DC3D85">
              <w:rPr>
                <w:rFonts w:cs="Arial"/>
                <w:bCs/>
                <w:noProof/>
                <w:szCs w:val="22"/>
                <w:lang w:val="es-CO" w:eastAsia="es-CO"/>
              </w:rPr>
              <w:lastRenderedPageBreak/>
              <w:drawing>
                <wp:inline distT="0" distB="0" distL="0" distR="0" wp14:anchorId="61CA4E87" wp14:editId="29336E7B">
                  <wp:extent cx="2634786" cy="1343025"/>
                  <wp:effectExtent l="19050" t="19050" r="13335" b="9525"/>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672156" cy="1362074"/>
                          </a:xfrm>
                          <a:prstGeom prst="rect">
                            <a:avLst/>
                          </a:prstGeom>
                          <a:noFill/>
                          <a:ln>
                            <a:solidFill>
                              <a:schemeClr val="tx1"/>
                            </a:solidFill>
                          </a:ln>
                        </pic:spPr>
                      </pic:pic>
                    </a:graphicData>
                  </a:graphic>
                </wp:inline>
              </w:drawing>
            </w:r>
          </w:p>
        </w:tc>
        <w:tc>
          <w:tcPr>
            <w:tcW w:w="4978" w:type="dxa"/>
            <w:vAlign w:val="center"/>
          </w:tcPr>
          <w:p w:rsidR="003156EC" w:rsidRPr="00DC3D85" w:rsidRDefault="003156EC" w:rsidP="003156EC">
            <w:pPr>
              <w:rPr>
                <w:rFonts w:cs="Arial"/>
                <w:szCs w:val="22"/>
              </w:rPr>
            </w:pPr>
            <w:r w:rsidRPr="00DC3D85">
              <w:rPr>
                <w:rFonts w:cs="Arial"/>
                <w:szCs w:val="22"/>
              </w:rPr>
              <w:t>En cuanto al tipo de requerimiento, de los 29.666 recibidos, se atendieron 23.683 peticiones (79,83%), 5.743 reclamos (19,36%), 91 sugerencias (0,31%), 82 quejas (0,28%), 62 denuncias (0,21%) y 5 consultas (0,02%).</w:t>
            </w:r>
          </w:p>
        </w:tc>
      </w:tr>
    </w:tbl>
    <w:p w:rsidR="003156EC" w:rsidRPr="00DC3D85" w:rsidRDefault="003156EC" w:rsidP="003156EC">
      <w:pPr>
        <w:rPr>
          <w:rFonts w:cs="Arial"/>
          <w:bCs/>
          <w:szCs w:val="22"/>
          <w:highlight w:val="yellow"/>
        </w:rPr>
      </w:pPr>
    </w:p>
    <w:p w:rsidR="003156EC" w:rsidRPr="00DC3D85" w:rsidRDefault="003156EC" w:rsidP="003156EC">
      <w:pPr>
        <w:autoSpaceDE w:val="0"/>
        <w:autoSpaceDN w:val="0"/>
        <w:adjustRightInd w:val="0"/>
        <w:rPr>
          <w:rFonts w:cs="Arial"/>
          <w:szCs w:val="22"/>
        </w:rPr>
      </w:pPr>
      <w:r w:rsidRPr="00DC3D85">
        <w:rPr>
          <w:rFonts w:cs="Arial"/>
          <w:szCs w:val="22"/>
        </w:rPr>
        <w:t xml:space="preserve">Por otro lado, la OTC ha impulsado una iniciativa estratégica institucional con el fin de mejorar los canales de atención al ciudadano, consistente en la integración del Sistema de Gestión Social, Participación y datos Abiertos Módulo Gestión de PQRS de Canales- BACHUE” con el Sistema Distrital  Bogotá Te Escucha – SDQS. </w:t>
      </w:r>
    </w:p>
    <w:p w:rsidR="003156EC" w:rsidRPr="00DC3D85" w:rsidRDefault="003156EC" w:rsidP="003156EC">
      <w:pPr>
        <w:rPr>
          <w:rFonts w:cs="Arial"/>
          <w:szCs w:val="22"/>
        </w:rPr>
      </w:pPr>
    </w:p>
    <w:p w:rsidR="003156EC" w:rsidRPr="00DC3D85" w:rsidRDefault="003156EC" w:rsidP="003156EC">
      <w:pPr>
        <w:rPr>
          <w:rFonts w:cs="Arial"/>
          <w:szCs w:val="22"/>
        </w:rPr>
      </w:pPr>
      <w:r w:rsidRPr="00DC3D85">
        <w:rPr>
          <w:rFonts w:cs="Arial"/>
          <w:szCs w:val="22"/>
        </w:rPr>
        <w:t>Como consecuencia de lo anterior, esta Oficina viene trabajando en coordinación con la Dirección Distrital de Calidad del Servicio de la Alcaldía Mayor, para lograr dicha integración. A la fecha se han llevado las pruebas y validaciones en la plataforma suministrada por la Secretaria General, dicha entidad emitió el acta #1 de fecha diciembre 17 de  2018 con el fin de entregar el Usuario WEB SERVICE al IDU para que en el año 2019 se lleve a producción.</w:t>
      </w:r>
    </w:p>
    <w:p w:rsidR="003156EC" w:rsidRPr="00DC3D85" w:rsidRDefault="003156EC" w:rsidP="003156EC">
      <w:pPr>
        <w:rPr>
          <w:rFonts w:cs="Arial"/>
          <w:bCs/>
          <w:szCs w:val="22"/>
          <w:highlight w:val="yellow"/>
        </w:rPr>
      </w:pPr>
    </w:p>
    <w:p w:rsidR="003156EC" w:rsidRPr="00DC3D85" w:rsidRDefault="003156EC" w:rsidP="003156EC">
      <w:pPr>
        <w:rPr>
          <w:rFonts w:cs="Arial"/>
          <w:b/>
          <w:szCs w:val="22"/>
        </w:rPr>
      </w:pPr>
      <w:bookmarkStart w:id="42" w:name="_Toc504055521"/>
      <w:r w:rsidRPr="00DC3D85">
        <w:rPr>
          <w:rFonts w:cs="Arial"/>
          <w:b/>
          <w:szCs w:val="22"/>
        </w:rPr>
        <w:t>SEGUIMIENTO Y EVALUACIÓN</w:t>
      </w:r>
      <w:bookmarkEnd w:id="42"/>
      <w:r w:rsidRPr="00DC3D85">
        <w:rPr>
          <w:rFonts w:cs="Arial"/>
          <w:b/>
          <w:szCs w:val="22"/>
        </w:rPr>
        <w:t xml:space="preserve"> </w:t>
      </w:r>
    </w:p>
    <w:tbl>
      <w:tblPr>
        <w:tblStyle w:val="Tablaconcuadrcula"/>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6"/>
        <w:gridCol w:w="4366"/>
      </w:tblGrid>
      <w:tr w:rsidR="003156EC" w:rsidRPr="00DC3D85" w:rsidTr="003156EC">
        <w:tc>
          <w:tcPr>
            <w:tcW w:w="5387" w:type="dxa"/>
          </w:tcPr>
          <w:p w:rsidR="003156EC" w:rsidRPr="00DC3D85" w:rsidRDefault="003156EC" w:rsidP="003156EC">
            <w:pPr>
              <w:rPr>
                <w:rFonts w:cs="Arial"/>
                <w:szCs w:val="22"/>
              </w:rPr>
            </w:pPr>
            <w:r w:rsidRPr="00DC3D85">
              <w:rPr>
                <w:rFonts w:cs="Arial"/>
                <w:noProof/>
                <w:szCs w:val="22"/>
                <w:lang w:val="es-CO" w:eastAsia="es-CO"/>
              </w:rPr>
              <w:drawing>
                <wp:inline distT="0" distB="0" distL="0" distR="0" wp14:anchorId="35222B91" wp14:editId="7AEE2D11">
                  <wp:extent cx="3317359" cy="1987550"/>
                  <wp:effectExtent l="0" t="0" r="16510" b="12700"/>
                  <wp:docPr id="2" name="Gráfico 2">
                    <a:extLst xmlns:a="http://schemas.openxmlformats.org/drawingml/2006/main">
                      <a:ext uri="{FF2B5EF4-FFF2-40B4-BE49-F238E27FC236}">
                        <a16:creationId xmlns:a16="http://schemas.microsoft.com/office/drawing/2014/main" id="{EE8F20FB-26B3-4032-B04E-3F5844A81EA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tc>
        <w:tc>
          <w:tcPr>
            <w:tcW w:w="4387" w:type="dxa"/>
          </w:tcPr>
          <w:p w:rsidR="003156EC" w:rsidRPr="00DC3D85" w:rsidRDefault="003156EC" w:rsidP="003156EC">
            <w:pPr>
              <w:rPr>
                <w:rFonts w:cs="Arial"/>
                <w:szCs w:val="22"/>
              </w:rPr>
            </w:pPr>
            <w:r w:rsidRPr="00DC3D85">
              <w:rPr>
                <w:rFonts w:cs="Arial"/>
                <w:szCs w:val="22"/>
              </w:rPr>
              <w:t xml:space="preserve">En 2018 fueron realizadas </w:t>
            </w:r>
            <w:r w:rsidRPr="00DC3D85">
              <w:rPr>
                <w:rFonts w:cs="Arial"/>
                <w:b/>
                <w:szCs w:val="22"/>
              </w:rPr>
              <w:t xml:space="preserve">13,408 </w:t>
            </w:r>
            <w:r w:rsidRPr="00DC3D85">
              <w:rPr>
                <w:rFonts w:cs="Arial"/>
                <w:szCs w:val="22"/>
              </w:rPr>
              <w:t>encuestas de expectativa, percepción y/o satisfacción ciudadana con los proyectos adelantados por el IDU en sus diferentes etapas: factibilidad, estudios y diseños y construcción (Exante, Durante y Expost), y satisfacción por la atención ofrecida por la entidad en los diferentes canales de servicios (valorización, PQRS y PQRS puntos IDU).</w:t>
            </w:r>
          </w:p>
        </w:tc>
      </w:tr>
    </w:tbl>
    <w:p w:rsidR="003156EC" w:rsidRPr="00DC3D85" w:rsidRDefault="003156EC" w:rsidP="003156EC">
      <w:pPr>
        <w:pStyle w:val="Ttulo3"/>
        <w:spacing w:before="0"/>
        <w:rPr>
          <w:rFonts w:ascii="Arial" w:hAnsi="Arial" w:cs="Arial"/>
          <w:sz w:val="22"/>
          <w:szCs w:val="22"/>
        </w:rPr>
      </w:pPr>
    </w:p>
    <w:p w:rsidR="003156EC" w:rsidRPr="003156EC" w:rsidRDefault="003156EC" w:rsidP="003156EC">
      <w:pPr>
        <w:pStyle w:val="Contenidodelatabla"/>
        <w:jc w:val="both"/>
        <w:rPr>
          <w:rFonts w:ascii="Arial" w:hAnsi="Arial" w:cs="Arial"/>
          <w:b/>
          <w:sz w:val="22"/>
          <w:szCs w:val="22"/>
        </w:rPr>
      </w:pPr>
      <w:r w:rsidRPr="003156EC">
        <w:rPr>
          <w:rFonts w:ascii="Arial" w:hAnsi="Arial" w:cs="Arial"/>
          <w:b/>
          <w:sz w:val="22"/>
          <w:szCs w:val="22"/>
        </w:rPr>
        <w:t>Seguimiento a proyectos en etapa de factibilidad y/o estudios y diseños</w:t>
      </w:r>
    </w:p>
    <w:p w:rsidR="003156EC" w:rsidRPr="003156EC" w:rsidRDefault="003156EC" w:rsidP="003156EC">
      <w:pPr>
        <w:pStyle w:val="Contenidodelatabla"/>
        <w:jc w:val="both"/>
        <w:rPr>
          <w:rFonts w:ascii="Arial" w:hAnsi="Arial" w:cs="Arial"/>
          <w:sz w:val="22"/>
          <w:szCs w:val="22"/>
        </w:rPr>
      </w:pPr>
      <w:r w:rsidRPr="003156EC">
        <w:rPr>
          <w:rFonts w:ascii="Arial" w:hAnsi="Arial" w:cs="Arial"/>
          <w:sz w:val="22"/>
          <w:szCs w:val="22"/>
        </w:rPr>
        <w:t xml:space="preserve"> En 2018, mediante la realización de encuestas de expectativa ciudadana se midió la factibilidad de 8 proyectos de corredores comerciales en diferentes localidades. Estas mediciones, además de permitir conocer la opinión de la ciudadanía sobre las obras,  permitieron seleccionar las alternativas preferidas por la ciudadanía con respecto a la construcción de los proyectos. En total se realizaron 1,481 encuestas de proyectos en etapa de factibilidad.</w:t>
      </w:r>
    </w:p>
    <w:p w:rsidR="003156EC" w:rsidRPr="003156EC" w:rsidRDefault="003156EC" w:rsidP="003156EC">
      <w:pPr>
        <w:pStyle w:val="Contenidodelatabla"/>
        <w:jc w:val="both"/>
        <w:rPr>
          <w:rFonts w:ascii="Arial" w:hAnsi="Arial" w:cs="Arial"/>
          <w:sz w:val="22"/>
          <w:szCs w:val="22"/>
        </w:rPr>
      </w:pPr>
    </w:p>
    <w:p w:rsidR="003156EC" w:rsidRPr="003156EC" w:rsidRDefault="003156EC" w:rsidP="003156EC">
      <w:pPr>
        <w:pStyle w:val="Contenidodelatabla"/>
        <w:jc w:val="both"/>
        <w:rPr>
          <w:rFonts w:ascii="Arial" w:eastAsiaTheme="minorHAnsi" w:hAnsi="Arial" w:cs="Arial"/>
          <w:sz w:val="22"/>
          <w:szCs w:val="22"/>
        </w:rPr>
      </w:pPr>
      <w:r w:rsidRPr="003156EC">
        <w:rPr>
          <w:rFonts w:ascii="Arial" w:eastAsiaTheme="minorHAnsi" w:hAnsi="Arial" w:cs="Arial"/>
          <w:sz w:val="22"/>
          <w:szCs w:val="22"/>
        </w:rPr>
        <w:t xml:space="preserve">Por otro lado, se realizaron encuestas de expectativa ciudadana sobre la Troncal Cra. Séptima y la Troncal Av. 68, los cuales en su momento se encontraban en etapa de estudios y diseños. Para la </w:t>
      </w:r>
      <w:r w:rsidRPr="003156EC">
        <w:rPr>
          <w:rFonts w:ascii="Arial" w:eastAsiaTheme="minorHAnsi" w:hAnsi="Arial" w:cs="Arial"/>
          <w:sz w:val="22"/>
          <w:szCs w:val="22"/>
        </w:rPr>
        <w:lastRenderedPageBreak/>
        <w:t>Troncal Carrera Séptima se realizaron 3 mediciones con un total de 3,652 encuestas, mientras que para la troncal Av. 68 se realizó una medición de 1,530 encuestas. En total se realizaron 5,182 encuestas, las cuales sirvieron como soporte para que la Oficina Asesora de Comunicaciones (OAC) diseñara un Plan Táctico de Comunicaciones para estos proyectos, teniendo en cuenta la información más relevante de las encuestas aplicadas.</w:t>
      </w:r>
    </w:p>
    <w:p w:rsidR="00ED62E1" w:rsidRDefault="00ED62E1" w:rsidP="003156EC">
      <w:pPr>
        <w:pStyle w:val="Contenidodelatabla"/>
        <w:jc w:val="both"/>
        <w:rPr>
          <w:rFonts w:ascii="Arial" w:hAnsi="Arial" w:cs="Arial"/>
          <w:b/>
          <w:sz w:val="22"/>
          <w:szCs w:val="22"/>
        </w:rPr>
      </w:pPr>
    </w:p>
    <w:p w:rsidR="003156EC" w:rsidRPr="003156EC" w:rsidRDefault="003156EC" w:rsidP="003156EC">
      <w:pPr>
        <w:pStyle w:val="Contenidodelatabla"/>
        <w:jc w:val="both"/>
        <w:rPr>
          <w:rFonts w:ascii="Arial" w:hAnsi="Arial" w:cs="Arial"/>
          <w:b/>
          <w:sz w:val="22"/>
          <w:szCs w:val="22"/>
        </w:rPr>
      </w:pPr>
      <w:r w:rsidRPr="003156EC">
        <w:rPr>
          <w:rFonts w:ascii="Arial" w:hAnsi="Arial" w:cs="Arial"/>
          <w:b/>
          <w:sz w:val="22"/>
          <w:szCs w:val="22"/>
        </w:rPr>
        <w:t>Seguimiento a proyectos en etapa Exante</w:t>
      </w:r>
    </w:p>
    <w:p w:rsidR="003156EC" w:rsidRPr="003156EC" w:rsidRDefault="003156EC" w:rsidP="003156EC">
      <w:pPr>
        <w:pStyle w:val="Contenidodelatabla"/>
        <w:jc w:val="both"/>
        <w:rPr>
          <w:rFonts w:ascii="Arial" w:hAnsi="Arial" w:cs="Arial"/>
          <w:sz w:val="22"/>
          <w:szCs w:val="22"/>
        </w:rPr>
      </w:pPr>
      <w:r w:rsidRPr="003156EC">
        <w:rPr>
          <w:rFonts w:ascii="Arial" w:hAnsi="Arial" w:cs="Arial"/>
          <w:sz w:val="22"/>
          <w:szCs w:val="22"/>
        </w:rPr>
        <w:t>Se realizaron 581 encuestas en 4 proyectos que se encontraban en etapa de inicio de obra (Av. Ferrocarril, Acceso Barrio Amapolas, Av. La Sirena y Av. San Antonio-Tramo 2), con el fin de conocer la opinión, expectativa y nivel de acuerdo o desacuerdo de los ciudadanos con respecto</w:t>
      </w:r>
      <w:r w:rsidRPr="00DC3D85">
        <w:rPr>
          <w:sz w:val="22"/>
          <w:szCs w:val="22"/>
        </w:rPr>
        <w:t xml:space="preserve"> a estas obras, calculando con estos resultados un indicador de expectativa ciudadana. En promedio este </w:t>
      </w:r>
      <w:r w:rsidRPr="003156EC">
        <w:rPr>
          <w:rFonts w:ascii="Arial" w:hAnsi="Arial" w:cs="Arial"/>
          <w:sz w:val="22"/>
          <w:szCs w:val="22"/>
        </w:rPr>
        <w:t>indicador fue de 76 puntos en una escala de 0 a 100, indicando de esta manera que los ciudadanos tuvieron un nivel de expectativa muy alto con respecto a estas obras.</w:t>
      </w:r>
    </w:p>
    <w:p w:rsidR="003156EC" w:rsidRPr="00DC3D85" w:rsidRDefault="003156EC" w:rsidP="003156EC">
      <w:pPr>
        <w:rPr>
          <w:rFonts w:cs="Arial"/>
          <w:b/>
          <w:szCs w:val="22"/>
        </w:rPr>
      </w:pPr>
      <w:r w:rsidRPr="00DC3D85">
        <w:rPr>
          <w:rFonts w:cs="Arial"/>
          <w:b/>
          <w:szCs w:val="22"/>
        </w:rPr>
        <w:t>Seguimiento a proyectos en etapa Durante</w:t>
      </w:r>
    </w:p>
    <w:p w:rsidR="003156EC" w:rsidRPr="00DC3D85" w:rsidRDefault="003156EC" w:rsidP="003156EC">
      <w:pPr>
        <w:rPr>
          <w:rFonts w:cs="Arial"/>
          <w:szCs w:val="22"/>
        </w:rPr>
      </w:pPr>
      <w:r w:rsidRPr="00DC3D85">
        <w:rPr>
          <w:rFonts w:cs="Arial"/>
          <w:szCs w:val="22"/>
        </w:rPr>
        <w:t xml:space="preserve">En esta etapa, se realizaron </w:t>
      </w:r>
      <w:r w:rsidRPr="00DC3D85">
        <w:rPr>
          <w:rFonts w:cs="Arial"/>
          <w:b/>
          <w:szCs w:val="22"/>
        </w:rPr>
        <w:t>445</w:t>
      </w:r>
      <w:r w:rsidRPr="00DC3D85">
        <w:rPr>
          <w:rFonts w:cs="Arial"/>
          <w:szCs w:val="22"/>
        </w:rPr>
        <w:t xml:space="preserve"> encuestas en </w:t>
      </w:r>
      <w:r w:rsidRPr="00DC3D85">
        <w:rPr>
          <w:rFonts w:cs="Arial"/>
          <w:b/>
          <w:szCs w:val="22"/>
        </w:rPr>
        <w:t>2</w:t>
      </w:r>
      <w:r w:rsidRPr="00DC3D85">
        <w:rPr>
          <w:rFonts w:cs="Arial"/>
          <w:szCs w:val="22"/>
        </w:rPr>
        <w:t xml:space="preserve"> proyectos (TransMiCable y Cicloruta Calle 116) que se encontraban en etapa de ejecución de obra, con el fin de conocer la percepción ciudadana sobre los principales impactos que generan las obras en su proceso de ejecución. Estos resultados se presentaron en los Comités Integrales de Obra, con el fin que se tomen acciones de mejora durante la ejecución de los proyectos.</w:t>
      </w:r>
    </w:p>
    <w:p w:rsidR="003156EC" w:rsidRPr="00DC3D85" w:rsidRDefault="003156EC" w:rsidP="003156EC">
      <w:pPr>
        <w:rPr>
          <w:rFonts w:cs="Arial"/>
          <w:b/>
          <w:szCs w:val="22"/>
        </w:rPr>
      </w:pPr>
      <w:r w:rsidRPr="00DC3D85">
        <w:rPr>
          <w:rFonts w:cs="Arial"/>
          <w:b/>
          <w:szCs w:val="22"/>
        </w:rPr>
        <w:t>Seguimiento a proyectos en etapa Expost</w:t>
      </w:r>
    </w:p>
    <w:p w:rsidR="003156EC" w:rsidRPr="00DC3D85" w:rsidRDefault="003156EC" w:rsidP="003156EC">
      <w:pPr>
        <w:ind w:right="237"/>
        <w:rPr>
          <w:rFonts w:cs="Arial"/>
          <w:szCs w:val="22"/>
        </w:rPr>
      </w:pPr>
      <w:r w:rsidRPr="00DC3D85">
        <w:rPr>
          <w:rFonts w:cs="Arial"/>
          <w:szCs w:val="22"/>
        </w:rPr>
        <w:t xml:space="preserve">Para esta etapa se realizaron </w:t>
      </w:r>
      <w:r w:rsidRPr="00DC3D85">
        <w:rPr>
          <w:rFonts w:cs="Arial"/>
          <w:b/>
          <w:szCs w:val="22"/>
        </w:rPr>
        <w:t>1,230</w:t>
      </w:r>
      <w:r w:rsidRPr="00DC3D85">
        <w:rPr>
          <w:rFonts w:cs="Arial"/>
          <w:szCs w:val="22"/>
        </w:rPr>
        <w:t xml:space="preserve"> encuestas en </w:t>
      </w:r>
      <w:r w:rsidRPr="00DC3D85">
        <w:rPr>
          <w:rFonts w:cs="Arial"/>
          <w:b/>
          <w:szCs w:val="22"/>
        </w:rPr>
        <w:t>5</w:t>
      </w:r>
      <w:r w:rsidRPr="00DC3D85">
        <w:rPr>
          <w:rFonts w:cs="Arial"/>
          <w:szCs w:val="22"/>
        </w:rPr>
        <w:t xml:space="preserve"> proyectos que se entregaron este año a la ciudadanía (Ciclotruta calle 116, Av. Bosa, Av. Ciudad de Cali, Av. San Antonio y San Jerónimo de Yuste), para conocer el nivel de satisfacción de los ciudadanos con estas obras y evaluar el impacto en la calidad de vida de los habitantes del sector en donde se realizaron. Con los resultados de estas encuestas se construyó un indicador de satisfacción ciudadana para cada proyecto, en promedio se obtuvo un indicador de </w:t>
      </w:r>
      <w:r w:rsidRPr="00DC3D85">
        <w:rPr>
          <w:rFonts w:cs="Arial"/>
          <w:b/>
          <w:szCs w:val="22"/>
        </w:rPr>
        <w:t xml:space="preserve">82 </w:t>
      </w:r>
      <w:r w:rsidRPr="00DC3D85">
        <w:rPr>
          <w:rFonts w:cs="Arial"/>
          <w:szCs w:val="22"/>
        </w:rPr>
        <w:t>puntos en una escala de 0 a 100, lo cual indica que en general la ciudadanía tiene un nivel de satisfacción alto con las obras, superando los niveles de expectativas de las obras entregadas.</w:t>
      </w:r>
    </w:p>
    <w:p w:rsidR="003156EC" w:rsidRPr="00DC3D85" w:rsidRDefault="003156EC" w:rsidP="003156EC">
      <w:pPr>
        <w:rPr>
          <w:rFonts w:cs="Arial"/>
          <w:b/>
          <w:szCs w:val="22"/>
        </w:rPr>
      </w:pPr>
      <w:r w:rsidRPr="00DC3D85">
        <w:rPr>
          <w:rFonts w:cs="Arial"/>
          <w:b/>
          <w:szCs w:val="22"/>
        </w:rPr>
        <w:t>Satisfacción ciudadanía por la atención prestada</w:t>
      </w:r>
    </w:p>
    <w:p w:rsidR="003156EC" w:rsidRPr="00DC3D85" w:rsidRDefault="003156EC" w:rsidP="003156EC">
      <w:pPr>
        <w:rPr>
          <w:rFonts w:cs="Arial"/>
          <w:szCs w:val="22"/>
        </w:rPr>
      </w:pPr>
      <w:r w:rsidRPr="00DC3D85">
        <w:rPr>
          <w:rFonts w:cs="Arial"/>
          <w:szCs w:val="22"/>
        </w:rPr>
        <w:t xml:space="preserve">Durante el año 2018 se realizaron </w:t>
      </w:r>
      <w:r w:rsidRPr="00DC3D85">
        <w:rPr>
          <w:rFonts w:cs="Arial"/>
          <w:b/>
          <w:szCs w:val="22"/>
        </w:rPr>
        <w:t xml:space="preserve">4.489 </w:t>
      </w:r>
      <w:r w:rsidRPr="00DC3D85">
        <w:rPr>
          <w:rFonts w:cs="Arial"/>
          <w:szCs w:val="22"/>
        </w:rPr>
        <w:t xml:space="preserve">encuestas para evaluar la satisfacción ciudadana con los servicios de atención brindados por la entidad en trámites asociados al cobro de valorización, PQRS y Puntos IDU. El índice de satisfacción frente a la atención prestada mediante estos servicios fue de </w:t>
      </w:r>
      <w:r w:rsidRPr="00DC3D85">
        <w:rPr>
          <w:rFonts w:cs="Arial"/>
          <w:b/>
          <w:szCs w:val="22"/>
        </w:rPr>
        <w:t>91.3%.</w:t>
      </w:r>
    </w:p>
    <w:p w:rsidR="003156EC" w:rsidRPr="00DC3D85" w:rsidRDefault="003156EC" w:rsidP="003156EC">
      <w:pPr>
        <w:rPr>
          <w:rFonts w:cs="Arial"/>
          <w:b/>
          <w:szCs w:val="22"/>
          <w:lang w:eastAsia="en-US"/>
        </w:rPr>
      </w:pPr>
      <w:bookmarkStart w:id="43" w:name="_Toc504055520"/>
      <w:r w:rsidRPr="00DC3D85">
        <w:rPr>
          <w:rFonts w:cs="Arial"/>
          <w:b/>
          <w:szCs w:val="22"/>
          <w:lang w:eastAsia="en-US"/>
        </w:rPr>
        <w:t>FORMACIÓN Y CULTURA CIUDADANA</w:t>
      </w:r>
      <w:bookmarkEnd w:id="43"/>
    </w:p>
    <w:p w:rsidR="003156EC" w:rsidRPr="00DC3D85" w:rsidRDefault="003156EC" w:rsidP="003156EC">
      <w:pPr>
        <w:rPr>
          <w:rFonts w:cs="Arial"/>
          <w:szCs w:val="22"/>
        </w:rPr>
      </w:pPr>
      <w:r w:rsidRPr="00DC3D85">
        <w:rPr>
          <w:rFonts w:cs="Arial"/>
          <w:szCs w:val="22"/>
        </w:rPr>
        <w:t xml:space="preserve">En el componente de Formación y Cultura Ciudadana se planean, diseñan e implementan (a) estrategias de articulación intra e interinstitucional, buscando fortalecer la gestión urbana y abonar a la sostenibilidad en el largo plazo de los proyectos, (b) estrategias de diálogo de saberes con diferentes actores del desarrollo urbano (ciudadanía, academia, constructores, comerciantes) para abonar a la gobernanza de los proyectos y territorios, y (c) planes de comunicación estratégica para ser asertivos en el abordaje de los grupos de interés y comunidades de referencia de los proyectos. </w:t>
      </w:r>
    </w:p>
    <w:p w:rsidR="003156EC" w:rsidRPr="00DC3D85" w:rsidRDefault="003156EC" w:rsidP="003156EC">
      <w:pPr>
        <w:rPr>
          <w:rFonts w:cs="Arial"/>
          <w:b/>
          <w:szCs w:val="22"/>
        </w:rPr>
      </w:pPr>
      <w:r w:rsidRPr="00DC3D85">
        <w:rPr>
          <w:rFonts w:cs="Arial"/>
          <w:b/>
          <w:szCs w:val="22"/>
        </w:rPr>
        <w:t>Política de Gestión Social y Servicio a la Ciudadanía</w:t>
      </w:r>
    </w:p>
    <w:p w:rsidR="003156EC" w:rsidRPr="00DC3D85" w:rsidRDefault="003156EC" w:rsidP="003156EC">
      <w:pPr>
        <w:rPr>
          <w:rFonts w:cs="Arial"/>
          <w:szCs w:val="22"/>
        </w:rPr>
      </w:pPr>
      <w:r w:rsidRPr="00DC3D85">
        <w:rPr>
          <w:rFonts w:cs="Arial"/>
          <w:szCs w:val="22"/>
        </w:rPr>
        <w:t xml:space="preserve">En la vigencia 2018 se aprobó la actualización de la </w:t>
      </w:r>
      <w:r w:rsidRPr="00DC3D85">
        <w:rPr>
          <w:rFonts w:cs="Arial"/>
          <w:i/>
          <w:szCs w:val="22"/>
        </w:rPr>
        <w:t>Política de Gestión Social y Servicio a la Ciudadanía</w:t>
      </w:r>
      <w:r w:rsidRPr="00DC3D85">
        <w:rPr>
          <w:rFonts w:cs="Arial"/>
          <w:szCs w:val="22"/>
        </w:rPr>
        <w:t xml:space="preserve"> (Resolución 4940 de 2018), con un enfoque de innovación social que pone a los actores </w:t>
      </w:r>
      <w:r w:rsidRPr="00DC3D85">
        <w:rPr>
          <w:rFonts w:cs="Arial"/>
          <w:szCs w:val="22"/>
        </w:rPr>
        <w:lastRenderedPageBreak/>
        <w:t>del desarrollo urbano en el centro de la actuación pública en tanto agentes activos, y responde a la necesidad de dar gobernanza a los procesos de transformación territorial. La Política busca una forma de diálogo con la ciudadanía para construir diferentes narrativas alrededor del desarrollo urbano, superar la mentalidad del proyecto y construir una plataforma de gestión urbana y territorial para toda la ciudad, potenciando las capacidades y oportunidades de los ciudadanos.</w:t>
      </w:r>
    </w:p>
    <w:p w:rsidR="003156EC" w:rsidRPr="00DC3D85" w:rsidRDefault="003156EC" w:rsidP="003156EC">
      <w:pPr>
        <w:rPr>
          <w:rFonts w:cs="Arial"/>
          <w:b/>
          <w:szCs w:val="22"/>
        </w:rPr>
      </w:pPr>
      <w:r w:rsidRPr="00DC3D85">
        <w:rPr>
          <w:rFonts w:cs="Arial"/>
          <w:b/>
          <w:szCs w:val="22"/>
        </w:rPr>
        <w:t>Estrategia “La Ciudad es para la Gente”</w:t>
      </w:r>
    </w:p>
    <w:p w:rsidR="003156EC" w:rsidRPr="00DC3D85" w:rsidRDefault="003156EC" w:rsidP="003156EC">
      <w:pPr>
        <w:rPr>
          <w:rFonts w:cs="Arial"/>
          <w:i/>
          <w:szCs w:val="22"/>
        </w:rPr>
      </w:pPr>
      <w:r w:rsidRPr="00DC3D85">
        <w:rPr>
          <w:rFonts w:cs="Arial"/>
          <w:b/>
          <w:szCs w:val="22"/>
        </w:rPr>
        <w:t xml:space="preserve"> </w:t>
      </w:r>
      <w:r w:rsidRPr="00DC3D85">
        <w:rPr>
          <w:rFonts w:cs="Arial"/>
          <w:szCs w:val="22"/>
        </w:rPr>
        <w:t>En su marco se realizan acciones colectivas que contribuyen a potenciar una visión compartida de ciudad y una cultura ciudadana desde la apropiación, uso, goce y disfrute de la infraestructura vial y de espacio público. La estrategia se ha implementado en 4 grandes proyectos:</w:t>
      </w:r>
    </w:p>
    <w:p w:rsidR="003156EC" w:rsidRPr="00DC3D85" w:rsidRDefault="003156EC" w:rsidP="00582748">
      <w:pPr>
        <w:pStyle w:val="Prrafodelista"/>
        <w:numPr>
          <w:ilvl w:val="0"/>
          <w:numId w:val="79"/>
        </w:numPr>
        <w:spacing w:before="0"/>
        <w:contextualSpacing/>
        <w:rPr>
          <w:rFonts w:ascii="Arial" w:hAnsi="Arial" w:cs="Arial"/>
          <w:i/>
        </w:rPr>
      </w:pPr>
      <w:r w:rsidRPr="00DC3D85">
        <w:rPr>
          <w:rFonts w:ascii="Arial" w:hAnsi="Arial" w:cs="Arial"/>
          <w:i/>
          <w:u w:val="single"/>
        </w:rPr>
        <w:t>TransMiCable</w:t>
      </w:r>
      <w:r w:rsidRPr="00DC3D85">
        <w:rPr>
          <w:rFonts w:ascii="Arial" w:hAnsi="Arial" w:cs="Arial"/>
        </w:rPr>
        <w:t>: ejecución del proceso de formación, con talleres cultura ciudadana en Instituciones de Educación Distrital, logrando llegar a 35.553 niños de la localidad de Ciudad Bolívar, y talleres del Plan Padrinos y Madrinas de los Entornos para fortalecer la apropiación y corresponsabilidad con el proyecto, con los cuales se llegó a 876 ciudadanos. Adicionalmente, lideramos el proceso de articulación interinstitucional para la definición de los programas de gestión socio-cultural que se implementan en el marco del proyecto.</w:t>
      </w:r>
    </w:p>
    <w:p w:rsidR="003156EC" w:rsidRPr="00DC3D85" w:rsidRDefault="003156EC" w:rsidP="00582748">
      <w:pPr>
        <w:pStyle w:val="Prrafodelista"/>
        <w:numPr>
          <w:ilvl w:val="0"/>
          <w:numId w:val="79"/>
        </w:numPr>
        <w:spacing w:before="0"/>
        <w:contextualSpacing/>
        <w:rPr>
          <w:rFonts w:ascii="Arial" w:hAnsi="Arial" w:cs="Arial"/>
          <w:i/>
        </w:rPr>
      </w:pPr>
      <w:r w:rsidRPr="00DC3D85">
        <w:rPr>
          <w:rFonts w:ascii="Arial" w:hAnsi="Arial" w:cs="Arial"/>
          <w:i/>
          <w:u w:val="single"/>
        </w:rPr>
        <w:t>Troncal Cra. 7ma</w:t>
      </w:r>
      <w:r w:rsidRPr="00DC3D85">
        <w:rPr>
          <w:rFonts w:ascii="Arial" w:hAnsi="Arial" w:cs="Arial"/>
          <w:u w:val="single"/>
        </w:rPr>
        <w:t xml:space="preserve">, </w:t>
      </w:r>
      <w:r w:rsidRPr="00DC3D85">
        <w:rPr>
          <w:rFonts w:ascii="Arial" w:hAnsi="Arial" w:cs="Arial"/>
        </w:rPr>
        <w:t>se implementó el programa 100 Conversaciones por la Nueva Séptima (72/100 conversaciones realizadas) y las tomas en espacio público sobre Proyectos de Ciudad (11 tomas en espacio público).</w:t>
      </w:r>
    </w:p>
    <w:p w:rsidR="003156EC" w:rsidRPr="00DC3D85" w:rsidRDefault="003156EC" w:rsidP="00582748">
      <w:pPr>
        <w:pStyle w:val="Prrafodelista"/>
        <w:numPr>
          <w:ilvl w:val="0"/>
          <w:numId w:val="79"/>
        </w:numPr>
        <w:spacing w:before="0"/>
        <w:contextualSpacing/>
        <w:rPr>
          <w:rFonts w:ascii="Arial" w:hAnsi="Arial" w:cs="Arial"/>
        </w:rPr>
      </w:pPr>
      <w:r w:rsidRPr="00DC3D85">
        <w:rPr>
          <w:rFonts w:ascii="Arial" w:hAnsi="Arial" w:cs="Arial"/>
          <w:i/>
          <w:u w:val="single"/>
        </w:rPr>
        <w:t>Peatonalización 7ma</w:t>
      </w:r>
      <w:r w:rsidRPr="00DC3D85">
        <w:rPr>
          <w:rFonts w:ascii="Arial" w:hAnsi="Arial" w:cs="Arial"/>
        </w:rPr>
        <w:t xml:space="preserve">, se apoyó el proceso de conformación de una Asociación de Comerciantes de la zona de influencia del proyecto, para la administración del espacio público. </w:t>
      </w:r>
    </w:p>
    <w:p w:rsidR="003156EC" w:rsidRPr="00DC3D85" w:rsidRDefault="003156EC" w:rsidP="003156EC">
      <w:pPr>
        <w:rPr>
          <w:rFonts w:cs="Arial"/>
          <w:b/>
          <w:szCs w:val="22"/>
        </w:rPr>
      </w:pPr>
      <w:r w:rsidRPr="00DC3D85">
        <w:rPr>
          <w:rFonts w:cs="Arial"/>
          <w:b/>
          <w:szCs w:val="22"/>
        </w:rPr>
        <w:t xml:space="preserve">Procesos formativos </w:t>
      </w:r>
    </w:p>
    <w:p w:rsidR="003156EC" w:rsidRPr="00DC3D85" w:rsidRDefault="003156EC" w:rsidP="003156EC">
      <w:pPr>
        <w:rPr>
          <w:rFonts w:cs="Arial"/>
          <w:b/>
          <w:szCs w:val="22"/>
        </w:rPr>
      </w:pPr>
      <w:r w:rsidRPr="00DC3D85">
        <w:rPr>
          <w:rFonts w:cs="Arial"/>
          <w:szCs w:val="22"/>
        </w:rPr>
        <w:t xml:space="preserve">El </w:t>
      </w:r>
      <w:r w:rsidRPr="00DC3D85">
        <w:rPr>
          <w:rFonts w:cs="Arial"/>
          <w:i/>
          <w:szCs w:val="22"/>
        </w:rPr>
        <w:t xml:space="preserve">Curso Desarrollo Urbano y Cultura Ciudadana </w:t>
      </w:r>
      <w:r w:rsidRPr="00DC3D85">
        <w:rPr>
          <w:rFonts w:cs="Arial"/>
          <w:szCs w:val="22"/>
        </w:rPr>
        <w:t xml:space="preserve">reúne líderes comunitarios y ciudadanía en general, con funcionarios IDU y contratistas e interventores de proyectos, para reflexionar sobre la historia del desarrollo de la ciudad, la participación ciudadana incidente y los proyectos ciudadanos en el marco de la construcción de la infraestructura; en 2018 se logró culminar lo previsto por el contrato 1368-2017, con la </w:t>
      </w:r>
      <w:r w:rsidRPr="00DC3D85">
        <w:rPr>
          <w:rFonts w:cs="Arial"/>
          <w:b/>
          <w:szCs w:val="22"/>
        </w:rPr>
        <w:t>formación de más de 500 ciudadanos</w:t>
      </w:r>
      <w:r w:rsidRPr="00DC3D85">
        <w:rPr>
          <w:rFonts w:cs="Arial"/>
          <w:szCs w:val="22"/>
        </w:rPr>
        <w:t>.</w:t>
      </w:r>
    </w:p>
    <w:p w:rsidR="003156EC" w:rsidRDefault="003156EC" w:rsidP="003156EC">
      <w:pPr>
        <w:rPr>
          <w:rFonts w:cs="Arial"/>
          <w:szCs w:val="22"/>
        </w:rPr>
      </w:pPr>
      <w:r w:rsidRPr="00DC3D85">
        <w:rPr>
          <w:rFonts w:cs="Arial"/>
          <w:szCs w:val="22"/>
        </w:rPr>
        <w:t xml:space="preserve">Las </w:t>
      </w:r>
      <w:r w:rsidRPr="00DC3D85">
        <w:rPr>
          <w:rFonts w:cs="Arial"/>
          <w:i/>
          <w:szCs w:val="22"/>
        </w:rPr>
        <w:t>Mesas de Construcción de Ciudad y Ciudadanía</w:t>
      </w:r>
      <w:r w:rsidRPr="00DC3D85">
        <w:rPr>
          <w:rFonts w:cs="Arial"/>
          <w:szCs w:val="22"/>
        </w:rPr>
        <w:t xml:space="preserve"> son espacios de intercambio de conocimientos y encuentro entre el IDU y los ciudadanos sobre competencias en malla vial, priorización de las vías, Plan de Desarrollo, corresponsabilidad y participación ciudadana, espacio público y proyectos ciudadanos en espacio público; en 2018 se llevaron a cabo 58 mesas, contando con la primera en territorio rural de Sumpaz, </w:t>
      </w:r>
      <w:r w:rsidRPr="00DC3D85">
        <w:rPr>
          <w:rFonts w:cs="Arial"/>
          <w:b/>
          <w:szCs w:val="22"/>
        </w:rPr>
        <w:t>con la participación de 802 ciudadanos</w:t>
      </w:r>
      <w:r w:rsidRPr="00DC3D85">
        <w:rPr>
          <w:rFonts w:cs="Arial"/>
          <w:szCs w:val="22"/>
        </w:rPr>
        <w:t>.</w:t>
      </w:r>
    </w:p>
    <w:p w:rsidR="003156EC" w:rsidRPr="00ED62E1" w:rsidRDefault="003156EC" w:rsidP="00ED62E1">
      <w:pPr>
        <w:pStyle w:val="Ttulo1"/>
        <w:rPr>
          <w:rFonts w:ascii="Arial" w:hAnsi="Arial" w:cs="Arial"/>
          <w:sz w:val="22"/>
          <w:szCs w:val="22"/>
        </w:rPr>
      </w:pPr>
      <w:bookmarkStart w:id="44" w:name="_Toc536195543"/>
      <w:r w:rsidRPr="00ED62E1">
        <w:rPr>
          <w:rFonts w:ascii="Arial" w:hAnsi="Arial" w:cs="Arial"/>
          <w:sz w:val="22"/>
          <w:szCs w:val="22"/>
        </w:rPr>
        <w:t>3.5.2 Mejores prácticas y logros</w:t>
      </w:r>
      <w:bookmarkEnd w:id="44"/>
    </w:p>
    <w:p w:rsidR="003156EC" w:rsidRPr="00DC3D85" w:rsidRDefault="003156EC" w:rsidP="003156EC">
      <w:pPr>
        <w:rPr>
          <w:rFonts w:cs="Arial"/>
          <w:szCs w:val="22"/>
        </w:rPr>
      </w:pPr>
      <w:r w:rsidRPr="00DC3D85">
        <w:rPr>
          <w:rFonts w:cs="Arial"/>
          <w:szCs w:val="22"/>
        </w:rPr>
        <w:t xml:space="preserve">Desde la OTC se ha logrado la articulación con otras Entidades del Distrito que fortalecen el componente social del IDU, entre ellas: Secretaría Distrital de Educación, Secretaria Distrital de Hábitat, Secretaria de Desarrollo Económico, Secretaría Distrital de Gobierno y en su marco, IDPAC, y Secretaría Distrital de Cultura, Recreación y Deporte, con Dirección de Cultura Ciudadana. </w:t>
      </w:r>
      <w:r w:rsidRPr="00DC3D85">
        <w:rPr>
          <w:rFonts w:cs="Arial"/>
          <w:szCs w:val="22"/>
          <w:lang w:eastAsia="es-CO"/>
        </w:rPr>
        <w:t xml:space="preserve">Así mismo, se ha liderado la articulación con organismos multilaterales y agencias de cooperación internacional, como la Embajada de Austria, la  </w:t>
      </w:r>
      <w:r w:rsidRPr="00DC3D85">
        <w:rPr>
          <w:rFonts w:cs="Arial"/>
          <w:szCs w:val="22"/>
        </w:rPr>
        <w:t xml:space="preserve">Agencia Suiza para la Cooperación y el Desarrollo Económico y </w:t>
      </w:r>
      <w:r w:rsidRPr="00DC3D85">
        <w:rPr>
          <w:rFonts w:cs="Arial"/>
          <w:szCs w:val="22"/>
          <w:shd w:val="clear" w:color="auto" w:fill="FFFFFF"/>
          <w:lang w:eastAsia="es-CO"/>
        </w:rPr>
        <w:t xml:space="preserve">la Corporación Financiera Internacional - </w:t>
      </w:r>
      <w:r w:rsidRPr="00DC3D85">
        <w:rPr>
          <w:rFonts w:cs="Arial"/>
          <w:szCs w:val="22"/>
          <w:lang w:eastAsia="es-CO"/>
        </w:rPr>
        <w:t>IFC del Banco Mundial.</w:t>
      </w:r>
    </w:p>
    <w:p w:rsidR="003156EC" w:rsidRPr="00DC3D85" w:rsidRDefault="003156EC" w:rsidP="003156EC">
      <w:pPr>
        <w:rPr>
          <w:rFonts w:cs="Arial"/>
          <w:szCs w:val="22"/>
          <w:shd w:val="clear" w:color="auto" w:fill="FFFFFF"/>
          <w:lang w:eastAsia="es-CO"/>
        </w:rPr>
      </w:pPr>
      <w:r w:rsidRPr="00DC3D85">
        <w:rPr>
          <w:rFonts w:cs="Arial"/>
          <w:szCs w:val="22"/>
          <w:shd w:val="clear" w:color="auto" w:fill="FFFFFF"/>
          <w:lang w:eastAsia="es-CO"/>
        </w:rPr>
        <w:t xml:space="preserve">Con esta última se desarrolló en 2018 un proceso de asesoría al IDU en el marco de un Memorando de Entendimiento entre ambas entidades; en dicha asesoría se analizó a fondo la estrategia de gestión social e interinstitucional del proyecto TransMiCable, y como resultado de la misma, IFC consideró que en general las estrategias y procesos de relacionamiento con comunidades y gestión </w:t>
      </w:r>
      <w:r w:rsidRPr="00DC3D85">
        <w:rPr>
          <w:rFonts w:cs="Arial"/>
          <w:szCs w:val="22"/>
          <w:shd w:val="clear" w:color="auto" w:fill="FFFFFF"/>
          <w:lang w:eastAsia="es-CO"/>
        </w:rPr>
        <w:lastRenderedPageBreak/>
        <w:t>socio-cultural lideradas por la OTC, son excelentes ejemplos a seguir por ciudades colombianas, latinoamericanas y a nivel mundial. Dado lo anterior, IFC invitó al IDU a dar una conferencia sobre sus procesos de gestión socio-cultural en el encuentro “</w:t>
      </w:r>
      <w:r w:rsidRPr="00DC3D85">
        <w:rPr>
          <w:rFonts w:cs="Arial"/>
          <w:i/>
          <w:szCs w:val="22"/>
          <w:shd w:val="clear" w:color="auto" w:fill="FFFFFF"/>
          <w:lang w:eastAsia="es-CO"/>
        </w:rPr>
        <w:t>IFC Infrastructure and Natural Resources Sustainability Exchange</w:t>
      </w:r>
      <w:r w:rsidRPr="00DC3D85">
        <w:rPr>
          <w:rFonts w:cs="Arial"/>
          <w:szCs w:val="22"/>
          <w:shd w:val="clear" w:color="auto" w:fill="FFFFFF"/>
          <w:lang w:eastAsia="es-CO"/>
        </w:rPr>
        <w:t>” en Washington D.C, en mayo de 2018.</w:t>
      </w:r>
    </w:p>
    <w:p w:rsidR="003156EC" w:rsidRDefault="003156EC" w:rsidP="003156EC">
      <w:pPr>
        <w:rPr>
          <w:rFonts w:cs="Arial"/>
        </w:rPr>
      </w:pPr>
      <w:r w:rsidRPr="00DC3D85">
        <w:rPr>
          <w:rFonts w:cs="Arial"/>
          <w:szCs w:val="22"/>
        </w:rPr>
        <w:t>Finalmente, las estrategias comunicacionales diseñadas e implementadas desde la OTC para el buen desarrollo de todos los proyectos, en articulación con los Asesores de la Direccion Genral y la Oficina Asesora de Comunicaciones del IDU, ha dejado importantes resultados en procesos participativos, corresponsabilidad con la transformación de la ciudad y mecanismos de sostenibilidad de las obras. En este marco se desarrollaron acciones comunicacionales en canales del IDU (redes, página web y medios, entre otros) en las troncales Carrera 7ma y Av 68, los proyectos de Valorización y mega obras cómo Av. Alsacia y Peatonalización Carrera Séptima, y los planes tácticos de comunicaciones que serán ejecutados en la etapa de construcción, para más de 10 proyectos.</w:t>
      </w:r>
    </w:p>
    <w:p w:rsidR="003156EC" w:rsidRPr="00ED62E1" w:rsidRDefault="003156EC" w:rsidP="00ED62E1">
      <w:pPr>
        <w:pStyle w:val="Ttulo1"/>
        <w:rPr>
          <w:rFonts w:ascii="Arial" w:hAnsi="Arial" w:cs="Arial"/>
          <w:sz w:val="22"/>
          <w:szCs w:val="22"/>
        </w:rPr>
      </w:pPr>
      <w:bookmarkStart w:id="45" w:name="_Toc536195544"/>
      <w:r w:rsidRPr="00ED62E1">
        <w:rPr>
          <w:rFonts w:ascii="Arial" w:hAnsi="Arial" w:cs="Arial"/>
          <w:sz w:val="22"/>
          <w:szCs w:val="22"/>
        </w:rPr>
        <w:t>3.5.3 Dificultades en la ejecución de la gestión a cargo</w:t>
      </w:r>
      <w:bookmarkEnd w:id="45"/>
    </w:p>
    <w:p w:rsidR="003156EC" w:rsidRPr="00DC3D85" w:rsidRDefault="003156EC" w:rsidP="003156EC">
      <w:pPr>
        <w:rPr>
          <w:rFonts w:cs="Arial"/>
          <w:szCs w:val="22"/>
          <w:lang w:eastAsia="es-CO"/>
        </w:rPr>
      </w:pPr>
      <w:r w:rsidRPr="00DC3D85">
        <w:rPr>
          <w:rFonts w:cs="Arial"/>
          <w:szCs w:val="22"/>
          <w:lang w:eastAsia="es-CO"/>
        </w:rPr>
        <w:t>Para el año 2018 se contemplaba la contratación de un segundo proceso de formación ciudadana liderado por OTC en la actual administración, el cual se adelantó en toda su etapa precontractual; sin embargo, los recursos presupuestados por fuente Transmilenio no fueron aprobados en el comité interinstitucional del Convenio 20 con dicha entidad, generando desgastes administrativos y trámites inconclusos y desaprovechando un espacio pedagógico tan importante para el relacionamiento con la ciudadanía.</w:t>
      </w:r>
    </w:p>
    <w:p w:rsidR="0024547C" w:rsidRPr="00104F4B" w:rsidRDefault="0024547C" w:rsidP="0024547C">
      <w:pPr>
        <w:rPr>
          <w:rFonts w:cs="Arial"/>
          <w:sz w:val="24"/>
        </w:rPr>
      </w:pPr>
    </w:p>
    <w:p w:rsidR="00107CD4" w:rsidRDefault="00107CD4" w:rsidP="0024547C">
      <w:pPr>
        <w:rPr>
          <w:rFonts w:cs="Arial"/>
          <w:sz w:val="24"/>
        </w:rPr>
      </w:pPr>
    </w:p>
    <w:p w:rsidR="007B18E4" w:rsidRDefault="007B18E4" w:rsidP="0024547C">
      <w:pPr>
        <w:rPr>
          <w:rFonts w:cs="Arial"/>
          <w:sz w:val="24"/>
        </w:rPr>
      </w:pPr>
    </w:p>
    <w:p w:rsidR="007B18E4" w:rsidRDefault="007B18E4" w:rsidP="0024547C">
      <w:pPr>
        <w:rPr>
          <w:rFonts w:cs="Arial"/>
          <w:sz w:val="24"/>
        </w:rPr>
      </w:pPr>
    </w:p>
    <w:p w:rsidR="007B18E4" w:rsidRDefault="007B18E4" w:rsidP="0024547C">
      <w:pPr>
        <w:rPr>
          <w:rFonts w:cs="Arial"/>
          <w:sz w:val="24"/>
        </w:rPr>
      </w:pPr>
    </w:p>
    <w:p w:rsidR="007B18E4" w:rsidRDefault="007B18E4" w:rsidP="0024547C">
      <w:pPr>
        <w:rPr>
          <w:rFonts w:cs="Arial"/>
          <w:sz w:val="24"/>
        </w:rPr>
      </w:pPr>
    </w:p>
    <w:p w:rsidR="007B18E4" w:rsidRDefault="007B18E4" w:rsidP="0024547C">
      <w:pPr>
        <w:rPr>
          <w:rFonts w:cs="Arial"/>
          <w:sz w:val="24"/>
        </w:rPr>
      </w:pPr>
    </w:p>
    <w:p w:rsidR="007B18E4" w:rsidRDefault="007B18E4" w:rsidP="0024547C">
      <w:pPr>
        <w:rPr>
          <w:rFonts w:cs="Arial"/>
          <w:sz w:val="24"/>
        </w:rPr>
      </w:pPr>
    </w:p>
    <w:p w:rsidR="007B18E4" w:rsidRDefault="007B18E4" w:rsidP="0024547C">
      <w:pPr>
        <w:rPr>
          <w:rFonts w:cs="Arial"/>
          <w:sz w:val="24"/>
        </w:rPr>
      </w:pPr>
    </w:p>
    <w:p w:rsidR="007B18E4" w:rsidRDefault="007B18E4" w:rsidP="0024547C">
      <w:pPr>
        <w:rPr>
          <w:rFonts w:cs="Arial"/>
          <w:sz w:val="24"/>
        </w:rPr>
      </w:pPr>
    </w:p>
    <w:p w:rsidR="007B18E4" w:rsidRDefault="007B18E4" w:rsidP="0024547C">
      <w:pPr>
        <w:rPr>
          <w:rFonts w:cs="Arial"/>
          <w:sz w:val="24"/>
        </w:rPr>
      </w:pPr>
    </w:p>
    <w:p w:rsidR="007B18E4" w:rsidRDefault="007B18E4" w:rsidP="0024547C">
      <w:pPr>
        <w:rPr>
          <w:rFonts w:cs="Arial"/>
          <w:sz w:val="24"/>
        </w:rPr>
      </w:pPr>
    </w:p>
    <w:p w:rsidR="007B18E4" w:rsidRDefault="007B18E4" w:rsidP="0024547C">
      <w:pPr>
        <w:rPr>
          <w:rFonts w:cs="Arial"/>
          <w:sz w:val="24"/>
        </w:rPr>
      </w:pPr>
    </w:p>
    <w:p w:rsidR="007B18E4" w:rsidRDefault="007B18E4" w:rsidP="0024547C">
      <w:pPr>
        <w:rPr>
          <w:rFonts w:cs="Arial"/>
          <w:sz w:val="24"/>
        </w:rPr>
      </w:pPr>
    </w:p>
    <w:p w:rsidR="007B18E4" w:rsidRDefault="007B18E4" w:rsidP="0024547C">
      <w:pPr>
        <w:rPr>
          <w:rFonts w:cs="Arial"/>
          <w:sz w:val="24"/>
        </w:rPr>
      </w:pPr>
    </w:p>
    <w:p w:rsidR="007B18E4" w:rsidRDefault="007B18E4" w:rsidP="0024547C">
      <w:pPr>
        <w:rPr>
          <w:rFonts w:cs="Arial"/>
          <w:sz w:val="24"/>
        </w:rPr>
      </w:pPr>
    </w:p>
    <w:p w:rsidR="007B18E4" w:rsidRDefault="007B18E4" w:rsidP="0024547C">
      <w:pPr>
        <w:rPr>
          <w:rFonts w:cs="Arial"/>
          <w:sz w:val="24"/>
        </w:rPr>
      </w:pPr>
    </w:p>
    <w:p w:rsidR="0024547C" w:rsidRPr="00104F4B" w:rsidRDefault="003156EC" w:rsidP="00107CD4">
      <w:pPr>
        <w:pStyle w:val="Ttulo1"/>
        <w:jc w:val="center"/>
        <w:rPr>
          <w:rFonts w:ascii="Arial" w:hAnsi="Arial" w:cs="Arial"/>
          <w:sz w:val="22"/>
          <w:szCs w:val="22"/>
        </w:rPr>
      </w:pPr>
      <w:bookmarkStart w:id="46" w:name="_Toc536195545"/>
      <w:r>
        <w:rPr>
          <w:rFonts w:ascii="Arial" w:hAnsi="Arial" w:cs="Arial"/>
          <w:sz w:val="22"/>
          <w:szCs w:val="22"/>
        </w:rPr>
        <w:lastRenderedPageBreak/>
        <w:t>C</w:t>
      </w:r>
      <w:r w:rsidR="00107CD4" w:rsidRPr="00104F4B">
        <w:rPr>
          <w:rFonts w:ascii="Arial" w:hAnsi="Arial" w:cs="Arial"/>
          <w:sz w:val="22"/>
          <w:szCs w:val="22"/>
        </w:rPr>
        <w:t xml:space="preserve">APITULO </w:t>
      </w:r>
      <w:r w:rsidR="0024547C" w:rsidRPr="00104F4B">
        <w:rPr>
          <w:rFonts w:ascii="Arial" w:hAnsi="Arial" w:cs="Arial"/>
          <w:sz w:val="22"/>
          <w:szCs w:val="22"/>
        </w:rPr>
        <w:t>4. GESTIÓN JURÍDICA</w:t>
      </w:r>
      <w:bookmarkEnd w:id="46"/>
    </w:p>
    <w:p w:rsidR="0024547C" w:rsidRPr="00104F4B" w:rsidRDefault="0024547C" w:rsidP="0024547C">
      <w:pPr>
        <w:pStyle w:val="Ttulo1"/>
        <w:rPr>
          <w:rFonts w:ascii="Arial" w:hAnsi="Arial" w:cs="Arial"/>
          <w:sz w:val="22"/>
          <w:szCs w:val="22"/>
        </w:rPr>
      </w:pPr>
      <w:bookmarkStart w:id="47" w:name="_Toc536195546"/>
      <w:r w:rsidRPr="00104F4B">
        <w:rPr>
          <w:rFonts w:ascii="Arial" w:hAnsi="Arial" w:cs="Arial"/>
          <w:sz w:val="22"/>
          <w:szCs w:val="22"/>
        </w:rPr>
        <w:t>4.1 Gestiones a Cargo</w:t>
      </w:r>
      <w:bookmarkEnd w:id="47"/>
    </w:p>
    <w:p w:rsidR="0024547C" w:rsidRDefault="0024547C" w:rsidP="007B18E4">
      <w:pPr>
        <w:spacing w:before="0"/>
        <w:rPr>
          <w:rFonts w:cs="Arial"/>
          <w:sz w:val="24"/>
        </w:rPr>
      </w:pPr>
      <w:r w:rsidRPr="00104F4B">
        <w:rPr>
          <w:rFonts w:cs="Arial"/>
          <w:sz w:val="24"/>
        </w:rPr>
        <w:t xml:space="preserve">Las funciones de la Subdirección General Jurídica y sus Direcciones Técnicas se encuentran enunciadas en el Capítulo IV del Acuerdo 002 de 2009 del IDU. En virtud de las funciones propias y las delegadas mediante Resolución 7903 de 2016 modificada por las Resoluciones </w:t>
      </w:r>
      <w:r w:rsidRPr="00104F4B">
        <w:rPr>
          <w:rFonts w:cs="Arial"/>
          <w:sz w:val="24"/>
          <w:shd w:val="clear" w:color="auto" w:fill="FFFFFF"/>
        </w:rPr>
        <w:t>449 de 2017.</w:t>
      </w:r>
      <w:r w:rsidRPr="00104F4B">
        <w:rPr>
          <w:rFonts w:cs="Arial"/>
          <w:sz w:val="24"/>
        </w:rPr>
        <w:t xml:space="preserve">, </w:t>
      </w:r>
      <w:hyperlink r:id="rId37" w:anchor="1" w:history="1">
        <w:r w:rsidRPr="00104F4B">
          <w:rPr>
            <w:rStyle w:val="Hipervnculo"/>
            <w:rFonts w:cs="Arial"/>
            <w:sz w:val="24"/>
            <w:shd w:val="clear" w:color="auto" w:fill="FFFFFF"/>
          </w:rPr>
          <w:t>3446 de 2017</w:t>
        </w:r>
      </w:hyperlink>
      <w:r w:rsidRPr="00104F4B">
        <w:rPr>
          <w:rFonts w:cs="Arial"/>
          <w:sz w:val="24"/>
        </w:rPr>
        <w:t xml:space="preserve">, </w:t>
      </w:r>
      <w:r w:rsidRPr="00104F4B">
        <w:rPr>
          <w:rFonts w:cs="Arial"/>
          <w:sz w:val="24"/>
          <w:shd w:val="clear" w:color="auto" w:fill="FFFFFF"/>
        </w:rPr>
        <w:t xml:space="preserve">5086 de 2017 y </w:t>
      </w:r>
      <w:hyperlink r:id="rId38" w:anchor="1" w:history="1">
        <w:r w:rsidRPr="00104F4B">
          <w:rPr>
            <w:rStyle w:val="Hipervnculo"/>
            <w:rFonts w:cs="Arial"/>
            <w:sz w:val="24"/>
            <w:shd w:val="clear" w:color="auto" w:fill="FFFFFF"/>
          </w:rPr>
          <w:t>2916 de 2018.</w:t>
        </w:r>
      </w:hyperlink>
      <w:r w:rsidRPr="00104F4B">
        <w:rPr>
          <w:rFonts w:cs="Arial"/>
          <w:sz w:val="24"/>
          <w:shd w:val="clear" w:color="auto" w:fill="FFFFFF"/>
        </w:rPr>
        <w:t>.</w:t>
      </w:r>
      <w:r w:rsidRPr="00104F4B">
        <w:rPr>
          <w:rFonts w:cs="Arial"/>
          <w:sz w:val="24"/>
        </w:rPr>
        <w:t xml:space="preserve">  se expiden políticas, procesos, procedimientos, lineamientos y se lideran modelos de gestión orientados a propiciar el quehacer institucional en el marco de políticas de prevención de daño antijurídico, procurar mejorar resultados ante instancias judiciales y extrajudiciales, garantizar el desarrollo de la gestión contractual de las entidad en aplicación de los principios de transparencia, selección objetiva,  publicidad y en general la totalidad de principios de la contratación estatal, generar el lineamiento jurídico de los asuntos que lo requieran en coadyuvancia al ejercicio de las funciones y competencias de las diferentes dependencias de la entidad. </w:t>
      </w:r>
    </w:p>
    <w:p w:rsidR="007B18E4" w:rsidRPr="00104F4B" w:rsidRDefault="007B18E4" w:rsidP="007B18E4">
      <w:pPr>
        <w:spacing w:before="0"/>
        <w:rPr>
          <w:rFonts w:cs="Arial"/>
          <w:sz w:val="24"/>
        </w:rPr>
      </w:pPr>
    </w:p>
    <w:p w:rsidR="0024547C" w:rsidRDefault="0024547C" w:rsidP="007B18E4">
      <w:pPr>
        <w:spacing w:before="0"/>
        <w:rPr>
          <w:rFonts w:cs="Arial"/>
          <w:sz w:val="24"/>
        </w:rPr>
      </w:pPr>
      <w:r w:rsidRPr="00104F4B">
        <w:rPr>
          <w:rFonts w:cs="Arial"/>
          <w:sz w:val="24"/>
        </w:rPr>
        <w:t>En virtud de lo anterior, es el despacho de la Subdirección General Jurídica, el encargado de  emitir conceptos e instrucciones jurídicas, suscribir las respuestas a requerimientos a órganos de control, así como el acompañamiento jurídico a temas estratégicos en distintos comités y mesas de trabajo convocadas por las diferentes dependencias del IDU y otras entidades de orden público o privado que se interrelacionan con la entidad:</w:t>
      </w:r>
    </w:p>
    <w:p w:rsidR="007B18E4" w:rsidRPr="00104F4B" w:rsidRDefault="007B18E4" w:rsidP="007B18E4">
      <w:pPr>
        <w:spacing w:before="0"/>
        <w:rPr>
          <w:rFonts w:cs="Arial"/>
          <w:sz w:val="24"/>
        </w:rPr>
      </w:pPr>
    </w:p>
    <w:p w:rsidR="0024547C" w:rsidRPr="00104F4B" w:rsidRDefault="0024547C" w:rsidP="007B18E4">
      <w:pPr>
        <w:spacing w:before="0"/>
        <w:rPr>
          <w:rFonts w:cs="Arial"/>
          <w:sz w:val="24"/>
        </w:rPr>
      </w:pPr>
      <w:r w:rsidRPr="00104F4B">
        <w:rPr>
          <w:rFonts w:cs="Arial"/>
          <w:b/>
          <w:sz w:val="24"/>
        </w:rPr>
        <w:t>Memorandos de Instrucción Jurídica – Conceptos</w:t>
      </w:r>
      <w:r w:rsidRPr="00104F4B">
        <w:rPr>
          <w:rFonts w:cs="Arial"/>
          <w:sz w:val="24"/>
        </w:rPr>
        <w:t xml:space="preserve"> Durante la vigencia 2018, se emitieron 3 instrucciones jurídicas y se resolvieron 20 solicitudes de Conceptos Jurídicos descritos a continuación:</w:t>
      </w:r>
    </w:p>
    <w:p w:rsidR="0024547C" w:rsidRPr="00104F4B" w:rsidRDefault="0024547C" w:rsidP="0024547C">
      <w:pPr>
        <w:rPr>
          <w:rFonts w:cs="Arial"/>
          <w:sz w:val="24"/>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2126"/>
        <w:gridCol w:w="5103"/>
      </w:tblGrid>
      <w:tr w:rsidR="0024547C" w:rsidRPr="00104F4B" w:rsidTr="0024547C">
        <w:tc>
          <w:tcPr>
            <w:tcW w:w="1980" w:type="dxa"/>
          </w:tcPr>
          <w:p w:rsidR="0024547C" w:rsidRPr="00104F4B" w:rsidRDefault="0024547C" w:rsidP="0024547C">
            <w:pPr>
              <w:jc w:val="center"/>
              <w:rPr>
                <w:rFonts w:cs="Arial"/>
                <w:b/>
                <w:sz w:val="16"/>
                <w:szCs w:val="16"/>
              </w:rPr>
            </w:pPr>
            <w:r w:rsidRPr="00104F4B">
              <w:rPr>
                <w:rFonts w:cs="Arial"/>
                <w:b/>
                <w:sz w:val="16"/>
                <w:szCs w:val="16"/>
              </w:rPr>
              <w:t>N° MEMORANDO</w:t>
            </w:r>
          </w:p>
        </w:tc>
        <w:tc>
          <w:tcPr>
            <w:tcW w:w="2126" w:type="dxa"/>
          </w:tcPr>
          <w:p w:rsidR="0024547C" w:rsidRPr="00104F4B" w:rsidRDefault="0024547C" w:rsidP="0024547C">
            <w:pPr>
              <w:jc w:val="center"/>
              <w:rPr>
                <w:rFonts w:cs="Arial"/>
                <w:b/>
                <w:sz w:val="16"/>
                <w:szCs w:val="16"/>
              </w:rPr>
            </w:pPr>
            <w:r w:rsidRPr="00104F4B">
              <w:rPr>
                <w:rFonts w:cs="Arial"/>
                <w:b/>
                <w:sz w:val="16"/>
                <w:szCs w:val="16"/>
              </w:rPr>
              <w:t>FECHA DE EXPEDICION</w:t>
            </w:r>
          </w:p>
        </w:tc>
        <w:tc>
          <w:tcPr>
            <w:tcW w:w="5103" w:type="dxa"/>
          </w:tcPr>
          <w:p w:rsidR="0024547C" w:rsidRPr="00104F4B" w:rsidRDefault="0024547C" w:rsidP="0024547C">
            <w:pPr>
              <w:jc w:val="center"/>
              <w:rPr>
                <w:rFonts w:cs="Arial"/>
                <w:b/>
                <w:sz w:val="16"/>
                <w:szCs w:val="16"/>
              </w:rPr>
            </w:pPr>
            <w:r w:rsidRPr="00104F4B">
              <w:rPr>
                <w:rFonts w:cs="Arial"/>
                <w:b/>
                <w:sz w:val="16"/>
                <w:szCs w:val="16"/>
              </w:rPr>
              <w:t>ASUNTO</w:t>
            </w:r>
          </w:p>
        </w:tc>
      </w:tr>
      <w:tr w:rsidR="0024547C" w:rsidRPr="00104F4B" w:rsidTr="0024547C">
        <w:tc>
          <w:tcPr>
            <w:tcW w:w="1980" w:type="dxa"/>
            <w:vAlign w:val="center"/>
          </w:tcPr>
          <w:p w:rsidR="0024547C" w:rsidRPr="00104F4B" w:rsidRDefault="0024547C" w:rsidP="0024547C">
            <w:pPr>
              <w:jc w:val="center"/>
              <w:rPr>
                <w:rFonts w:cs="Arial"/>
                <w:sz w:val="16"/>
                <w:szCs w:val="16"/>
              </w:rPr>
            </w:pPr>
            <w:r w:rsidRPr="00104F4B">
              <w:rPr>
                <w:rFonts w:cs="Arial"/>
                <w:bCs/>
                <w:sz w:val="16"/>
                <w:szCs w:val="16"/>
              </w:rPr>
              <w:t>20184050331293</w:t>
            </w:r>
          </w:p>
        </w:tc>
        <w:tc>
          <w:tcPr>
            <w:tcW w:w="2126" w:type="dxa"/>
            <w:vAlign w:val="center"/>
          </w:tcPr>
          <w:p w:rsidR="0024547C" w:rsidRPr="00104F4B" w:rsidRDefault="0024547C" w:rsidP="0024547C">
            <w:pPr>
              <w:jc w:val="center"/>
              <w:rPr>
                <w:rFonts w:cs="Arial"/>
                <w:bCs/>
                <w:sz w:val="16"/>
                <w:szCs w:val="16"/>
              </w:rPr>
            </w:pPr>
            <w:r w:rsidRPr="00104F4B">
              <w:rPr>
                <w:rFonts w:cs="Arial"/>
                <w:bCs/>
                <w:sz w:val="16"/>
                <w:szCs w:val="16"/>
              </w:rPr>
              <w:t>28/12/2018</w:t>
            </w:r>
          </w:p>
          <w:p w:rsidR="0024547C" w:rsidRPr="00104F4B" w:rsidRDefault="0024547C" w:rsidP="0024547C">
            <w:pPr>
              <w:jc w:val="center"/>
              <w:rPr>
                <w:rFonts w:cs="Arial"/>
                <w:sz w:val="16"/>
                <w:szCs w:val="16"/>
              </w:rPr>
            </w:pPr>
          </w:p>
        </w:tc>
        <w:tc>
          <w:tcPr>
            <w:tcW w:w="5103" w:type="dxa"/>
            <w:vAlign w:val="center"/>
          </w:tcPr>
          <w:p w:rsidR="0024547C" w:rsidRPr="00104F4B" w:rsidRDefault="0024547C" w:rsidP="0024547C">
            <w:pPr>
              <w:jc w:val="center"/>
              <w:rPr>
                <w:rFonts w:cs="Arial"/>
                <w:sz w:val="16"/>
                <w:szCs w:val="16"/>
              </w:rPr>
            </w:pPr>
            <w:r w:rsidRPr="00104F4B">
              <w:rPr>
                <w:rFonts w:cs="Arial"/>
                <w:bCs/>
                <w:sz w:val="16"/>
                <w:szCs w:val="16"/>
              </w:rPr>
              <w:t>Lineamientos para la gestión de cobro de multas y sanciones pecuniarias derivadas de procesos administrativos sancionatorios.</w:t>
            </w:r>
          </w:p>
        </w:tc>
      </w:tr>
      <w:tr w:rsidR="0024547C" w:rsidRPr="00104F4B" w:rsidTr="0024547C">
        <w:tc>
          <w:tcPr>
            <w:tcW w:w="1980" w:type="dxa"/>
            <w:vAlign w:val="center"/>
          </w:tcPr>
          <w:p w:rsidR="0024547C" w:rsidRPr="00104F4B" w:rsidRDefault="0024547C" w:rsidP="0024547C">
            <w:pPr>
              <w:jc w:val="center"/>
              <w:rPr>
                <w:rFonts w:cs="Arial"/>
                <w:sz w:val="16"/>
                <w:szCs w:val="16"/>
              </w:rPr>
            </w:pPr>
            <w:r w:rsidRPr="00104F4B">
              <w:rPr>
                <w:rFonts w:cs="Arial"/>
                <w:bCs/>
                <w:sz w:val="16"/>
                <w:szCs w:val="16"/>
              </w:rPr>
              <w:t>20184050305873</w:t>
            </w:r>
          </w:p>
        </w:tc>
        <w:tc>
          <w:tcPr>
            <w:tcW w:w="2126" w:type="dxa"/>
            <w:vAlign w:val="center"/>
          </w:tcPr>
          <w:p w:rsidR="0024547C" w:rsidRPr="00104F4B" w:rsidRDefault="0024547C" w:rsidP="0024547C">
            <w:pPr>
              <w:jc w:val="center"/>
              <w:rPr>
                <w:rFonts w:cs="Arial"/>
                <w:bCs/>
                <w:sz w:val="16"/>
                <w:szCs w:val="16"/>
              </w:rPr>
            </w:pPr>
            <w:r w:rsidRPr="00104F4B">
              <w:rPr>
                <w:rFonts w:cs="Arial"/>
                <w:bCs/>
                <w:sz w:val="16"/>
                <w:szCs w:val="16"/>
              </w:rPr>
              <w:t>04/12/2018</w:t>
            </w:r>
          </w:p>
          <w:p w:rsidR="0024547C" w:rsidRPr="00104F4B" w:rsidRDefault="0024547C" w:rsidP="0024547C">
            <w:pPr>
              <w:jc w:val="center"/>
              <w:rPr>
                <w:rFonts w:cs="Arial"/>
                <w:sz w:val="16"/>
                <w:szCs w:val="16"/>
              </w:rPr>
            </w:pPr>
          </w:p>
        </w:tc>
        <w:tc>
          <w:tcPr>
            <w:tcW w:w="5103" w:type="dxa"/>
            <w:vAlign w:val="center"/>
          </w:tcPr>
          <w:p w:rsidR="0024547C" w:rsidRPr="00104F4B" w:rsidRDefault="0024547C" w:rsidP="0024547C">
            <w:pPr>
              <w:jc w:val="center"/>
              <w:rPr>
                <w:rFonts w:cs="Arial"/>
                <w:sz w:val="16"/>
                <w:szCs w:val="16"/>
              </w:rPr>
            </w:pPr>
            <w:r w:rsidRPr="00104F4B">
              <w:rPr>
                <w:rFonts w:cs="Arial"/>
                <w:bCs/>
                <w:sz w:val="16"/>
                <w:szCs w:val="16"/>
              </w:rPr>
              <w:t>Memorando de instrucción jurídica - política de prevención de daño antijurídico - objeción a dictámenes periciales contables-financieros</w:t>
            </w:r>
          </w:p>
        </w:tc>
      </w:tr>
      <w:tr w:rsidR="0024547C" w:rsidRPr="00104F4B" w:rsidTr="0024547C">
        <w:tc>
          <w:tcPr>
            <w:tcW w:w="1980" w:type="dxa"/>
            <w:vAlign w:val="center"/>
          </w:tcPr>
          <w:p w:rsidR="0024547C" w:rsidRPr="00104F4B" w:rsidRDefault="00152F03" w:rsidP="0024547C">
            <w:pPr>
              <w:jc w:val="center"/>
              <w:rPr>
                <w:rFonts w:cs="Arial"/>
                <w:sz w:val="16"/>
                <w:szCs w:val="16"/>
                <w:u w:val="single"/>
              </w:rPr>
            </w:pPr>
            <w:hyperlink r:id="rId39" w:tgtFrame="_blank" w:history="1">
              <w:r w:rsidR="0024547C" w:rsidRPr="00104F4B">
                <w:rPr>
                  <w:rStyle w:val="Hipervnculo"/>
                  <w:rFonts w:cs="Arial"/>
                  <w:bCs/>
                  <w:sz w:val="16"/>
                  <w:szCs w:val="16"/>
                </w:rPr>
                <w:t>20184050120703</w:t>
              </w:r>
            </w:hyperlink>
          </w:p>
        </w:tc>
        <w:tc>
          <w:tcPr>
            <w:tcW w:w="2126" w:type="dxa"/>
            <w:vAlign w:val="center"/>
          </w:tcPr>
          <w:p w:rsidR="0024547C" w:rsidRPr="00104F4B" w:rsidRDefault="0024547C" w:rsidP="0024547C">
            <w:pPr>
              <w:jc w:val="center"/>
              <w:rPr>
                <w:rFonts w:cs="Arial"/>
                <w:bCs/>
                <w:sz w:val="16"/>
                <w:szCs w:val="16"/>
              </w:rPr>
            </w:pPr>
            <w:r w:rsidRPr="00104F4B">
              <w:rPr>
                <w:rFonts w:cs="Arial"/>
                <w:bCs/>
                <w:sz w:val="16"/>
                <w:szCs w:val="16"/>
              </w:rPr>
              <w:t>23/05/2018</w:t>
            </w:r>
          </w:p>
          <w:p w:rsidR="0024547C" w:rsidRPr="00104F4B" w:rsidRDefault="0024547C" w:rsidP="0024547C">
            <w:pPr>
              <w:jc w:val="center"/>
              <w:rPr>
                <w:rFonts w:cs="Arial"/>
                <w:sz w:val="16"/>
                <w:szCs w:val="16"/>
              </w:rPr>
            </w:pPr>
          </w:p>
        </w:tc>
        <w:tc>
          <w:tcPr>
            <w:tcW w:w="5103" w:type="dxa"/>
            <w:vAlign w:val="center"/>
          </w:tcPr>
          <w:p w:rsidR="0024547C" w:rsidRPr="00104F4B" w:rsidRDefault="0024547C" w:rsidP="0024547C">
            <w:pPr>
              <w:jc w:val="center"/>
              <w:rPr>
                <w:rFonts w:cs="Arial"/>
                <w:sz w:val="16"/>
                <w:szCs w:val="16"/>
              </w:rPr>
            </w:pPr>
            <w:r w:rsidRPr="00104F4B">
              <w:rPr>
                <w:rFonts w:cs="Arial"/>
                <w:bCs/>
                <w:sz w:val="16"/>
                <w:szCs w:val="16"/>
              </w:rPr>
              <w:t>Instrucción Jurídica sobre la Formulación de Estrategias para dar cumplimiento a los pronunciamientos judiciales de las acciones populares en los tiempos dispuestos por las autoridades.</w:t>
            </w:r>
          </w:p>
        </w:tc>
      </w:tr>
      <w:tr w:rsidR="0024547C" w:rsidRPr="00104F4B" w:rsidTr="0024547C">
        <w:trPr>
          <w:trHeight w:val="759"/>
        </w:trPr>
        <w:tc>
          <w:tcPr>
            <w:tcW w:w="1980" w:type="dxa"/>
          </w:tcPr>
          <w:p w:rsidR="0024547C" w:rsidRPr="00104F4B" w:rsidRDefault="0024547C" w:rsidP="0024547C">
            <w:pPr>
              <w:jc w:val="center"/>
              <w:rPr>
                <w:rFonts w:cs="Arial"/>
                <w:sz w:val="16"/>
                <w:szCs w:val="16"/>
              </w:rPr>
            </w:pPr>
            <w:r w:rsidRPr="00104F4B">
              <w:rPr>
                <w:rFonts w:cs="Arial"/>
                <w:sz w:val="16"/>
                <w:szCs w:val="16"/>
              </w:rPr>
              <w:t>20184050331293</w:t>
            </w:r>
          </w:p>
        </w:tc>
        <w:tc>
          <w:tcPr>
            <w:tcW w:w="2126" w:type="dxa"/>
          </w:tcPr>
          <w:p w:rsidR="0024547C" w:rsidRPr="00104F4B" w:rsidRDefault="0024547C" w:rsidP="0024547C">
            <w:pPr>
              <w:jc w:val="center"/>
              <w:rPr>
                <w:rFonts w:cs="Arial"/>
                <w:sz w:val="16"/>
                <w:szCs w:val="16"/>
              </w:rPr>
            </w:pPr>
            <w:r w:rsidRPr="00104F4B">
              <w:rPr>
                <w:rFonts w:cs="Arial"/>
                <w:sz w:val="16"/>
                <w:szCs w:val="16"/>
              </w:rPr>
              <w:t>28/12/2018</w:t>
            </w:r>
          </w:p>
        </w:tc>
        <w:tc>
          <w:tcPr>
            <w:tcW w:w="5103" w:type="dxa"/>
          </w:tcPr>
          <w:tbl>
            <w:tblPr>
              <w:tblW w:w="0" w:type="auto"/>
              <w:tblBorders>
                <w:top w:val="nil"/>
                <w:left w:val="nil"/>
                <w:bottom w:val="nil"/>
                <w:right w:val="nil"/>
              </w:tblBorders>
              <w:tblLook w:val="0000" w:firstRow="0" w:lastRow="0" w:firstColumn="0" w:lastColumn="0" w:noHBand="0" w:noVBand="0"/>
            </w:tblPr>
            <w:tblGrid>
              <w:gridCol w:w="4887"/>
            </w:tblGrid>
            <w:tr w:rsidR="0024547C" w:rsidRPr="00104F4B" w:rsidTr="0024547C">
              <w:trPr>
                <w:trHeight w:val="390"/>
              </w:trPr>
              <w:tc>
                <w:tcPr>
                  <w:tcW w:w="0" w:type="auto"/>
                </w:tcPr>
                <w:p w:rsidR="0024547C" w:rsidRPr="00104F4B" w:rsidRDefault="0024547C" w:rsidP="0024547C">
                  <w:pPr>
                    <w:autoSpaceDE w:val="0"/>
                    <w:autoSpaceDN w:val="0"/>
                    <w:adjustRightInd w:val="0"/>
                    <w:rPr>
                      <w:rFonts w:cs="Arial"/>
                      <w:sz w:val="16"/>
                      <w:szCs w:val="16"/>
                    </w:rPr>
                  </w:pPr>
                  <w:r w:rsidRPr="00104F4B">
                    <w:rPr>
                      <w:rFonts w:cs="Arial"/>
                      <w:sz w:val="16"/>
                      <w:szCs w:val="16"/>
                    </w:rPr>
                    <w:t xml:space="preserve">Lineamientos para la gestión de cobro de multas y sanciones pecuniarias derivadas de procesos administrativos sancionatorios </w:t>
                  </w:r>
                </w:p>
              </w:tc>
            </w:tr>
          </w:tbl>
          <w:p w:rsidR="0024547C" w:rsidRPr="00104F4B" w:rsidRDefault="0024547C" w:rsidP="0024547C">
            <w:pPr>
              <w:rPr>
                <w:rFonts w:cs="Arial"/>
                <w:sz w:val="16"/>
                <w:szCs w:val="16"/>
              </w:rPr>
            </w:pPr>
          </w:p>
        </w:tc>
      </w:tr>
    </w:tbl>
    <w:p w:rsidR="0024547C" w:rsidRPr="00104F4B" w:rsidRDefault="0024547C" w:rsidP="0024547C">
      <w:pPr>
        <w:jc w:val="center"/>
        <w:rPr>
          <w:rFonts w:cs="Arial"/>
          <w:sz w:val="16"/>
          <w:szCs w:val="16"/>
        </w:rPr>
      </w:pPr>
      <w:r w:rsidRPr="00104F4B">
        <w:rPr>
          <w:rFonts w:cs="Arial"/>
          <w:sz w:val="16"/>
          <w:szCs w:val="16"/>
        </w:rPr>
        <w:t xml:space="preserve">SGJ – Memorandos de Instrucción Jurídica 2018 </w:t>
      </w:r>
    </w:p>
    <w:tbl>
      <w:tblPr>
        <w:tblStyle w:val="Tablaconcuadrcula"/>
        <w:tblW w:w="9067" w:type="dxa"/>
        <w:tblLook w:val="04A0" w:firstRow="1" w:lastRow="0" w:firstColumn="1" w:lastColumn="0" w:noHBand="0" w:noVBand="1"/>
      </w:tblPr>
      <w:tblGrid>
        <w:gridCol w:w="1980"/>
        <w:gridCol w:w="1559"/>
        <w:gridCol w:w="5528"/>
      </w:tblGrid>
      <w:tr w:rsidR="0024547C" w:rsidRPr="00104F4B" w:rsidTr="0024547C">
        <w:tc>
          <w:tcPr>
            <w:tcW w:w="1980" w:type="dxa"/>
            <w:vAlign w:val="center"/>
          </w:tcPr>
          <w:p w:rsidR="0024547C" w:rsidRPr="00104F4B" w:rsidRDefault="0024547C" w:rsidP="0024547C">
            <w:pPr>
              <w:jc w:val="center"/>
              <w:rPr>
                <w:rFonts w:cs="Arial"/>
                <w:b/>
                <w:color w:val="000000"/>
                <w:sz w:val="16"/>
                <w:szCs w:val="16"/>
                <w:lang w:eastAsia="es-CO"/>
              </w:rPr>
            </w:pPr>
            <w:r w:rsidRPr="00104F4B">
              <w:rPr>
                <w:rFonts w:cs="Arial"/>
                <w:b/>
                <w:color w:val="000000"/>
                <w:sz w:val="16"/>
                <w:szCs w:val="16"/>
                <w:lang w:eastAsia="es-CO"/>
              </w:rPr>
              <w:t>N° MEMORANDO</w:t>
            </w:r>
          </w:p>
        </w:tc>
        <w:tc>
          <w:tcPr>
            <w:tcW w:w="1559" w:type="dxa"/>
            <w:vAlign w:val="center"/>
          </w:tcPr>
          <w:p w:rsidR="0024547C" w:rsidRPr="00104F4B" w:rsidRDefault="0024547C" w:rsidP="0024547C">
            <w:pPr>
              <w:jc w:val="center"/>
              <w:rPr>
                <w:rFonts w:cs="Arial"/>
                <w:b/>
                <w:color w:val="000000"/>
                <w:sz w:val="16"/>
                <w:szCs w:val="16"/>
                <w:lang w:eastAsia="es-CO"/>
              </w:rPr>
            </w:pPr>
            <w:r w:rsidRPr="00104F4B">
              <w:rPr>
                <w:rFonts w:cs="Arial"/>
                <w:b/>
                <w:color w:val="000000"/>
                <w:sz w:val="16"/>
                <w:szCs w:val="16"/>
                <w:lang w:eastAsia="es-CO"/>
              </w:rPr>
              <w:t>FECHA RESPUESTA</w:t>
            </w:r>
          </w:p>
        </w:tc>
        <w:tc>
          <w:tcPr>
            <w:tcW w:w="5528" w:type="dxa"/>
            <w:vAlign w:val="bottom"/>
          </w:tcPr>
          <w:p w:rsidR="0024547C" w:rsidRPr="00104F4B" w:rsidRDefault="0024547C" w:rsidP="0024547C">
            <w:pPr>
              <w:jc w:val="center"/>
              <w:rPr>
                <w:rFonts w:cs="Arial"/>
                <w:b/>
                <w:color w:val="000000"/>
                <w:sz w:val="16"/>
                <w:szCs w:val="16"/>
                <w:lang w:eastAsia="es-CO"/>
              </w:rPr>
            </w:pPr>
            <w:r w:rsidRPr="00104F4B">
              <w:rPr>
                <w:rFonts w:cs="Arial"/>
                <w:b/>
                <w:color w:val="000000"/>
                <w:sz w:val="16"/>
                <w:szCs w:val="16"/>
                <w:lang w:eastAsia="es-CO"/>
              </w:rPr>
              <w:t>REFERENCIA</w:t>
            </w:r>
          </w:p>
        </w:tc>
      </w:tr>
      <w:tr w:rsidR="0024547C" w:rsidRPr="00104F4B" w:rsidTr="0024547C">
        <w:tc>
          <w:tcPr>
            <w:tcW w:w="1980" w:type="dxa"/>
            <w:vAlign w:val="center"/>
          </w:tcPr>
          <w:p w:rsidR="0024547C" w:rsidRPr="00104F4B" w:rsidRDefault="0024547C" w:rsidP="0024547C">
            <w:pPr>
              <w:jc w:val="center"/>
              <w:rPr>
                <w:rFonts w:cs="Arial"/>
                <w:color w:val="222222"/>
                <w:sz w:val="16"/>
                <w:szCs w:val="16"/>
              </w:rPr>
            </w:pPr>
            <w:r w:rsidRPr="00104F4B">
              <w:rPr>
                <w:rFonts w:cs="Arial"/>
                <w:color w:val="000000"/>
                <w:sz w:val="16"/>
                <w:szCs w:val="16"/>
              </w:rPr>
              <w:t>20184050063933</w:t>
            </w:r>
          </w:p>
        </w:tc>
        <w:tc>
          <w:tcPr>
            <w:tcW w:w="1559" w:type="dxa"/>
            <w:vAlign w:val="center"/>
          </w:tcPr>
          <w:p w:rsidR="0024547C" w:rsidRPr="00104F4B" w:rsidRDefault="0024547C" w:rsidP="0024547C">
            <w:pPr>
              <w:jc w:val="center"/>
              <w:rPr>
                <w:rFonts w:cs="Arial"/>
                <w:color w:val="222222"/>
                <w:sz w:val="16"/>
                <w:szCs w:val="16"/>
              </w:rPr>
            </w:pPr>
            <w:r w:rsidRPr="00104F4B">
              <w:rPr>
                <w:rFonts w:cs="Arial"/>
                <w:color w:val="000000"/>
                <w:sz w:val="16"/>
                <w:szCs w:val="16"/>
              </w:rPr>
              <w:t>15/03/2018</w:t>
            </w:r>
          </w:p>
        </w:tc>
        <w:tc>
          <w:tcPr>
            <w:tcW w:w="5528" w:type="dxa"/>
            <w:vAlign w:val="bottom"/>
          </w:tcPr>
          <w:p w:rsidR="0024547C" w:rsidRPr="00104F4B" w:rsidRDefault="0024547C" w:rsidP="0024547C">
            <w:pPr>
              <w:pStyle w:val="Default"/>
              <w:rPr>
                <w:rFonts w:ascii="Arial" w:hAnsi="Arial" w:cs="Arial"/>
                <w:sz w:val="16"/>
                <w:szCs w:val="16"/>
              </w:rPr>
            </w:pPr>
            <w:r w:rsidRPr="00104F4B">
              <w:rPr>
                <w:rFonts w:ascii="Arial" w:hAnsi="Arial" w:cs="Arial"/>
                <w:sz w:val="16"/>
                <w:szCs w:val="16"/>
              </w:rPr>
              <w:t xml:space="preserve">Respuesta al memorando 20181150034653 - </w:t>
            </w:r>
          </w:p>
          <w:p w:rsidR="0024547C" w:rsidRPr="00104F4B" w:rsidRDefault="0024547C" w:rsidP="0024547C">
            <w:pPr>
              <w:rPr>
                <w:rFonts w:cs="Arial"/>
                <w:color w:val="222222"/>
                <w:sz w:val="16"/>
                <w:szCs w:val="16"/>
              </w:rPr>
            </w:pPr>
            <w:r w:rsidRPr="00104F4B">
              <w:rPr>
                <w:rFonts w:cs="Arial"/>
                <w:color w:val="000000"/>
                <w:sz w:val="16"/>
                <w:szCs w:val="16"/>
              </w:rPr>
              <w:t xml:space="preserve"> </w:t>
            </w:r>
            <w:r w:rsidRPr="00104F4B">
              <w:rPr>
                <w:rFonts w:cs="Arial"/>
                <w:iCs/>
                <w:color w:val="000000"/>
                <w:sz w:val="16"/>
                <w:szCs w:val="16"/>
              </w:rPr>
              <w:t>Devolución de los saldos a favor de los contribuyentes</w:t>
            </w:r>
          </w:p>
        </w:tc>
      </w:tr>
      <w:tr w:rsidR="0024547C" w:rsidRPr="00104F4B" w:rsidTr="0024547C">
        <w:tc>
          <w:tcPr>
            <w:tcW w:w="1980" w:type="dxa"/>
            <w:vAlign w:val="center"/>
          </w:tcPr>
          <w:p w:rsidR="0024547C" w:rsidRPr="00104F4B" w:rsidRDefault="0024547C" w:rsidP="0024547C">
            <w:pPr>
              <w:jc w:val="center"/>
              <w:rPr>
                <w:rFonts w:cs="Arial"/>
                <w:color w:val="222222"/>
                <w:sz w:val="16"/>
                <w:szCs w:val="16"/>
              </w:rPr>
            </w:pPr>
            <w:r w:rsidRPr="00104F4B">
              <w:rPr>
                <w:rFonts w:cs="Arial"/>
                <w:color w:val="000000"/>
                <w:sz w:val="16"/>
                <w:szCs w:val="16"/>
              </w:rPr>
              <w:t>20184050063463</w:t>
            </w:r>
          </w:p>
        </w:tc>
        <w:tc>
          <w:tcPr>
            <w:tcW w:w="1559" w:type="dxa"/>
            <w:vAlign w:val="center"/>
          </w:tcPr>
          <w:p w:rsidR="0024547C" w:rsidRPr="00104F4B" w:rsidRDefault="0024547C" w:rsidP="0024547C">
            <w:pPr>
              <w:jc w:val="center"/>
              <w:rPr>
                <w:rFonts w:cs="Arial"/>
                <w:color w:val="222222"/>
                <w:sz w:val="16"/>
                <w:szCs w:val="16"/>
              </w:rPr>
            </w:pPr>
            <w:r w:rsidRPr="00104F4B">
              <w:rPr>
                <w:rFonts w:cs="Arial"/>
                <w:color w:val="000000"/>
                <w:sz w:val="16"/>
                <w:szCs w:val="16"/>
              </w:rPr>
              <w:t>15/03/2018</w:t>
            </w:r>
          </w:p>
        </w:tc>
        <w:tc>
          <w:tcPr>
            <w:tcW w:w="5528" w:type="dxa"/>
            <w:vAlign w:val="bottom"/>
          </w:tcPr>
          <w:p w:rsidR="0024547C" w:rsidRPr="00104F4B" w:rsidRDefault="0024547C" w:rsidP="0024547C">
            <w:pPr>
              <w:rPr>
                <w:rFonts w:cs="Arial"/>
                <w:color w:val="222222"/>
                <w:sz w:val="16"/>
                <w:szCs w:val="16"/>
              </w:rPr>
            </w:pPr>
            <w:r w:rsidRPr="00104F4B">
              <w:rPr>
                <w:rFonts w:cs="Arial"/>
                <w:color w:val="000000"/>
                <w:sz w:val="16"/>
                <w:szCs w:val="16"/>
              </w:rPr>
              <w:t>Respuesta solicitud de concepto memorando STPC 20185460006303 - contrato PSP IDU- 907-2017</w:t>
            </w:r>
          </w:p>
        </w:tc>
      </w:tr>
      <w:tr w:rsidR="0024547C" w:rsidRPr="00104F4B" w:rsidTr="0024547C">
        <w:tc>
          <w:tcPr>
            <w:tcW w:w="1980" w:type="dxa"/>
            <w:vAlign w:val="center"/>
          </w:tcPr>
          <w:p w:rsidR="0024547C" w:rsidRPr="00104F4B" w:rsidRDefault="0024547C" w:rsidP="0024547C">
            <w:pPr>
              <w:jc w:val="center"/>
              <w:rPr>
                <w:rFonts w:cs="Arial"/>
                <w:color w:val="222222"/>
                <w:sz w:val="16"/>
                <w:szCs w:val="16"/>
              </w:rPr>
            </w:pPr>
            <w:r w:rsidRPr="00104F4B">
              <w:rPr>
                <w:rFonts w:cs="Arial"/>
                <w:color w:val="000000"/>
                <w:sz w:val="16"/>
                <w:szCs w:val="16"/>
              </w:rPr>
              <w:lastRenderedPageBreak/>
              <w:t>20184050102723</w:t>
            </w:r>
          </w:p>
        </w:tc>
        <w:tc>
          <w:tcPr>
            <w:tcW w:w="1559" w:type="dxa"/>
            <w:vAlign w:val="center"/>
          </w:tcPr>
          <w:p w:rsidR="0024547C" w:rsidRPr="00104F4B" w:rsidRDefault="0024547C" w:rsidP="0024547C">
            <w:pPr>
              <w:jc w:val="center"/>
              <w:rPr>
                <w:rFonts w:cs="Arial"/>
                <w:color w:val="222222"/>
                <w:sz w:val="16"/>
                <w:szCs w:val="16"/>
              </w:rPr>
            </w:pPr>
            <w:r w:rsidRPr="00104F4B">
              <w:rPr>
                <w:rFonts w:cs="Arial"/>
                <w:color w:val="000000"/>
                <w:sz w:val="16"/>
                <w:szCs w:val="16"/>
              </w:rPr>
              <w:t>03/05/2018</w:t>
            </w:r>
          </w:p>
        </w:tc>
        <w:tc>
          <w:tcPr>
            <w:tcW w:w="5528" w:type="dxa"/>
            <w:vAlign w:val="bottom"/>
          </w:tcPr>
          <w:p w:rsidR="0024547C" w:rsidRPr="00104F4B" w:rsidRDefault="0024547C" w:rsidP="0024547C">
            <w:pPr>
              <w:rPr>
                <w:rFonts w:cs="Arial"/>
                <w:color w:val="222222"/>
                <w:sz w:val="16"/>
                <w:szCs w:val="16"/>
              </w:rPr>
            </w:pPr>
            <w:r w:rsidRPr="00104F4B">
              <w:rPr>
                <w:rFonts w:cs="Arial"/>
                <w:color w:val="000000"/>
                <w:sz w:val="16"/>
                <w:szCs w:val="16"/>
              </w:rPr>
              <w:t xml:space="preserve">Respuesta Memorando 20185760087363 – Depuración saldos a favor </w:t>
            </w:r>
          </w:p>
        </w:tc>
      </w:tr>
      <w:tr w:rsidR="0024547C" w:rsidRPr="00104F4B" w:rsidTr="0024547C">
        <w:tc>
          <w:tcPr>
            <w:tcW w:w="1980" w:type="dxa"/>
            <w:vAlign w:val="center"/>
          </w:tcPr>
          <w:p w:rsidR="0024547C" w:rsidRPr="00104F4B" w:rsidRDefault="0024547C" w:rsidP="0024547C">
            <w:pPr>
              <w:jc w:val="center"/>
              <w:rPr>
                <w:rFonts w:cs="Arial"/>
                <w:color w:val="222222"/>
                <w:sz w:val="16"/>
                <w:szCs w:val="16"/>
              </w:rPr>
            </w:pPr>
            <w:r w:rsidRPr="00104F4B">
              <w:rPr>
                <w:rFonts w:cs="Arial"/>
                <w:color w:val="000000"/>
                <w:sz w:val="16"/>
                <w:szCs w:val="16"/>
              </w:rPr>
              <w:t>20184050143233</w:t>
            </w:r>
          </w:p>
        </w:tc>
        <w:tc>
          <w:tcPr>
            <w:tcW w:w="1559" w:type="dxa"/>
            <w:vAlign w:val="center"/>
          </w:tcPr>
          <w:p w:rsidR="0024547C" w:rsidRPr="00104F4B" w:rsidRDefault="0024547C" w:rsidP="0024547C">
            <w:pPr>
              <w:jc w:val="center"/>
              <w:rPr>
                <w:rFonts w:cs="Arial"/>
                <w:color w:val="222222"/>
                <w:sz w:val="16"/>
                <w:szCs w:val="16"/>
              </w:rPr>
            </w:pPr>
            <w:r w:rsidRPr="00104F4B">
              <w:rPr>
                <w:rFonts w:cs="Arial"/>
                <w:color w:val="000000"/>
                <w:sz w:val="16"/>
                <w:szCs w:val="16"/>
              </w:rPr>
              <w:t>18/06/2018</w:t>
            </w:r>
          </w:p>
        </w:tc>
        <w:tc>
          <w:tcPr>
            <w:tcW w:w="5528" w:type="dxa"/>
            <w:vAlign w:val="center"/>
          </w:tcPr>
          <w:p w:rsidR="0024547C" w:rsidRPr="00104F4B" w:rsidRDefault="0024547C" w:rsidP="0024547C">
            <w:pPr>
              <w:pStyle w:val="Default"/>
              <w:rPr>
                <w:rFonts w:ascii="Arial" w:hAnsi="Arial" w:cs="Arial"/>
                <w:sz w:val="16"/>
                <w:szCs w:val="16"/>
              </w:rPr>
            </w:pPr>
            <w:r w:rsidRPr="00104F4B">
              <w:rPr>
                <w:rFonts w:ascii="Arial" w:hAnsi="Arial" w:cs="Arial"/>
                <w:sz w:val="16"/>
                <w:szCs w:val="16"/>
              </w:rPr>
              <w:t xml:space="preserve">Respuesta concepto jurídico solicitado con No. 20183750091773 - </w:t>
            </w:r>
          </w:p>
          <w:p w:rsidR="0024547C" w:rsidRPr="00104F4B" w:rsidRDefault="0024547C" w:rsidP="0024547C">
            <w:pPr>
              <w:rPr>
                <w:rFonts w:cs="Arial"/>
                <w:color w:val="222222"/>
                <w:sz w:val="16"/>
                <w:szCs w:val="16"/>
              </w:rPr>
            </w:pPr>
            <w:r w:rsidRPr="00104F4B">
              <w:rPr>
                <w:rFonts w:cs="Arial"/>
                <w:color w:val="000000"/>
                <w:sz w:val="16"/>
                <w:szCs w:val="16"/>
              </w:rPr>
              <w:t xml:space="preserve"> </w:t>
            </w:r>
            <w:r w:rsidRPr="00104F4B">
              <w:rPr>
                <w:rFonts w:cs="Arial"/>
                <w:iCs/>
                <w:color w:val="000000"/>
                <w:sz w:val="16"/>
                <w:szCs w:val="16"/>
              </w:rPr>
              <w:t>contratos para la administración, mantenimiento y aprovechamiento económico de diferentes espacios públicos de la ciudad (CAMEP’s)</w:t>
            </w:r>
          </w:p>
        </w:tc>
      </w:tr>
      <w:tr w:rsidR="0024547C" w:rsidRPr="00104F4B" w:rsidTr="0024547C">
        <w:tc>
          <w:tcPr>
            <w:tcW w:w="1980" w:type="dxa"/>
            <w:vAlign w:val="center"/>
          </w:tcPr>
          <w:p w:rsidR="0024547C" w:rsidRPr="00104F4B" w:rsidRDefault="0024547C" w:rsidP="0024547C">
            <w:pPr>
              <w:jc w:val="center"/>
              <w:rPr>
                <w:rFonts w:cs="Arial"/>
                <w:color w:val="222222"/>
                <w:sz w:val="16"/>
                <w:szCs w:val="16"/>
              </w:rPr>
            </w:pPr>
            <w:r w:rsidRPr="00104F4B">
              <w:rPr>
                <w:rFonts w:cs="Arial"/>
                <w:color w:val="000000"/>
                <w:sz w:val="16"/>
                <w:szCs w:val="16"/>
              </w:rPr>
              <w:t>20184050165413</w:t>
            </w:r>
          </w:p>
        </w:tc>
        <w:tc>
          <w:tcPr>
            <w:tcW w:w="1559" w:type="dxa"/>
            <w:vAlign w:val="center"/>
          </w:tcPr>
          <w:p w:rsidR="0024547C" w:rsidRPr="00104F4B" w:rsidRDefault="0024547C" w:rsidP="0024547C">
            <w:pPr>
              <w:jc w:val="center"/>
              <w:rPr>
                <w:rFonts w:cs="Arial"/>
                <w:color w:val="222222"/>
                <w:sz w:val="16"/>
                <w:szCs w:val="16"/>
              </w:rPr>
            </w:pPr>
            <w:r w:rsidRPr="00104F4B">
              <w:rPr>
                <w:rFonts w:cs="Arial"/>
                <w:color w:val="000000"/>
                <w:sz w:val="16"/>
                <w:szCs w:val="16"/>
              </w:rPr>
              <w:t>12/07/2018</w:t>
            </w:r>
          </w:p>
        </w:tc>
        <w:tc>
          <w:tcPr>
            <w:tcW w:w="5528" w:type="dxa"/>
            <w:vAlign w:val="center"/>
          </w:tcPr>
          <w:p w:rsidR="0024547C" w:rsidRPr="00104F4B" w:rsidRDefault="0024547C" w:rsidP="0024547C">
            <w:pPr>
              <w:rPr>
                <w:rFonts w:cs="Arial"/>
                <w:color w:val="222222"/>
                <w:sz w:val="16"/>
                <w:szCs w:val="16"/>
              </w:rPr>
            </w:pPr>
            <w:r w:rsidRPr="00104F4B">
              <w:rPr>
                <w:rFonts w:cs="Arial"/>
                <w:color w:val="000000"/>
                <w:sz w:val="16"/>
                <w:szCs w:val="16"/>
              </w:rPr>
              <w:t xml:space="preserve">Respuesta al memorando 20185460148913 – Cuentas por cobrar </w:t>
            </w:r>
          </w:p>
        </w:tc>
      </w:tr>
      <w:tr w:rsidR="0024547C" w:rsidRPr="00104F4B" w:rsidTr="0024547C">
        <w:tc>
          <w:tcPr>
            <w:tcW w:w="1980" w:type="dxa"/>
            <w:vAlign w:val="center"/>
          </w:tcPr>
          <w:p w:rsidR="0024547C" w:rsidRPr="00104F4B" w:rsidRDefault="0024547C" w:rsidP="0024547C">
            <w:pPr>
              <w:jc w:val="center"/>
              <w:rPr>
                <w:rFonts w:cs="Arial"/>
                <w:color w:val="222222"/>
                <w:sz w:val="16"/>
                <w:szCs w:val="16"/>
              </w:rPr>
            </w:pPr>
            <w:r w:rsidRPr="00104F4B">
              <w:rPr>
                <w:rFonts w:cs="Arial"/>
                <w:color w:val="000000"/>
                <w:sz w:val="16"/>
                <w:szCs w:val="16"/>
              </w:rPr>
              <w:t>20184050204803</w:t>
            </w:r>
          </w:p>
        </w:tc>
        <w:tc>
          <w:tcPr>
            <w:tcW w:w="1559" w:type="dxa"/>
            <w:vAlign w:val="center"/>
          </w:tcPr>
          <w:p w:rsidR="0024547C" w:rsidRPr="00104F4B" w:rsidRDefault="0024547C" w:rsidP="0024547C">
            <w:pPr>
              <w:jc w:val="center"/>
              <w:rPr>
                <w:rFonts w:cs="Arial"/>
                <w:color w:val="222222"/>
                <w:sz w:val="16"/>
                <w:szCs w:val="16"/>
              </w:rPr>
            </w:pPr>
            <w:r w:rsidRPr="00104F4B">
              <w:rPr>
                <w:rFonts w:cs="Arial"/>
                <w:color w:val="000000"/>
                <w:sz w:val="16"/>
                <w:szCs w:val="16"/>
              </w:rPr>
              <w:t>23/08/2018</w:t>
            </w:r>
          </w:p>
        </w:tc>
        <w:tc>
          <w:tcPr>
            <w:tcW w:w="5528" w:type="dxa"/>
            <w:vAlign w:val="center"/>
          </w:tcPr>
          <w:p w:rsidR="0024547C" w:rsidRPr="00104F4B" w:rsidRDefault="0024547C" w:rsidP="0024547C">
            <w:pPr>
              <w:rPr>
                <w:rFonts w:cs="Arial"/>
                <w:color w:val="222222"/>
                <w:sz w:val="16"/>
                <w:szCs w:val="16"/>
              </w:rPr>
            </w:pPr>
            <w:r w:rsidRPr="00104F4B">
              <w:rPr>
                <w:rFonts w:cs="Arial"/>
                <w:color w:val="000000"/>
                <w:sz w:val="16"/>
                <w:szCs w:val="16"/>
              </w:rPr>
              <w:t>Respuesta a los memorandos 20183460162213, 20185260578852, 20183460180173, 20183460182303 y 20185260850952 - Concepto Jurídico Exclusión del IVA Contrato IDU-1630-2015</w:t>
            </w:r>
          </w:p>
        </w:tc>
      </w:tr>
      <w:tr w:rsidR="0024547C" w:rsidRPr="00104F4B" w:rsidTr="0024547C">
        <w:tc>
          <w:tcPr>
            <w:tcW w:w="1980" w:type="dxa"/>
            <w:vAlign w:val="center"/>
          </w:tcPr>
          <w:p w:rsidR="0024547C" w:rsidRPr="00104F4B" w:rsidRDefault="0024547C" w:rsidP="0024547C">
            <w:pPr>
              <w:jc w:val="center"/>
              <w:rPr>
                <w:rFonts w:cs="Arial"/>
                <w:color w:val="222222"/>
                <w:sz w:val="16"/>
                <w:szCs w:val="16"/>
              </w:rPr>
            </w:pPr>
            <w:r w:rsidRPr="00104F4B">
              <w:rPr>
                <w:rFonts w:cs="Arial"/>
                <w:color w:val="000000"/>
                <w:sz w:val="16"/>
                <w:szCs w:val="16"/>
              </w:rPr>
              <w:t>20184050199303</w:t>
            </w:r>
          </w:p>
        </w:tc>
        <w:tc>
          <w:tcPr>
            <w:tcW w:w="1559" w:type="dxa"/>
            <w:vAlign w:val="center"/>
          </w:tcPr>
          <w:p w:rsidR="0024547C" w:rsidRPr="00104F4B" w:rsidRDefault="0024547C" w:rsidP="0024547C">
            <w:pPr>
              <w:jc w:val="center"/>
              <w:rPr>
                <w:rFonts w:cs="Arial"/>
                <w:color w:val="222222"/>
                <w:sz w:val="16"/>
                <w:szCs w:val="16"/>
              </w:rPr>
            </w:pPr>
            <w:r w:rsidRPr="00104F4B">
              <w:rPr>
                <w:rFonts w:cs="Arial"/>
                <w:color w:val="000000"/>
                <w:sz w:val="16"/>
                <w:szCs w:val="16"/>
              </w:rPr>
              <w:t>16/08/2018</w:t>
            </w:r>
          </w:p>
        </w:tc>
        <w:tc>
          <w:tcPr>
            <w:tcW w:w="5528" w:type="dxa"/>
            <w:vAlign w:val="center"/>
          </w:tcPr>
          <w:p w:rsidR="0024547C" w:rsidRPr="00104F4B" w:rsidRDefault="0024547C" w:rsidP="0024547C">
            <w:pPr>
              <w:rPr>
                <w:rFonts w:cs="Arial"/>
                <w:color w:val="222222"/>
                <w:sz w:val="16"/>
                <w:szCs w:val="16"/>
              </w:rPr>
            </w:pPr>
            <w:r w:rsidRPr="00104F4B">
              <w:rPr>
                <w:rFonts w:cs="Arial"/>
                <w:color w:val="000000"/>
                <w:sz w:val="16"/>
                <w:szCs w:val="16"/>
              </w:rPr>
              <w:t xml:space="preserve">Concepto jurídico - Respuesta al memorando 20182050147693 – Permisos a Terceros </w:t>
            </w:r>
          </w:p>
        </w:tc>
      </w:tr>
      <w:tr w:rsidR="0024547C" w:rsidRPr="00104F4B" w:rsidTr="0024547C">
        <w:tc>
          <w:tcPr>
            <w:tcW w:w="1980" w:type="dxa"/>
            <w:vAlign w:val="center"/>
          </w:tcPr>
          <w:p w:rsidR="0024547C" w:rsidRPr="00104F4B" w:rsidRDefault="0024547C" w:rsidP="0024547C">
            <w:pPr>
              <w:jc w:val="center"/>
              <w:rPr>
                <w:rFonts w:cs="Arial"/>
                <w:color w:val="222222"/>
                <w:sz w:val="16"/>
                <w:szCs w:val="16"/>
              </w:rPr>
            </w:pPr>
            <w:r w:rsidRPr="00104F4B">
              <w:rPr>
                <w:rFonts w:cs="Arial"/>
                <w:color w:val="000000"/>
                <w:sz w:val="16"/>
                <w:szCs w:val="16"/>
              </w:rPr>
              <w:t>20184050202733</w:t>
            </w:r>
          </w:p>
        </w:tc>
        <w:tc>
          <w:tcPr>
            <w:tcW w:w="1559" w:type="dxa"/>
            <w:vAlign w:val="center"/>
          </w:tcPr>
          <w:p w:rsidR="0024547C" w:rsidRPr="00104F4B" w:rsidRDefault="0024547C" w:rsidP="0024547C">
            <w:pPr>
              <w:jc w:val="center"/>
              <w:rPr>
                <w:rFonts w:cs="Arial"/>
                <w:color w:val="222222"/>
                <w:sz w:val="16"/>
                <w:szCs w:val="16"/>
              </w:rPr>
            </w:pPr>
            <w:r w:rsidRPr="00104F4B">
              <w:rPr>
                <w:rFonts w:cs="Arial"/>
                <w:color w:val="000000"/>
                <w:sz w:val="16"/>
                <w:szCs w:val="16"/>
              </w:rPr>
              <w:t>22/08/2018</w:t>
            </w:r>
          </w:p>
        </w:tc>
        <w:tc>
          <w:tcPr>
            <w:tcW w:w="5528" w:type="dxa"/>
            <w:vAlign w:val="center"/>
          </w:tcPr>
          <w:p w:rsidR="0024547C" w:rsidRPr="00104F4B" w:rsidRDefault="0024547C" w:rsidP="0024547C">
            <w:pPr>
              <w:rPr>
                <w:rFonts w:cs="Arial"/>
                <w:color w:val="222222"/>
                <w:sz w:val="16"/>
                <w:szCs w:val="16"/>
              </w:rPr>
            </w:pPr>
            <w:r w:rsidRPr="00104F4B">
              <w:rPr>
                <w:rFonts w:cs="Arial"/>
                <w:color w:val="000000"/>
                <w:sz w:val="16"/>
                <w:szCs w:val="16"/>
              </w:rPr>
              <w:t>Respuesta a memorando 20182250148463. consulta entrega diseños finales troncal cra. 7ª. a promotor ppru el pedregal.</w:t>
            </w:r>
          </w:p>
        </w:tc>
      </w:tr>
      <w:tr w:rsidR="0024547C" w:rsidRPr="00104F4B" w:rsidTr="0024547C">
        <w:tc>
          <w:tcPr>
            <w:tcW w:w="1980" w:type="dxa"/>
            <w:vAlign w:val="center"/>
          </w:tcPr>
          <w:p w:rsidR="0024547C" w:rsidRPr="00104F4B" w:rsidRDefault="0024547C" w:rsidP="0024547C">
            <w:pPr>
              <w:jc w:val="center"/>
              <w:rPr>
                <w:rFonts w:cs="Arial"/>
                <w:color w:val="222222"/>
                <w:sz w:val="16"/>
                <w:szCs w:val="16"/>
              </w:rPr>
            </w:pPr>
            <w:r w:rsidRPr="00104F4B">
              <w:rPr>
                <w:rFonts w:cs="Arial"/>
                <w:color w:val="000000"/>
                <w:sz w:val="16"/>
                <w:szCs w:val="16"/>
              </w:rPr>
              <w:t>20184050206363</w:t>
            </w:r>
          </w:p>
        </w:tc>
        <w:tc>
          <w:tcPr>
            <w:tcW w:w="1559" w:type="dxa"/>
            <w:vAlign w:val="center"/>
          </w:tcPr>
          <w:p w:rsidR="0024547C" w:rsidRPr="00104F4B" w:rsidRDefault="0024547C" w:rsidP="0024547C">
            <w:pPr>
              <w:jc w:val="center"/>
              <w:rPr>
                <w:rFonts w:cs="Arial"/>
                <w:color w:val="222222"/>
                <w:sz w:val="16"/>
                <w:szCs w:val="16"/>
              </w:rPr>
            </w:pPr>
            <w:r w:rsidRPr="00104F4B">
              <w:rPr>
                <w:rFonts w:cs="Arial"/>
                <w:color w:val="000000"/>
                <w:sz w:val="16"/>
                <w:szCs w:val="16"/>
              </w:rPr>
              <w:t>25/08/2018</w:t>
            </w:r>
          </w:p>
        </w:tc>
        <w:tc>
          <w:tcPr>
            <w:tcW w:w="5528" w:type="dxa"/>
            <w:vAlign w:val="bottom"/>
          </w:tcPr>
          <w:p w:rsidR="0024547C" w:rsidRPr="00104F4B" w:rsidRDefault="0024547C" w:rsidP="0024547C">
            <w:pPr>
              <w:rPr>
                <w:rFonts w:cs="Arial"/>
                <w:color w:val="222222"/>
                <w:sz w:val="16"/>
                <w:szCs w:val="16"/>
              </w:rPr>
            </w:pPr>
            <w:r w:rsidRPr="00104F4B">
              <w:rPr>
                <w:rFonts w:cs="Arial"/>
                <w:color w:val="000000"/>
                <w:sz w:val="16"/>
                <w:szCs w:val="16"/>
              </w:rPr>
              <w:t>Respuesta a memorando 20183750162223. solicitud concepto parqueaderos a nivel.</w:t>
            </w:r>
          </w:p>
        </w:tc>
      </w:tr>
      <w:tr w:rsidR="0024547C" w:rsidRPr="00104F4B" w:rsidTr="0024547C">
        <w:tc>
          <w:tcPr>
            <w:tcW w:w="1980" w:type="dxa"/>
            <w:vAlign w:val="center"/>
          </w:tcPr>
          <w:p w:rsidR="0024547C" w:rsidRPr="00104F4B" w:rsidRDefault="0024547C" w:rsidP="0024547C">
            <w:pPr>
              <w:jc w:val="center"/>
              <w:rPr>
                <w:rFonts w:cs="Arial"/>
                <w:color w:val="222222"/>
                <w:sz w:val="16"/>
                <w:szCs w:val="16"/>
              </w:rPr>
            </w:pPr>
            <w:r w:rsidRPr="00104F4B">
              <w:rPr>
                <w:rFonts w:cs="Arial"/>
                <w:color w:val="000000"/>
                <w:sz w:val="16"/>
                <w:szCs w:val="16"/>
              </w:rPr>
              <w:t>20184350214703</w:t>
            </w:r>
          </w:p>
        </w:tc>
        <w:tc>
          <w:tcPr>
            <w:tcW w:w="1559" w:type="dxa"/>
            <w:vAlign w:val="center"/>
          </w:tcPr>
          <w:p w:rsidR="0024547C" w:rsidRPr="00104F4B" w:rsidRDefault="0024547C" w:rsidP="0024547C">
            <w:pPr>
              <w:jc w:val="center"/>
              <w:rPr>
                <w:rFonts w:cs="Arial"/>
                <w:color w:val="222222"/>
                <w:sz w:val="16"/>
                <w:szCs w:val="16"/>
              </w:rPr>
            </w:pPr>
            <w:r w:rsidRPr="00104F4B">
              <w:rPr>
                <w:rFonts w:cs="Arial"/>
                <w:color w:val="000000"/>
                <w:sz w:val="16"/>
                <w:szCs w:val="16"/>
              </w:rPr>
              <w:t>03/09/2018</w:t>
            </w:r>
          </w:p>
        </w:tc>
        <w:tc>
          <w:tcPr>
            <w:tcW w:w="5528" w:type="dxa"/>
            <w:vAlign w:val="center"/>
          </w:tcPr>
          <w:p w:rsidR="0024547C" w:rsidRPr="00104F4B" w:rsidRDefault="0024547C" w:rsidP="0024547C">
            <w:pPr>
              <w:rPr>
                <w:rFonts w:cs="Arial"/>
                <w:color w:val="222222"/>
                <w:sz w:val="16"/>
                <w:szCs w:val="16"/>
              </w:rPr>
            </w:pPr>
            <w:r w:rsidRPr="00104F4B">
              <w:rPr>
                <w:rFonts w:cs="Arial"/>
                <w:color w:val="000000"/>
                <w:sz w:val="16"/>
                <w:szCs w:val="16"/>
              </w:rPr>
              <w:t>Consulta sobre la viabilidad jurídica de la liberación del saldo no ejecutado del contrato IDU-1115-2016. Respuesta al memorando 20183660206803</w:t>
            </w:r>
          </w:p>
        </w:tc>
      </w:tr>
      <w:tr w:rsidR="0024547C" w:rsidRPr="00104F4B" w:rsidTr="0024547C">
        <w:tc>
          <w:tcPr>
            <w:tcW w:w="1980" w:type="dxa"/>
            <w:vAlign w:val="center"/>
          </w:tcPr>
          <w:p w:rsidR="0024547C" w:rsidRPr="00104F4B" w:rsidRDefault="0024547C" w:rsidP="0024547C">
            <w:pPr>
              <w:jc w:val="center"/>
              <w:rPr>
                <w:rFonts w:cs="Arial"/>
                <w:color w:val="222222"/>
                <w:sz w:val="16"/>
                <w:szCs w:val="16"/>
              </w:rPr>
            </w:pPr>
            <w:r w:rsidRPr="00104F4B">
              <w:rPr>
                <w:rFonts w:cs="Arial"/>
                <w:color w:val="000000"/>
                <w:sz w:val="16"/>
                <w:szCs w:val="16"/>
              </w:rPr>
              <w:t>20184050231433</w:t>
            </w:r>
          </w:p>
        </w:tc>
        <w:tc>
          <w:tcPr>
            <w:tcW w:w="1559" w:type="dxa"/>
            <w:vAlign w:val="center"/>
          </w:tcPr>
          <w:p w:rsidR="0024547C" w:rsidRPr="00104F4B" w:rsidRDefault="0024547C" w:rsidP="0024547C">
            <w:pPr>
              <w:jc w:val="center"/>
              <w:rPr>
                <w:rFonts w:cs="Arial"/>
                <w:color w:val="222222"/>
                <w:sz w:val="16"/>
                <w:szCs w:val="16"/>
              </w:rPr>
            </w:pPr>
            <w:r w:rsidRPr="00104F4B">
              <w:rPr>
                <w:rFonts w:cs="Arial"/>
                <w:color w:val="000000"/>
                <w:sz w:val="16"/>
                <w:szCs w:val="16"/>
              </w:rPr>
              <w:t>17/09/2018</w:t>
            </w:r>
          </w:p>
        </w:tc>
        <w:tc>
          <w:tcPr>
            <w:tcW w:w="5528" w:type="dxa"/>
            <w:vAlign w:val="center"/>
          </w:tcPr>
          <w:p w:rsidR="0024547C" w:rsidRPr="00104F4B" w:rsidRDefault="0024547C" w:rsidP="0024547C">
            <w:pPr>
              <w:rPr>
                <w:rFonts w:cs="Arial"/>
                <w:color w:val="222222"/>
                <w:sz w:val="16"/>
                <w:szCs w:val="16"/>
              </w:rPr>
            </w:pPr>
            <w:r w:rsidRPr="00104F4B">
              <w:rPr>
                <w:rFonts w:cs="Arial"/>
                <w:color w:val="000000"/>
                <w:sz w:val="16"/>
                <w:szCs w:val="16"/>
              </w:rPr>
              <w:t xml:space="preserve"> Memorando 20181150221783 tema – Manual de Gestión Predial</w:t>
            </w:r>
          </w:p>
        </w:tc>
      </w:tr>
      <w:tr w:rsidR="0024547C" w:rsidRPr="00104F4B" w:rsidTr="0024547C">
        <w:tc>
          <w:tcPr>
            <w:tcW w:w="1980" w:type="dxa"/>
            <w:vAlign w:val="center"/>
          </w:tcPr>
          <w:p w:rsidR="0024547C" w:rsidRPr="00104F4B" w:rsidRDefault="0024547C" w:rsidP="0024547C">
            <w:pPr>
              <w:jc w:val="center"/>
              <w:rPr>
                <w:rFonts w:cs="Arial"/>
                <w:color w:val="222222"/>
                <w:sz w:val="16"/>
                <w:szCs w:val="16"/>
              </w:rPr>
            </w:pPr>
            <w:r w:rsidRPr="00104F4B">
              <w:rPr>
                <w:rFonts w:cs="Arial"/>
                <w:color w:val="000000"/>
                <w:sz w:val="16"/>
                <w:szCs w:val="16"/>
              </w:rPr>
              <w:t>20184350214843</w:t>
            </w:r>
          </w:p>
        </w:tc>
        <w:tc>
          <w:tcPr>
            <w:tcW w:w="1559" w:type="dxa"/>
            <w:vAlign w:val="center"/>
          </w:tcPr>
          <w:p w:rsidR="0024547C" w:rsidRPr="00104F4B" w:rsidRDefault="0024547C" w:rsidP="0024547C">
            <w:pPr>
              <w:jc w:val="center"/>
              <w:rPr>
                <w:rFonts w:cs="Arial"/>
                <w:color w:val="222222"/>
                <w:sz w:val="16"/>
                <w:szCs w:val="16"/>
              </w:rPr>
            </w:pPr>
            <w:r w:rsidRPr="00104F4B">
              <w:rPr>
                <w:rFonts w:cs="Arial"/>
                <w:color w:val="000000"/>
                <w:sz w:val="16"/>
                <w:szCs w:val="16"/>
              </w:rPr>
              <w:t>04/09/2018</w:t>
            </w:r>
          </w:p>
        </w:tc>
        <w:tc>
          <w:tcPr>
            <w:tcW w:w="5528" w:type="dxa"/>
            <w:vAlign w:val="bottom"/>
          </w:tcPr>
          <w:p w:rsidR="0024547C" w:rsidRPr="00104F4B" w:rsidRDefault="0024547C" w:rsidP="0024547C">
            <w:pPr>
              <w:rPr>
                <w:rFonts w:cs="Arial"/>
                <w:color w:val="222222"/>
                <w:sz w:val="16"/>
                <w:szCs w:val="16"/>
              </w:rPr>
            </w:pPr>
            <w:r w:rsidRPr="00104F4B">
              <w:rPr>
                <w:rFonts w:cs="Arial"/>
                <w:color w:val="000000"/>
                <w:sz w:val="16"/>
                <w:szCs w:val="16"/>
              </w:rPr>
              <w:t>Viabilidad contractual de modificación de los convenios interadministrativos celebrados entre el IDU y el DADEP. Respuesta al memorando 20183750165903</w:t>
            </w:r>
          </w:p>
        </w:tc>
      </w:tr>
      <w:tr w:rsidR="0024547C" w:rsidRPr="00104F4B" w:rsidTr="0024547C">
        <w:tc>
          <w:tcPr>
            <w:tcW w:w="1980" w:type="dxa"/>
            <w:vAlign w:val="center"/>
          </w:tcPr>
          <w:p w:rsidR="0024547C" w:rsidRPr="00104F4B" w:rsidRDefault="0024547C" w:rsidP="0024547C">
            <w:pPr>
              <w:jc w:val="center"/>
              <w:rPr>
                <w:rFonts w:cs="Arial"/>
                <w:color w:val="222222"/>
                <w:sz w:val="16"/>
                <w:szCs w:val="16"/>
              </w:rPr>
            </w:pPr>
            <w:r w:rsidRPr="00104F4B">
              <w:rPr>
                <w:rFonts w:cs="Arial"/>
                <w:color w:val="000000"/>
                <w:sz w:val="16"/>
                <w:szCs w:val="16"/>
              </w:rPr>
              <w:t>20184050231463</w:t>
            </w:r>
          </w:p>
        </w:tc>
        <w:tc>
          <w:tcPr>
            <w:tcW w:w="1559" w:type="dxa"/>
            <w:vAlign w:val="center"/>
          </w:tcPr>
          <w:p w:rsidR="0024547C" w:rsidRPr="00104F4B" w:rsidRDefault="0024547C" w:rsidP="0024547C">
            <w:pPr>
              <w:jc w:val="center"/>
              <w:rPr>
                <w:rFonts w:cs="Arial"/>
                <w:color w:val="222222"/>
                <w:sz w:val="16"/>
                <w:szCs w:val="16"/>
              </w:rPr>
            </w:pPr>
            <w:r w:rsidRPr="00104F4B">
              <w:rPr>
                <w:rFonts w:cs="Arial"/>
                <w:color w:val="000000"/>
                <w:sz w:val="16"/>
                <w:szCs w:val="16"/>
              </w:rPr>
              <w:t>17/09/2018</w:t>
            </w:r>
          </w:p>
        </w:tc>
        <w:tc>
          <w:tcPr>
            <w:tcW w:w="5528" w:type="dxa"/>
            <w:vAlign w:val="bottom"/>
          </w:tcPr>
          <w:p w:rsidR="0024547C" w:rsidRPr="00104F4B" w:rsidRDefault="0024547C" w:rsidP="0024547C">
            <w:pPr>
              <w:rPr>
                <w:rFonts w:cs="Arial"/>
                <w:color w:val="222222"/>
                <w:sz w:val="16"/>
                <w:szCs w:val="16"/>
              </w:rPr>
            </w:pPr>
            <w:r w:rsidRPr="00104F4B">
              <w:rPr>
                <w:rFonts w:cs="Arial"/>
                <w:color w:val="000000"/>
                <w:sz w:val="16"/>
                <w:szCs w:val="16"/>
              </w:rPr>
              <w:t>Respuesta al memorando 20185760203773. - Solicitud de concepto - Depuración de registros y valores por Acuerdos 16 de 1990 y 31 de 1992 por Beneficio General, 23 de 1995, 25 de 1995 y 48 de 2001, 398 de 2009 y 523 de 2013 por Beneficio Local.</w:t>
            </w:r>
          </w:p>
        </w:tc>
      </w:tr>
      <w:tr w:rsidR="0024547C" w:rsidRPr="00104F4B" w:rsidTr="0024547C">
        <w:tc>
          <w:tcPr>
            <w:tcW w:w="1980" w:type="dxa"/>
            <w:vAlign w:val="center"/>
          </w:tcPr>
          <w:p w:rsidR="0024547C" w:rsidRPr="00104F4B" w:rsidRDefault="0024547C" w:rsidP="0024547C">
            <w:pPr>
              <w:jc w:val="center"/>
              <w:rPr>
                <w:rFonts w:cs="Arial"/>
                <w:color w:val="222222"/>
                <w:sz w:val="16"/>
                <w:szCs w:val="16"/>
              </w:rPr>
            </w:pPr>
            <w:r w:rsidRPr="00104F4B">
              <w:rPr>
                <w:rFonts w:cs="Arial"/>
                <w:color w:val="000000"/>
                <w:sz w:val="16"/>
                <w:szCs w:val="16"/>
              </w:rPr>
              <w:t>20184050263243</w:t>
            </w:r>
          </w:p>
        </w:tc>
        <w:tc>
          <w:tcPr>
            <w:tcW w:w="1559" w:type="dxa"/>
            <w:vAlign w:val="center"/>
          </w:tcPr>
          <w:p w:rsidR="0024547C" w:rsidRPr="00104F4B" w:rsidRDefault="0024547C" w:rsidP="0024547C">
            <w:pPr>
              <w:jc w:val="center"/>
              <w:rPr>
                <w:rFonts w:cs="Arial"/>
                <w:color w:val="222222"/>
                <w:sz w:val="16"/>
                <w:szCs w:val="16"/>
              </w:rPr>
            </w:pPr>
            <w:r w:rsidRPr="00104F4B">
              <w:rPr>
                <w:rFonts w:cs="Arial"/>
                <w:color w:val="000000"/>
                <w:sz w:val="16"/>
                <w:szCs w:val="16"/>
              </w:rPr>
              <w:t>17/10/2018</w:t>
            </w:r>
          </w:p>
        </w:tc>
        <w:tc>
          <w:tcPr>
            <w:tcW w:w="5528" w:type="dxa"/>
            <w:vAlign w:val="bottom"/>
          </w:tcPr>
          <w:p w:rsidR="0024547C" w:rsidRPr="00104F4B" w:rsidRDefault="0024547C" w:rsidP="006D18D6">
            <w:pPr>
              <w:pStyle w:val="Default"/>
              <w:rPr>
                <w:rFonts w:ascii="Arial" w:hAnsi="Arial" w:cs="Arial"/>
                <w:color w:val="222222"/>
                <w:sz w:val="16"/>
                <w:szCs w:val="16"/>
              </w:rPr>
            </w:pPr>
            <w:r w:rsidRPr="00104F4B">
              <w:rPr>
                <w:rFonts w:ascii="Arial" w:hAnsi="Arial" w:cs="Arial"/>
                <w:sz w:val="16"/>
                <w:szCs w:val="16"/>
              </w:rPr>
              <w:t xml:space="preserve">Solicitud de concepto -  asignación de funciones de planeación y estructuración de los procesos de contratación </w:t>
            </w:r>
          </w:p>
        </w:tc>
      </w:tr>
      <w:tr w:rsidR="0024547C" w:rsidRPr="00104F4B" w:rsidTr="0024547C">
        <w:tc>
          <w:tcPr>
            <w:tcW w:w="1980" w:type="dxa"/>
            <w:vAlign w:val="center"/>
          </w:tcPr>
          <w:p w:rsidR="0024547C" w:rsidRPr="00104F4B" w:rsidRDefault="0024547C" w:rsidP="0024547C">
            <w:pPr>
              <w:jc w:val="center"/>
              <w:rPr>
                <w:rFonts w:cs="Arial"/>
                <w:color w:val="222222"/>
                <w:sz w:val="16"/>
                <w:szCs w:val="16"/>
              </w:rPr>
            </w:pPr>
            <w:r w:rsidRPr="00104F4B">
              <w:rPr>
                <w:rFonts w:cs="Arial"/>
                <w:color w:val="000000"/>
                <w:sz w:val="16"/>
                <w:szCs w:val="16"/>
              </w:rPr>
              <w:t>20184050266703</w:t>
            </w:r>
          </w:p>
        </w:tc>
        <w:tc>
          <w:tcPr>
            <w:tcW w:w="1559" w:type="dxa"/>
            <w:vAlign w:val="center"/>
          </w:tcPr>
          <w:p w:rsidR="0024547C" w:rsidRPr="00104F4B" w:rsidRDefault="0024547C" w:rsidP="0024547C">
            <w:pPr>
              <w:jc w:val="center"/>
              <w:rPr>
                <w:rFonts w:cs="Arial"/>
                <w:color w:val="222222"/>
                <w:sz w:val="16"/>
                <w:szCs w:val="16"/>
              </w:rPr>
            </w:pPr>
            <w:r w:rsidRPr="00104F4B">
              <w:rPr>
                <w:rFonts w:cs="Arial"/>
                <w:color w:val="000000"/>
                <w:sz w:val="16"/>
                <w:szCs w:val="16"/>
              </w:rPr>
              <w:t>22/10/2018</w:t>
            </w:r>
          </w:p>
        </w:tc>
        <w:tc>
          <w:tcPr>
            <w:tcW w:w="5528" w:type="dxa"/>
            <w:vAlign w:val="bottom"/>
          </w:tcPr>
          <w:p w:rsidR="0024547C" w:rsidRPr="00104F4B" w:rsidRDefault="0024547C" w:rsidP="0024547C">
            <w:pPr>
              <w:rPr>
                <w:rFonts w:cs="Arial"/>
                <w:color w:val="222222"/>
                <w:sz w:val="16"/>
                <w:szCs w:val="16"/>
              </w:rPr>
            </w:pPr>
            <w:r w:rsidRPr="00104F4B">
              <w:rPr>
                <w:rFonts w:cs="Arial"/>
                <w:color w:val="000000"/>
                <w:sz w:val="16"/>
                <w:szCs w:val="16"/>
              </w:rPr>
              <w:t>Respuesta al memorando 20185460224203 - Respuesta solicitud de concepto jurídico - Depuración saldo por cobrar - Contrato IDU-111-2009</w:t>
            </w:r>
          </w:p>
        </w:tc>
      </w:tr>
      <w:tr w:rsidR="0024547C" w:rsidRPr="00104F4B" w:rsidTr="0024547C">
        <w:tc>
          <w:tcPr>
            <w:tcW w:w="1980" w:type="dxa"/>
            <w:vAlign w:val="center"/>
          </w:tcPr>
          <w:p w:rsidR="0024547C" w:rsidRPr="00104F4B" w:rsidRDefault="0024547C" w:rsidP="0024547C">
            <w:pPr>
              <w:jc w:val="center"/>
              <w:rPr>
                <w:rFonts w:cs="Arial"/>
                <w:color w:val="222222"/>
                <w:sz w:val="16"/>
                <w:szCs w:val="16"/>
              </w:rPr>
            </w:pPr>
            <w:r w:rsidRPr="00104F4B">
              <w:rPr>
                <w:rFonts w:cs="Arial"/>
                <w:color w:val="000000"/>
                <w:sz w:val="16"/>
                <w:szCs w:val="16"/>
              </w:rPr>
              <w:t>20184050268113</w:t>
            </w:r>
          </w:p>
        </w:tc>
        <w:tc>
          <w:tcPr>
            <w:tcW w:w="1559" w:type="dxa"/>
            <w:vAlign w:val="center"/>
          </w:tcPr>
          <w:p w:rsidR="0024547C" w:rsidRPr="00104F4B" w:rsidRDefault="0024547C" w:rsidP="0024547C">
            <w:pPr>
              <w:jc w:val="center"/>
              <w:rPr>
                <w:rFonts w:cs="Arial"/>
                <w:color w:val="222222"/>
                <w:sz w:val="16"/>
                <w:szCs w:val="16"/>
              </w:rPr>
            </w:pPr>
            <w:r w:rsidRPr="00104F4B">
              <w:rPr>
                <w:rFonts w:cs="Arial"/>
                <w:color w:val="000000"/>
                <w:sz w:val="16"/>
                <w:szCs w:val="16"/>
              </w:rPr>
              <w:t>23/10/2018</w:t>
            </w:r>
          </w:p>
        </w:tc>
        <w:tc>
          <w:tcPr>
            <w:tcW w:w="5528" w:type="dxa"/>
            <w:vAlign w:val="bottom"/>
          </w:tcPr>
          <w:p w:rsidR="0024547C" w:rsidRPr="00104F4B" w:rsidRDefault="0024547C" w:rsidP="0024547C">
            <w:pPr>
              <w:rPr>
                <w:rFonts w:cs="Arial"/>
                <w:color w:val="222222"/>
                <w:sz w:val="16"/>
                <w:szCs w:val="16"/>
              </w:rPr>
            </w:pPr>
            <w:r w:rsidRPr="00104F4B">
              <w:rPr>
                <w:rFonts w:cs="Arial"/>
                <w:color w:val="000000"/>
                <w:sz w:val="16"/>
                <w:szCs w:val="16"/>
              </w:rPr>
              <w:t>Respuesta al memorando 20185460224233. Respuesta solicitud</w:t>
            </w:r>
            <w:r w:rsidRPr="00104F4B">
              <w:rPr>
                <w:rFonts w:cs="Arial"/>
                <w:color w:val="000000"/>
                <w:sz w:val="16"/>
                <w:szCs w:val="16"/>
              </w:rPr>
              <w:br/>
              <w:t>de concepto jurídico - Depuración saldo por cobrar - Contrato IDU-</w:t>
            </w:r>
            <w:r w:rsidRPr="00104F4B">
              <w:rPr>
                <w:rFonts w:cs="Arial"/>
                <w:color w:val="000000"/>
                <w:sz w:val="16"/>
                <w:szCs w:val="16"/>
              </w:rPr>
              <w:br/>
              <w:t>18-2009</w:t>
            </w:r>
          </w:p>
        </w:tc>
      </w:tr>
      <w:tr w:rsidR="0024547C" w:rsidRPr="00104F4B" w:rsidTr="0024547C">
        <w:tc>
          <w:tcPr>
            <w:tcW w:w="1980" w:type="dxa"/>
            <w:vAlign w:val="center"/>
          </w:tcPr>
          <w:p w:rsidR="0024547C" w:rsidRPr="00104F4B" w:rsidRDefault="0024547C" w:rsidP="0024547C">
            <w:pPr>
              <w:jc w:val="center"/>
              <w:rPr>
                <w:rFonts w:cs="Arial"/>
                <w:color w:val="222222"/>
                <w:sz w:val="16"/>
                <w:szCs w:val="16"/>
              </w:rPr>
            </w:pPr>
            <w:r w:rsidRPr="00104F4B">
              <w:rPr>
                <w:rFonts w:cs="Arial"/>
                <w:color w:val="000000"/>
                <w:sz w:val="16"/>
                <w:szCs w:val="16"/>
              </w:rPr>
              <w:t>20184050289603</w:t>
            </w:r>
          </w:p>
        </w:tc>
        <w:tc>
          <w:tcPr>
            <w:tcW w:w="1559" w:type="dxa"/>
            <w:vAlign w:val="center"/>
          </w:tcPr>
          <w:p w:rsidR="0024547C" w:rsidRPr="00104F4B" w:rsidRDefault="0024547C" w:rsidP="0024547C">
            <w:pPr>
              <w:jc w:val="center"/>
              <w:rPr>
                <w:rFonts w:cs="Arial"/>
                <w:color w:val="222222"/>
                <w:sz w:val="16"/>
                <w:szCs w:val="16"/>
              </w:rPr>
            </w:pPr>
            <w:r w:rsidRPr="00104F4B">
              <w:rPr>
                <w:rFonts w:cs="Arial"/>
                <w:color w:val="000000"/>
                <w:sz w:val="16"/>
                <w:szCs w:val="16"/>
              </w:rPr>
              <w:t>15/11/2018</w:t>
            </w:r>
          </w:p>
        </w:tc>
        <w:tc>
          <w:tcPr>
            <w:tcW w:w="5528" w:type="dxa"/>
            <w:vAlign w:val="bottom"/>
          </w:tcPr>
          <w:p w:rsidR="0024547C" w:rsidRPr="00104F4B" w:rsidRDefault="0024547C" w:rsidP="0024547C">
            <w:pPr>
              <w:rPr>
                <w:rFonts w:cs="Arial"/>
                <w:color w:val="222222"/>
                <w:sz w:val="16"/>
                <w:szCs w:val="16"/>
              </w:rPr>
            </w:pPr>
            <w:r w:rsidRPr="00104F4B">
              <w:rPr>
                <w:rFonts w:cs="Arial"/>
                <w:color w:val="000000"/>
                <w:sz w:val="16"/>
                <w:szCs w:val="16"/>
              </w:rPr>
              <w:t>Respuesta al memorando 20183360243093 – Proyecto de Ciudad en el marco de Convenios de Cooperación</w:t>
            </w:r>
          </w:p>
        </w:tc>
      </w:tr>
      <w:tr w:rsidR="0024547C" w:rsidRPr="00104F4B" w:rsidTr="0024547C">
        <w:tc>
          <w:tcPr>
            <w:tcW w:w="1980" w:type="dxa"/>
            <w:vAlign w:val="center"/>
          </w:tcPr>
          <w:p w:rsidR="0024547C" w:rsidRPr="00104F4B" w:rsidRDefault="0024547C" w:rsidP="0024547C">
            <w:pPr>
              <w:jc w:val="center"/>
              <w:rPr>
                <w:rFonts w:cs="Arial"/>
                <w:color w:val="222222"/>
                <w:sz w:val="16"/>
                <w:szCs w:val="16"/>
              </w:rPr>
            </w:pPr>
            <w:r w:rsidRPr="00104F4B">
              <w:rPr>
                <w:rFonts w:cs="Arial"/>
                <w:color w:val="000000"/>
                <w:sz w:val="16"/>
                <w:szCs w:val="16"/>
              </w:rPr>
              <w:t>20184050291103</w:t>
            </w:r>
          </w:p>
        </w:tc>
        <w:tc>
          <w:tcPr>
            <w:tcW w:w="1559" w:type="dxa"/>
            <w:vAlign w:val="center"/>
          </w:tcPr>
          <w:p w:rsidR="0024547C" w:rsidRPr="00104F4B" w:rsidRDefault="0024547C" w:rsidP="0024547C">
            <w:pPr>
              <w:jc w:val="center"/>
              <w:rPr>
                <w:rFonts w:cs="Arial"/>
                <w:color w:val="222222"/>
                <w:sz w:val="16"/>
                <w:szCs w:val="16"/>
              </w:rPr>
            </w:pPr>
            <w:r w:rsidRPr="00104F4B">
              <w:rPr>
                <w:rFonts w:cs="Arial"/>
                <w:color w:val="000000"/>
                <w:sz w:val="16"/>
                <w:szCs w:val="16"/>
              </w:rPr>
              <w:t>19/11/2018</w:t>
            </w:r>
          </w:p>
        </w:tc>
        <w:tc>
          <w:tcPr>
            <w:tcW w:w="5528" w:type="dxa"/>
            <w:vAlign w:val="bottom"/>
          </w:tcPr>
          <w:p w:rsidR="0024547C" w:rsidRPr="00104F4B" w:rsidRDefault="0024547C" w:rsidP="0024547C">
            <w:pPr>
              <w:pStyle w:val="Default"/>
              <w:rPr>
                <w:rFonts w:ascii="Arial" w:hAnsi="Arial" w:cs="Arial"/>
                <w:color w:val="222222"/>
                <w:sz w:val="16"/>
                <w:szCs w:val="16"/>
              </w:rPr>
            </w:pPr>
            <w:r w:rsidRPr="00104F4B">
              <w:rPr>
                <w:rFonts w:ascii="Arial" w:hAnsi="Arial" w:cs="Arial"/>
                <w:sz w:val="16"/>
                <w:szCs w:val="16"/>
              </w:rPr>
              <w:t xml:space="preserve">Respuesta Memorando 20182250226433. Solicitud de Concepto- Regalías </w:t>
            </w:r>
          </w:p>
        </w:tc>
      </w:tr>
      <w:tr w:rsidR="0024547C" w:rsidRPr="00104F4B" w:rsidTr="0024547C">
        <w:tc>
          <w:tcPr>
            <w:tcW w:w="1980" w:type="dxa"/>
            <w:vAlign w:val="center"/>
          </w:tcPr>
          <w:p w:rsidR="0024547C" w:rsidRPr="00104F4B" w:rsidRDefault="0024547C" w:rsidP="0024547C">
            <w:pPr>
              <w:jc w:val="center"/>
              <w:rPr>
                <w:rFonts w:cs="Arial"/>
                <w:color w:val="222222"/>
                <w:sz w:val="16"/>
                <w:szCs w:val="16"/>
              </w:rPr>
            </w:pPr>
            <w:r w:rsidRPr="00104F4B">
              <w:rPr>
                <w:rFonts w:cs="Arial"/>
                <w:color w:val="000000"/>
                <w:sz w:val="16"/>
                <w:szCs w:val="16"/>
              </w:rPr>
              <w:t>20184350269033</w:t>
            </w:r>
          </w:p>
        </w:tc>
        <w:tc>
          <w:tcPr>
            <w:tcW w:w="1559" w:type="dxa"/>
            <w:vAlign w:val="center"/>
          </w:tcPr>
          <w:p w:rsidR="0024547C" w:rsidRPr="00104F4B" w:rsidRDefault="0024547C" w:rsidP="0024547C">
            <w:pPr>
              <w:jc w:val="center"/>
              <w:rPr>
                <w:rFonts w:cs="Arial"/>
                <w:color w:val="222222"/>
                <w:sz w:val="16"/>
                <w:szCs w:val="16"/>
              </w:rPr>
            </w:pPr>
            <w:r w:rsidRPr="00104F4B">
              <w:rPr>
                <w:rFonts w:cs="Arial"/>
                <w:color w:val="000000"/>
                <w:sz w:val="16"/>
                <w:szCs w:val="16"/>
              </w:rPr>
              <w:t>24/10/2018</w:t>
            </w:r>
          </w:p>
        </w:tc>
        <w:tc>
          <w:tcPr>
            <w:tcW w:w="5528" w:type="dxa"/>
            <w:vAlign w:val="center"/>
          </w:tcPr>
          <w:p w:rsidR="0024547C" w:rsidRPr="00104F4B" w:rsidRDefault="0024547C" w:rsidP="0024547C">
            <w:pPr>
              <w:rPr>
                <w:rFonts w:cs="Arial"/>
                <w:color w:val="222222"/>
                <w:sz w:val="16"/>
                <w:szCs w:val="16"/>
              </w:rPr>
            </w:pPr>
            <w:r w:rsidRPr="00104F4B">
              <w:rPr>
                <w:rFonts w:cs="Arial"/>
                <w:color w:val="000000"/>
                <w:sz w:val="16"/>
                <w:szCs w:val="16"/>
              </w:rPr>
              <w:t>Solicitud de Concepto Jurídico Troncal Avenida Ciudad de Cali, relacionado con el Contrato IDU-1662-2014, Tramo Av. San Bernardino - Av. Bosa. Respuesta al memorando 20182250204573</w:t>
            </w:r>
          </w:p>
        </w:tc>
      </w:tr>
      <w:tr w:rsidR="0024547C" w:rsidRPr="00104F4B" w:rsidTr="0024547C">
        <w:tc>
          <w:tcPr>
            <w:tcW w:w="1980" w:type="dxa"/>
            <w:vAlign w:val="center"/>
          </w:tcPr>
          <w:p w:rsidR="0024547C" w:rsidRPr="00104F4B" w:rsidRDefault="0024547C" w:rsidP="0024547C">
            <w:pPr>
              <w:jc w:val="center"/>
              <w:rPr>
                <w:rFonts w:cs="Arial"/>
                <w:color w:val="222222"/>
                <w:sz w:val="16"/>
                <w:szCs w:val="16"/>
              </w:rPr>
            </w:pPr>
            <w:r w:rsidRPr="00104F4B">
              <w:rPr>
                <w:rFonts w:cs="Arial"/>
                <w:color w:val="000000"/>
                <w:sz w:val="16"/>
                <w:szCs w:val="16"/>
              </w:rPr>
              <w:t>20184350300693</w:t>
            </w:r>
          </w:p>
        </w:tc>
        <w:tc>
          <w:tcPr>
            <w:tcW w:w="1559" w:type="dxa"/>
            <w:vAlign w:val="center"/>
          </w:tcPr>
          <w:p w:rsidR="0024547C" w:rsidRPr="00104F4B" w:rsidRDefault="0024547C" w:rsidP="0024547C">
            <w:pPr>
              <w:jc w:val="center"/>
              <w:rPr>
                <w:rFonts w:cs="Arial"/>
                <w:color w:val="222222"/>
                <w:sz w:val="16"/>
                <w:szCs w:val="16"/>
              </w:rPr>
            </w:pPr>
            <w:r w:rsidRPr="00104F4B">
              <w:rPr>
                <w:rFonts w:cs="Arial"/>
                <w:color w:val="000000"/>
                <w:sz w:val="16"/>
                <w:szCs w:val="16"/>
              </w:rPr>
              <w:t>11/11/2018</w:t>
            </w:r>
          </w:p>
        </w:tc>
        <w:tc>
          <w:tcPr>
            <w:tcW w:w="5528" w:type="dxa"/>
            <w:vAlign w:val="bottom"/>
          </w:tcPr>
          <w:p w:rsidR="0024547C" w:rsidRPr="00104F4B" w:rsidRDefault="0024547C" w:rsidP="0024547C">
            <w:pPr>
              <w:rPr>
                <w:rFonts w:cs="Arial"/>
                <w:color w:val="222222"/>
                <w:sz w:val="16"/>
                <w:szCs w:val="16"/>
              </w:rPr>
            </w:pPr>
            <w:r w:rsidRPr="00104F4B">
              <w:rPr>
                <w:rFonts w:cs="Arial"/>
                <w:color w:val="000000"/>
                <w:sz w:val="16"/>
                <w:szCs w:val="16"/>
              </w:rPr>
              <w:t>Consulta sobre porcentaje de administración en valores a pagar por precios unitarios en la etapa de consultoría del contrato IDU-1379-2017. Respuesta al memorando 20182250211363</w:t>
            </w:r>
          </w:p>
        </w:tc>
      </w:tr>
    </w:tbl>
    <w:p w:rsidR="0024547C" w:rsidRPr="00104F4B" w:rsidRDefault="0024547C" w:rsidP="0024547C">
      <w:pPr>
        <w:rPr>
          <w:rFonts w:cs="Arial"/>
          <w:sz w:val="24"/>
        </w:rPr>
      </w:pPr>
      <w:r w:rsidRPr="00104F4B">
        <w:rPr>
          <w:rFonts w:cs="Arial"/>
          <w:sz w:val="16"/>
          <w:szCs w:val="16"/>
        </w:rPr>
        <w:t>SGJ – Conceptos Jurídicos 2018 Creación bases de datos: La Subdirección</w:t>
      </w:r>
      <w:r w:rsidRPr="00104F4B">
        <w:rPr>
          <w:rFonts w:cs="Arial"/>
          <w:sz w:val="24"/>
        </w:rPr>
        <w:t xml:space="preserve"> </w:t>
      </w:r>
    </w:p>
    <w:p w:rsidR="0024547C" w:rsidRPr="00104F4B" w:rsidRDefault="0024547C" w:rsidP="0024547C">
      <w:pPr>
        <w:rPr>
          <w:rFonts w:cs="Arial"/>
          <w:szCs w:val="22"/>
        </w:rPr>
      </w:pPr>
      <w:r w:rsidRPr="00104F4B">
        <w:rPr>
          <w:rFonts w:cs="Arial"/>
          <w:szCs w:val="22"/>
        </w:rPr>
        <w:t>La Subdirección General Jurídica construyó una base de datos con la relación de actos administrativos sobre impedimentos conforme con el artículo 11 de la ley 1437 de 2011.</w:t>
      </w:r>
    </w:p>
    <w:p w:rsidR="0024547C" w:rsidRPr="00104F4B" w:rsidRDefault="0024547C" w:rsidP="0024547C">
      <w:pPr>
        <w:rPr>
          <w:rFonts w:cs="Arial"/>
          <w:szCs w:val="22"/>
        </w:rPr>
      </w:pPr>
      <w:r w:rsidRPr="00104F4B">
        <w:rPr>
          <w:rFonts w:cs="Arial"/>
          <w:szCs w:val="22"/>
        </w:rPr>
        <w:t xml:space="preserve">Así mismo se creó la base de datos con los conceptos sobre diferentes temas tratados en las mesas de trabajo con los asesores jurídicos externos, con el fin de unificar criterios jurídicos </w:t>
      </w:r>
    </w:p>
    <w:p w:rsidR="0024547C" w:rsidRPr="00104F4B" w:rsidRDefault="0024547C" w:rsidP="0024547C">
      <w:pPr>
        <w:rPr>
          <w:rFonts w:cs="Arial"/>
          <w:szCs w:val="22"/>
        </w:rPr>
      </w:pPr>
      <w:r w:rsidRPr="00104F4B">
        <w:rPr>
          <w:rFonts w:cs="Arial"/>
          <w:b/>
          <w:szCs w:val="22"/>
        </w:rPr>
        <w:t xml:space="preserve">Respuesta a Requerimientos Organismos de Control: </w:t>
      </w:r>
      <w:r w:rsidRPr="00104F4B">
        <w:rPr>
          <w:rFonts w:cs="Arial"/>
          <w:szCs w:val="22"/>
        </w:rPr>
        <w:t xml:space="preserve">La Subdirección General Jurídica en su función de liderar, orientar y supervisar </w:t>
      </w:r>
      <w:r w:rsidRPr="00104F4B">
        <w:rPr>
          <w:rFonts w:cs="Arial"/>
          <w:color w:val="333333"/>
          <w:szCs w:val="22"/>
          <w:shd w:val="clear" w:color="auto" w:fill="FFFFFF"/>
        </w:rPr>
        <w:t xml:space="preserve">la estructuración de las respuestas a los requerimientos de los órganos de control y vigilancia y de las autoridades administrativas y judiciales, </w:t>
      </w:r>
      <w:r w:rsidRPr="00104F4B">
        <w:rPr>
          <w:rFonts w:cs="Arial"/>
          <w:szCs w:val="22"/>
        </w:rPr>
        <w:t xml:space="preserve">gestionó la </w:t>
      </w:r>
      <w:r w:rsidRPr="00104F4B">
        <w:rPr>
          <w:rFonts w:cs="Arial"/>
          <w:szCs w:val="22"/>
        </w:rPr>
        <w:lastRenderedPageBreak/>
        <w:t>revisión de 1505 documentos para órganos de control como la Procuraduría, la Contraloría, la Personería, la Veeduría, defensoría entre otros, así:</w:t>
      </w:r>
    </w:p>
    <w:p w:rsidR="0024547C" w:rsidRPr="00104F4B" w:rsidRDefault="0024547C" w:rsidP="0024547C">
      <w:pPr>
        <w:rPr>
          <w:rFonts w:cs="Arial"/>
          <w:szCs w:val="22"/>
        </w:rPr>
      </w:pPr>
    </w:p>
    <w:tbl>
      <w:tblPr>
        <w:tblW w:w="9346" w:type="dxa"/>
        <w:tblCellMar>
          <w:left w:w="70" w:type="dxa"/>
          <w:right w:w="70" w:type="dxa"/>
        </w:tblCellMar>
        <w:tblLook w:val="04A0" w:firstRow="1" w:lastRow="0" w:firstColumn="1" w:lastColumn="0" w:noHBand="0" w:noVBand="1"/>
      </w:tblPr>
      <w:tblGrid>
        <w:gridCol w:w="825"/>
        <w:gridCol w:w="567"/>
        <w:gridCol w:w="701"/>
        <w:gridCol w:w="585"/>
        <w:gridCol w:w="461"/>
        <w:gridCol w:w="532"/>
        <w:gridCol w:w="523"/>
        <w:gridCol w:w="470"/>
        <w:gridCol w:w="639"/>
        <w:gridCol w:w="783"/>
        <w:gridCol w:w="710"/>
        <w:gridCol w:w="914"/>
        <w:gridCol w:w="861"/>
        <w:gridCol w:w="775"/>
      </w:tblGrid>
      <w:tr w:rsidR="0024547C" w:rsidRPr="00104F4B" w:rsidTr="005C3D90">
        <w:trPr>
          <w:trHeight w:val="252"/>
        </w:trPr>
        <w:tc>
          <w:tcPr>
            <w:tcW w:w="825" w:type="dxa"/>
            <w:tcBorders>
              <w:top w:val="single" w:sz="8" w:space="0" w:color="auto"/>
              <w:left w:val="single" w:sz="8" w:space="0" w:color="auto"/>
              <w:bottom w:val="single" w:sz="4" w:space="0" w:color="auto"/>
              <w:right w:val="single" w:sz="4" w:space="0" w:color="auto"/>
            </w:tcBorders>
            <w:shd w:val="clear" w:color="auto" w:fill="FFFFFF" w:themeFill="background1"/>
            <w:vAlign w:val="center"/>
            <w:hideMark/>
          </w:tcPr>
          <w:p w:rsidR="0024547C" w:rsidRPr="00104F4B" w:rsidRDefault="0024547C" w:rsidP="0024547C">
            <w:pPr>
              <w:jc w:val="center"/>
              <w:rPr>
                <w:rFonts w:cs="Arial"/>
                <w:b/>
                <w:bCs/>
                <w:color w:val="000000"/>
                <w:sz w:val="16"/>
                <w:szCs w:val="16"/>
                <w:lang w:eastAsia="es-CO"/>
              </w:rPr>
            </w:pPr>
            <w:r w:rsidRPr="00104F4B">
              <w:rPr>
                <w:rFonts w:cs="Arial"/>
                <w:b/>
                <w:bCs/>
                <w:color w:val="000000"/>
                <w:sz w:val="16"/>
                <w:szCs w:val="16"/>
                <w:lang w:eastAsia="es-CO"/>
              </w:rPr>
              <w:t>Mes</w:t>
            </w:r>
          </w:p>
        </w:tc>
        <w:tc>
          <w:tcPr>
            <w:tcW w:w="567" w:type="dxa"/>
            <w:tcBorders>
              <w:top w:val="single" w:sz="8" w:space="0" w:color="auto"/>
              <w:left w:val="nil"/>
              <w:bottom w:val="single" w:sz="4" w:space="0" w:color="auto"/>
              <w:right w:val="single" w:sz="4" w:space="0" w:color="auto"/>
            </w:tcBorders>
            <w:shd w:val="clear" w:color="auto" w:fill="auto"/>
            <w:noWrap/>
            <w:vAlign w:val="center"/>
            <w:hideMark/>
          </w:tcPr>
          <w:p w:rsidR="0024547C" w:rsidRPr="00104F4B" w:rsidRDefault="0024547C" w:rsidP="0024547C">
            <w:pPr>
              <w:rPr>
                <w:rFonts w:cs="Arial"/>
                <w:color w:val="000000"/>
                <w:sz w:val="16"/>
                <w:szCs w:val="16"/>
                <w:lang w:eastAsia="es-CO"/>
              </w:rPr>
            </w:pPr>
            <w:r w:rsidRPr="00104F4B">
              <w:rPr>
                <w:rFonts w:cs="Arial"/>
                <w:color w:val="000000"/>
                <w:sz w:val="16"/>
                <w:szCs w:val="16"/>
                <w:lang w:eastAsia="es-CO"/>
              </w:rPr>
              <w:t>Enero</w:t>
            </w:r>
          </w:p>
        </w:tc>
        <w:tc>
          <w:tcPr>
            <w:tcW w:w="701" w:type="dxa"/>
            <w:tcBorders>
              <w:top w:val="single" w:sz="8" w:space="0" w:color="auto"/>
              <w:left w:val="nil"/>
              <w:bottom w:val="single" w:sz="4" w:space="0" w:color="auto"/>
              <w:right w:val="single" w:sz="4" w:space="0" w:color="auto"/>
            </w:tcBorders>
            <w:shd w:val="clear" w:color="auto" w:fill="auto"/>
            <w:noWrap/>
            <w:vAlign w:val="center"/>
            <w:hideMark/>
          </w:tcPr>
          <w:p w:rsidR="0024547C" w:rsidRPr="00104F4B" w:rsidRDefault="0024547C" w:rsidP="0024547C">
            <w:pPr>
              <w:rPr>
                <w:rFonts w:cs="Arial"/>
                <w:color w:val="000000"/>
                <w:sz w:val="16"/>
                <w:szCs w:val="16"/>
                <w:lang w:eastAsia="es-CO"/>
              </w:rPr>
            </w:pPr>
            <w:r w:rsidRPr="00104F4B">
              <w:rPr>
                <w:rFonts w:cs="Arial"/>
                <w:color w:val="000000"/>
                <w:sz w:val="16"/>
                <w:szCs w:val="16"/>
                <w:lang w:eastAsia="es-CO"/>
              </w:rPr>
              <w:t>Febrero</w:t>
            </w:r>
          </w:p>
        </w:tc>
        <w:tc>
          <w:tcPr>
            <w:tcW w:w="585" w:type="dxa"/>
            <w:tcBorders>
              <w:top w:val="single" w:sz="8" w:space="0" w:color="auto"/>
              <w:left w:val="nil"/>
              <w:bottom w:val="single" w:sz="4" w:space="0" w:color="auto"/>
              <w:right w:val="single" w:sz="4" w:space="0" w:color="auto"/>
            </w:tcBorders>
            <w:shd w:val="clear" w:color="auto" w:fill="auto"/>
            <w:noWrap/>
            <w:vAlign w:val="center"/>
            <w:hideMark/>
          </w:tcPr>
          <w:p w:rsidR="0024547C" w:rsidRPr="00104F4B" w:rsidRDefault="0024547C" w:rsidP="0024547C">
            <w:pPr>
              <w:rPr>
                <w:rFonts w:cs="Arial"/>
                <w:color w:val="000000"/>
                <w:sz w:val="16"/>
                <w:szCs w:val="16"/>
                <w:lang w:eastAsia="es-CO"/>
              </w:rPr>
            </w:pPr>
            <w:r w:rsidRPr="00104F4B">
              <w:rPr>
                <w:rFonts w:cs="Arial"/>
                <w:color w:val="000000"/>
                <w:sz w:val="16"/>
                <w:szCs w:val="16"/>
                <w:lang w:eastAsia="es-CO"/>
              </w:rPr>
              <w:t>Marzo</w:t>
            </w:r>
          </w:p>
        </w:tc>
        <w:tc>
          <w:tcPr>
            <w:tcW w:w="461" w:type="dxa"/>
            <w:tcBorders>
              <w:top w:val="single" w:sz="8" w:space="0" w:color="auto"/>
              <w:left w:val="nil"/>
              <w:bottom w:val="single" w:sz="4" w:space="0" w:color="auto"/>
              <w:right w:val="single" w:sz="4" w:space="0" w:color="auto"/>
            </w:tcBorders>
            <w:shd w:val="clear" w:color="auto" w:fill="auto"/>
            <w:noWrap/>
            <w:vAlign w:val="center"/>
            <w:hideMark/>
          </w:tcPr>
          <w:p w:rsidR="0024547C" w:rsidRPr="00104F4B" w:rsidRDefault="0024547C" w:rsidP="0024547C">
            <w:pPr>
              <w:rPr>
                <w:rFonts w:cs="Arial"/>
                <w:color w:val="000000"/>
                <w:sz w:val="16"/>
                <w:szCs w:val="16"/>
                <w:lang w:eastAsia="es-CO"/>
              </w:rPr>
            </w:pPr>
            <w:r w:rsidRPr="00104F4B">
              <w:rPr>
                <w:rFonts w:cs="Arial"/>
                <w:color w:val="000000"/>
                <w:sz w:val="16"/>
                <w:szCs w:val="16"/>
                <w:lang w:eastAsia="es-CO"/>
              </w:rPr>
              <w:t>Abril</w:t>
            </w:r>
          </w:p>
        </w:tc>
        <w:tc>
          <w:tcPr>
            <w:tcW w:w="532" w:type="dxa"/>
            <w:tcBorders>
              <w:top w:val="single" w:sz="8" w:space="0" w:color="auto"/>
              <w:left w:val="nil"/>
              <w:bottom w:val="single" w:sz="4" w:space="0" w:color="auto"/>
              <w:right w:val="single" w:sz="4" w:space="0" w:color="auto"/>
            </w:tcBorders>
            <w:shd w:val="clear" w:color="auto" w:fill="auto"/>
            <w:noWrap/>
            <w:vAlign w:val="center"/>
            <w:hideMark/>
          </w:tcPr>
          <w:p w:rsidR="0024547C" w:rsidRPr="00104F4B" w:rsidRDefault="0024547C" w:rsidP="0024547C">
            <w:pPr>
              <w:rPr>
                <w:rFonts w:cs="Arial"/>
                <w:color w:val="000000"/>
                <w:sz w:val="16"/>
                <w:szCs w:val="16"/>
                <w:lang w:eastAsia="es-CO"/>
              </w:rPr>
            </w:pPr>
            <w:r w:rsidRPr="00104F4B">
              <w:rPr>
                <w:rFonts w:cs="Arial"/>
                <w:color w:val="000000"/>
                <w:sz w:val="16"/>
                <w:szCs w:val="16"/>
                <w:lang w:eastAsia="es-CO"/>
              </w:rPr>
              <w:t>Mayo</w:t>
            </w:r>
          </w:p>
        </w:tc>
        <w:tc>
          <w:tcPr>
            <w:tcW w:w="523" w:type="dxa"/>
            <w:tcBorders>
              <w:top w:val="single" w:sz="8" w:space="0" w:color="auto"/>
              <w:left w:val="nil"/>
              <w:bottom w:val="single" w:sz="4" w:space="0" w:color="auto"/>
              <w:right w:val="single" w:sz="4" w:space="0" w:color="auto"/>
            </w:tcBorders>
            <w:shd w:val="clear" w:color="auto" w:fill="auto"/>
            <w:noWrap/>
            <w:vAlign w:val="center"/>
            <w:hideMark/>
          </w:tcPr>
          <w:p w:rsidR="0024547C" w:rsidRPr="00104F4B" w:rsidRDefault="0024547C" w:rsidP="0024547C">
            <w:pPr>
              <w:rPr>
                <w:rFonts w:cs="Arial"/>
                <w:color w:val="000000"/>
                <w:sz w:val="16"/>
                <w:szCs w:val="16"/>
                <w:lang w:eastAsia="es-CO"/>
              </w:rPr>
            </w:pPr>
            <w:r w:rsidRPr="00104F4B">
              <w:rPr>
                <w:rFonts w:cs="Arial"/>
                <w:color w:val="000000"/>
                <w:sz w:val="16"/>
                <w:szCs w:val="16"/>
                <w:lang w:eastAsia="es-CO"/>
              </w:rPr>
              <w:t>Junio</w:t>
            </w:r>
          </w:p>
        </w:tc>
        <w:tc>
          <w:tcPr>
            <w:tcW w:w="470" w:type="dxa"/>
            <w:tcBorders>
              <w:top w:val="single" w:sz="8" w:space="0" w:color="auto"/>
              <w:left w:val="nil"/>
              <w:bottom w:val="single" w:sz="4" w:space="0" w:color="auto"/>
              <w:right w:val="single" w:sz="4" w:space="0" w:color="auto"/>
            </w:tcBorders>
            <w:shd w:val="clear" w:color="auto" w:fill="auto"/>
            <w:noWrap/>
            <w:vAlign w:val="center"/>
            <w:hideMark/>
          </w:tcPr>
          <w:p w:rsidR="0024547C" w:rsidRPr="00104F4B" w:rsidRDefault="0024547C" w:rsidP="0024547C">
            <w:pPr>
              <w:rPr>
                <w:rFonts w:cs="Arial"/>
                <w:color w:val="000000"/>
                <w:sz w:val="16"/>
                <w:szCs w:val="16"/>
                <w:lang w:eastAsia="es-CO"/>
              </w:rPr>
            </w:pPr>
            <w:r w:rsidRPr="00104F4B">
              <w:rPr>
                <w:rFonts w:cs="Arial"/>
                <w:color w:val="000000"/>
                <w:sz w:val="16"/>
                <w:szCs w:val="16"/>
                <w:lang w:eastAsia="es-CO"/>
              </w:rPr>
              <w:t>Julio</w:t>
            </w:r>
          </w:p>
        </w:tc>
        <w:tc>
          <w:tcPr>
            <w:tcW w:w="639" w:type="dxa"/>
            <w:tcBorders>
              <w:top w:val="single" w:sz="8" w:space="0" w:color="auto"/>
              <w:left w:val="nil"/>
              <w:bottom w:val="single" w:sz="4" w:space="0" w:color="auto"/>
              <w:right w:val="single" w:sz="4" w:space="0" w:color="auto"/>
            </w:tcBorders>
            <w:shd w:val="clear" w:color="auto" w:fill="auto"/>
            <w:noWrap/>
            <w:vAlign w:val="center"/>
            <w:hideMark/>
          </w:tcPr>
          <w:p w:rsidR="0024547C" w:rsidRPr="00104F4B" w:rsidRDefault="0024547C" w:rsidP="0024547C">
            <w:pPr>
              <w:rPr>
                <w:rFonts w:cs="Arial"/>
                <w:color w:val="000000"/>
                <w:sz w:val="16"/>
                <w:szCs w:val="16"/>
                <w:lang w:eastAsia="es-CO"/>
              </w:rPr>
            </w:pPr>
            <w:r w:rsidRPr="00104F4B">
              <w:rPr>
                <w:rFonts w:cs="Arial"/>
                <w:color w:val="000000"/>
                <w:sz w:val="16"/>
                <w:szCs w:val="16"/>
                <w:lang w:eastAsia="es-CO"/>
              </w:rPr>
              <w:t>Agosto</w:t>
            </w:r>
          </w:p>
        </w:tc>
        <w:tc>
          <w:tcPr>
            <w:tcW w:w="783" w:type="dxa"/>
            <w:tcBorders>
              <w:top w:val="single" w:sz="8" w:space="0" w:color="auto"/>
              <w:left w:val="nil"/>
              <w:bottom w:val="single" w:sz="4" w:space="0" w:color="auto"/>
              <w:right w:val="single" w:sz="4" w:space="0" w:color="auto"/>
            </w:tcBorders>
            <w:shd w:val="clear" w:color="auto" w:fill="auto"/>
            <w:noWrap/>
            <w:vAlign w:val="center"/>
            <w:hideMark/>
          </w:tcPr>
          <w:p w:rsidR="0024547C" w:rsidRPr="00104F4B" w:rsidRDefault="0024547C" w:rsidP="0024547C">
            <w:pPr>
              <w:rPr>
                <w:rFonts w:cs="Arial"/>
                <w:color w:val="000000"/>
                <w:sz w:val="16"/>
                <w:szCs w:val="16"/>
                <w:lang w:eastAsia="es-CO"/>
              </w:rPr>
            </w:pPr>
            <w:r w:rsidRPr="00104F4B">
              <w:rPr>
                <w:rFonts w:cs="Arial"/>
                <w:color w:val="000000"/>
                <w:sz w:val="16"/>
                <w:szCs w:val="16"/>
                <w:lang w:eastAsia="es-CO"/>
              </w:rPr>
              <w:t>Sept</w:t>
            </w:r>
          </w:p>
        </w:tc>
        <w:tc>
          <w:tcPr>
            <w:tcW w:w="710" w:type="dxa"/>
            <w:tcBorders>
              <w:top w:val="single" w:sz="8" w:space="0" w:color="auto"/>
              <w:left w:val="nil"/>
              <w:bottom w:val="single" w:sz="4" w:space="0" w:color="auto"/>
              <w:right w:val="single" w:sz="4" w:space="0" w:color="auto"/>
            </w:tcBorders>
            <w:shd w:val="clear" w:color="auto" w:fill="auto"/>
            <w:noWrap/>
            <w:vAlign w:val="center"/>
            <w:hideMark/>
          </w:tcPr>
          <w:p w:rsidR="0024547C" w:rsidRPr="00104F4B" w:rsidRDefault="0024547C" w:rsidP="0024547C">
            <w:pPr>
              <w:rPr>
                <w:rFonts w:cs="Arial"/>
                <w:color w:val="000000"/>
                <w:sz w:val="16"/>
                <w:szCs w:val="16"/>
                <w:lang w:eastAsia="es-CO"/>
              </w:rPr>
            </w:pPr>
            <w:r w:rsidRPr="00104F4B">
              <w:rPr>
                <w:rFonts w:cs="Arial"/>
                <w:color w:val="000000"/>
                <w:sz w:val="16"/>
                <w:szCs w:val="16"/>
                <w:lang w:eastAsia="es-CO"/>
              </w:rPr>
              <w:t>Octubre</w:t>
            </w:r>
          </w:p>
        </w:tc>
        <w:tc>
          <w:tcPr>
            <w:tcW w:w="914" w:type="dxa"/>
            <w:tcBorders>
              <w:top w:val="single" w:sz="8" w:space="0" w:color="auto"/>
              <w:left w:val="nil"/>
              <w:bottom w:val="single" w:sz="4" w:space="0" w:color="auto"/>
              <w:right w:val="single" w:sz="4" w:space="0" w:color="auto"/>
            </w:tcBorders>
            <w:shd w:val="clear" w:color="auto" w:fill="auto"/>
            <w:noWrap/>
            <w:vAlign w:val="center"/>
            <w:hideMark/>
          </w:tcPr>
          <w:p w:rsidR="0024547C" w:rsidRPr="00104F4B" w:rsidRDefault="0024547C" w:rsidP="0024547C">
            <w:pPr>
              <w:rPr>
                <w:rFonts w:cs="Arial"/>
                <w:color w:val="000000"/>
                <w:sz w:val="16"/>
                <w:szCs w:val="16"/>
                <w:lang w:eastAsia="es-CO"/>
              </w:rPr>
            </w:pPr>
            <w:r w:rsidRPr="00104F4B">
              <w:rPr>
                <w:rFonts w:cs="Arial"/>
                <w:color w:val="000000"/>
                <w:sz w:val="16"/>
                <w:szCs w:val="16"/>
                <w:lang w:eastAsia="es-CO"/>
              </w:rPr>
              <w:t>Noviembre</w:t>
            </w:r>
          </w:p>
        </w:tc>
        <w:tc>
          <w:tcPr>
            <w:tcW w:w="861" w:type="dxa"/>
            <w:tcBorders>
              <w:top w:val="single" w:sz="8" w:space="0" w:color="auto"/>
              <w:left w:val="nil"/>
              <w:bottom w:val="single" w:sz="4" w:space="0" w:color="auto"/>
              <w:right w:val="single" w:sz="4" w:space="0" w:color="auto"/>
            </w:tcBorders>
            <w:shd w:val="clear" w:color="auto" w:fill="auto"/>
            <w:noWrap/>
            <w:vAlign w:val="center"/>
            <w:hideMark/>
          </w:tcPr>
          <w:p w:rsidR="0024547C" w:rsidRPr="00104F4B" w:rsidRDefault="0024547C" w:rsidP="0024547C">
            <w:pPr>
              <w:rPr>
                <w:rFonts w:cs="Arial"/>
                <w:color w:val="000000"/>
                <w:sz w:val="16"/>
                <w:szCs w:val="16"/>
                <w:lang w:eastAsia="es-CO"/>
              </w:rPr>
            </w:pPr>
            <w:r w:rsidRPr="00104F4B">
              <w:rPr>
                <w:rFonts w:cs="Arial"/>
                <w:color w:val="000000"/>
                <w:sz w:val="16"/>
                <w:szCs w:val="16"/>
                <w:lang w:eastAsia="es-CO"/>
              </w:rPr>
              <w:t>Diciembre</w:t>
            </w:r>
          </w:p>
        </w:tc>
        <w:tc>
          <w:tcPr>
            <w:tcW w:w="775" w:type="dxa"/>
            <w:tcBorders>
              <w:top w:val="single" w:sz="8" w:space="0" w:color="auto"/>
              <w:left w:val="nil"/>
              <w:bottom w:val="single" w:sz="4" w:space="0" w:color="auto"/>
              <w:right w:val="single" w:sz="8" w:space="0" w:color="auto"/>
            </w:tcBorders>
            <w:shd w:val="clear" w:color="auto" w:fill="auto"/>
            <w:noWrap/>
            <w:vAlign w:val="center"/>
            <w:hideMark/>
          </w:tcPr>
          <w:p w:rsidR="0024547C" w:rsidRPr="00104F4B" w:rsidRDefault="0024547C" w:rsidP="0024547C">
            <w:pPr>
              <w:rPr>
                <w:rFonts w:cs="Arial"/>
                <w:b/>
                <w:bCs/>
                <w:color w:val="000000"/>
                <w:sz w:val="16"/>
                <w:szCs w:val="16"/>
                <w:lang w:eastAsia="es-CO"/>
              </w:rPr>
            </w:pPr>
            <w:r w:rsidRPr="00104F4B">
              <w:rPr>
                <w:rFonts w:cs="Arial"/>
                <w:b/>
                <w:bCs/>
                <w:color w:val="000000"/>
                <w:sz w:val="16"/>
                <w:szCs w:val="16"/>
                <w:lang w:eastAsia="es-CO"/>
              </w:rPr>
              <w:t>TOTAL</w:t>
            </w:r>
          </w:p>
        </w:tc>
      </w:tr>
      <w:tr w:rsidR="0024547C" w:rsidRPr="00104F4B" w:rsidTr="005C3D90">
        <w:trPr>
          <w:trHeight w:val="265"/>
        </w:trPr>
        <w:tc>
          <w:tcPr>
            <w:tcW w:w="825" w:type="dxa"/>
            <w:tcBorders>
              <w:top w:val="nil"/>
              <w:left w:val="single" w:sz="8" w:space="0" w:color="auto"/>
              <w:bottom w:val="single" w:sz="8" w:space="0" w:color="auto"/>
              <w:right w:val="single" w:sz="4" w:space="0" w:color="auto"/>
            </w:tcBorders>
            <w:shd w:val="clear" w:color="auto" w:fill="FFFFFF" w:themeFill="background1"/>
            <w:vAlign w:val="center"/>
            <w:hideMark/>
          </w:tcPr>
          <w:p w:rsidR="0024547C" w:rsidRPr="00104F4B" w:rsidRDefault="0024547C" w:rsidP="0024547C">
            <w:pPr>
              <w:jc w:val="center"/>
              <w:rPr>
                <w:rFonts w:cs="Arial"/>
                <w:b/>
                <w:bCs/>
                <w:color w:val="000000"/>
                <w:sz w:val="16"/>
                <w:szCs w:val="16"/>
                <w:lang w:eastAsia="es-CO"/>
              </w:rPr>
            </w:pPr>
            <w:r w:rsidRPr="00104F4B">
              <w:rPr>
                <w:rFonts w:cs="Arial"/>
                <w:b/>
                <w:bCs/>
                <w:color w:val="000000"/>
                <w:sz w:val="16"/>
                <w:szCs w:val="16"/>
                <w:lang w:eastAsia="es-CO"/>
              </w:rPr>
              <w:t>Cantidad</w:t>
            </w:r>
          </w:p>
        </w:tc>
        <w:tc>
          <w:tcPr>
            <w:tcW w:w="567" w:type="dxa"/>
            <w:tcBorders>
              <w:top w:val="nil"/>
              <w:left w:val="nil"/>
              <w:bottom w:val="single" w:sz="8" w:space="0" w:color="auto"/>
              <w:right w:val="single" w:sz="4" w:space="0" w:color="auto"/>
            </w:tcBorders>
            <w:shd w:val="clear" w:color="auto" w:fill="auto"/>
            <w:noWrap/>
            <w:vAlign w:val="center"/>
            <w:hideMark/>
          </w:tcPr>
          <w:p w:rsidR="0024547C" w:rsidRPr="00104F4B" w:rsidRDefault="0024547C" w:rsidP="0024547C">
            <w:pPr>
              <w:jc w:val="center"/>
              <w:rPr>
                <w:rFonts w:cs="Arial"/>
                <w:color w:val="222222"/>
                <w:sz w:val="16"/>
                <w:szCs w:val="16"/>
              </w:rPr>
            </w:pPr>
            <w:r w:rsidRPr="00104F4B">
              <w:rPr>
                <w:rFonts w:cs="Arial"/>
                <w:color w:val="222222"/>
                <w:sz w:val="16"/>
                <w:szCs w:val="16"/>
              </w:rPr>
              <w:t>57</w:t>
            </w:r>
          </w:p>
        </w:tc>
        <w:tc>
          <w:tcPr>
            <w:tcW w:w="701" w:type="dxa"/>
            <w:tcBorders>
              <w:top w:val="nil"/>
              <w:left w:val="nil"/>
              <w:bottom w:val="single" w:sz="8" w:space="0" w:color="auto"/>
              <w:right w:val="single" w:sz="4" w:space="0" w:color="auto"/>
            </w:tcBorders>
            <w:shd w:val="clear" w:color="auto" w:fill="auto"/>
            <w:noWrap/>
            <w:vAlign w:val="center"/>
            <w:hideMark/>
          </w:tcPr>
          <w:p w:rsidR="0024547C" w:rsidRPr="00104F4B" w:rsidRDefault="0024547C" w:rsidP="0024547C">
            <w:pPr>
              <w:jc w:val="center"/>
              <w:rPr>
                <w:rFonts w:cs="Arial"/>
                <w:color w:val="222222"/>
                <w:sz w:val="16"/>
                <w:szCs w:val="16"/>
              </w:rPr>
            </w:pPr>
            <w:r w:rsidRPr="00104F4B">
              <w:rPr>
                <w:rFonts w:cs="Arial"/>
                <w:color w:val="222222"/>
                <w:sz w:val="16"/>
                <w:szCs w:val="16"/>
              </w:rPr>
              <w:t>86</w:t>
            </w:r>
          </w:p>
        </w:tc>
        <w:tc>
          <w:tcPr>
            <w:tcW w:w="585" w:type="dxa"/>
            <w:tcBorders>
              <w:top w:val="nil"/>
              <w:left w:val="nil"/>
              <w:bottom w:val="single" w:sz="8" w:space="0" w:color="auto"/>
              <w:right w:val="single" w:sz="4" w:space="0" w:color="auto"/>
            </w:tcBorders>
            <w:shd w:val="clear" w:color="auto" w:fill="auto"/>
            <w:noWrap/>
            <w:vAlign w:val="center"/>
            <w:hideMark/>
          </w:tcPr>
          <w:p w:rsidR="0024547C" w:rsidRPr="00104F4B" w:rsidRDefault="0024547C" w:rsidP="0024547C">
            <w:pPr>
              <w:jc w:val="center"/>
              <w:rPr>
                <w:rFonts w:cs="Arial"/>
                <w:color w:val="222222"/>
                <w:sz w:val="16"/>
                <w:szCs w:val="16"/>
              </w:rPr>
            </w:pPr>
            <w:r w:rsidRPr="00104F4B">
              <w:rPr>
                <w:rFonts w:cs="Arial"/>
                <w:color w:val="222222"/>
                <w:sz w:val="16"/>
                <w:szCs w:val="16"/>
              </w:rPr>
              <w:t>58</w:t>
            </w:r>
          </w:p>
        </w:tc>
        <w:tc>
          <w:tcPr>
            <w:tcW w:w="461" w:type="dxa"/>
            <w:tcBorders>
              <w:top w:val="nil"/>
              <w:left w:val="nil"/>
              <w:bottom w:val="single" w:sz="8" w:space="0" w:color="auto"/>
              <w:right w:val="single" w:sz="4" w:space="0" w:color="auto"/>
            </w:tcBorders>
            <w:shd w:val="clear" w:color="auto" w:fill="auto"/>
            <w:noWrap/>
            <w:vAlign w:val="center"/>
            <w:hideMark/>
          </w:tcPr>
          <w:p w:rsidR="0024547C" w:rsidRPr="00104F4B" w:rsidRDefault="0024547C" w:rsidP="0024547C">
            <w:pPr>
              <w:jc w:val="center"/>
              <w:rPr>
                <w:rFonts w:cs="Arial"/>
                <w:color w:val="222222"/>
                <w:sz w:val="16"/>
                <w:szCs w:val="16"/>
              </w:rPr>
            </w:pPr>
            <w:r w:rsidRPr="00104F4B">
              <w:rPr>
                <w:rFonts w:cs="Arial"/>
                <w:color w:val="222222"/>
                <w:sz w:val="16"/>
                <w:szCs w:val="16"/>
              </w:rPr>
              <w:t>103</w:t>
            </w:r>
          </w:p>
        </w:tc>
        <w:tc>
          <w:tcPr>
            <w:tcW w:w="532" w:type="dxa"/>
            <w:tcBorders>
              <w:top w:val="nil"/>
              <w:left w:val="nil"/>
              <w:bottom w:val="single" w:sz="8" w:space="0" w:color="auto"/>
              <w:right w:val="single" w:sz="4" w:space="0" w:color="auto"/>
            </w:tcBorders>
            <w:shd w:val="clear" w:color="auto" w:fill="auto"/>
            <w:noWrap/>
            <w:vAlign w:val="center"/>
            <w:hideMark/>
          </w:tcPr>
          <w:p w:rsidR="0024547C" w:rsidRPr="00104F4B" w:rsidRDefault="0024547C" w:rsidP="0024547C">
            <w:pPr>
              <w:jc w:val="center"/>
              <w:rPr>
                <w:rFonts w:cs="Arial"/>
                <w:color w:val="222222"/>
                <w:sz w:val="16"/>
                <w:szCs w:val="16"/>
              </w:rPr>
            </w:pPr>
            <w:r w:rsidRPr="00104F4B">
              <w:rPr>
                <w:rFonts w:cs="Arial"/>
                <w:color w:val="222222"/>
                <w:sz w:val="16"/>
                <w:szCs w:val="16"/>
              </w:rPr>
              <w:t>162</w:t>
            </w:r>
          </w:p>
        </w:tc>
        <w:tc>
          <w:tcPr>
            <w:tcW w:w="523" w:type="dxa"/>
            <w:tcBorders>
              <w:top w:val="nil"/>
              <w:left w:val="nil"/>
              <w:bottom w:val="single" w:sz="8" w:space="0" w:color="auto"/>
              <w:right w:val="single" w:sz="4" w:space="0" w:color="auto"/>
            </w:tcBorders>
            <w:shd w:val="clear" w:color="auto" w:fill="auto"/>
            <w:noWrap/>
            <w:vAlign w:val="center"/>
            <w:hideMark/>
          </w:tcPr>
          <w:p w:rsidR="0024547C" w:rsidRPr="00104F4B" w:rsidRDefault="0024547C" w:rsidP="0024547C">
            <w:pPr>
              <w:jc w:val="center"/>
              <w:rPr>
                <w:rFonts w:cs="Arial"/>
                <w:color w:val="222222"/>
                <w:sz w:val="16"/>
                <w:szCs w:val="16"/>
              </w:rPr>
            </w:pPr>
            <w:r w:rsidRPr="00104F4B">
              <w:rPr>
                <w:rFonts w:cs="Arial"/>
                <w:color w:val="222222"/>
                <w:sz w:val="16"/>
                <w:szCs w:val="16"/>
              </w:rPr>
              <w:t>97</w:t>
            </w:r>
          </w:p>
        </w:tc>
        <w:tc>
          <w:tcPr>
            <w:tcW w:w="470" w:type="dxa"/>
            <w:tcBorders>
              <w:top w:val="nil"/>
              <w:left w:val="nil"/>
              <w:bottom w:val="single" w:sz="8" w:space="0" w:color="auto"/>
              <w:right w:val="single" w:sz="4" w:space="0" w:color="auto"/>
            </w:tcBorders>
            <w:shd w:val="clear" w:color="auto" w:fill="auto"/>
            <w:noWrap/>
            <w:vAlign w:val="center"/>
            <w:hideMark/>
          </w:tcPr>
          <w:p w:rsidR="0024547C" w:rsidRPr="00104F4B" w:rsidRDefault="0024547C" w:rsidP="0024547C">
            <w:pPr>
              <w:jc w:val="center"/>
              <w:rPr>
                <w:rFonts w:cs="Arial"/>
                <w:color w:val="222222"/>
                <w:sz w:val="16"/>
                <w:szCs w:val="16"/>
              </w:rPr>
            </w:pPr>
            <w:r w:rsidRPr="00104F4B">
              <w:rPr>
                <w:rFonts w:cs="Arial"/>
                <w:color w:val="222222"/>
                <w:sz w:val="16"/>
                <w:szCs w:val="16"/>
              </w:rPr>
              <w:t>125</w:t>
            </w:r>
          </w:p>
        </w:tc>
        <w:tc>
          <w:tcPr>
            <w:tcW w:w="639" w:type="dxa"/>
            <w:tcBorders>
              <w:top w:val="nil"/>
              <w:left w:val="nil"/>
              <w:bottom w:val="single" w:sz="8" w:space="0" w:color="auto"/>
              <w:right w:val="single" w:sz="4" w:space="0" w:color="auto"/>
            </w:tcBorders>
            <w:shd w:val="clear" w:color="auto" w:fill="auto"/>
            <w:noWrap/>
            <w:vAlign w:val="center"/>
            <w:hideMark/>
          </w:tcPr>
          <w:p w:rsidR="0024547C" w:rsidRPr="00104F4B" w:rsidRDefault="0024547C" w:rsidP="0024547C">
            <w:pPr>
              <w:jc w:val="center"/>
              <w:rPr>
                <w:rFonts w:cs="Arial"/>
                <w:color w:val="222222"/>
                <w:sz w:val="16"/>
                <w:szCs w:val="16"/>
              </w:rPr>
            </w:pPr>
            <w:r w:rsidRPr="00104F4B">
              <w:rPr>
                <w:rFonts w:cs="Arial"/>
                <w:color w:val="222222"/>
                <w:sz w:val="16"/>
                <w:szCs w:val="16"/>
              </w:rPr>
              <w:t>145</w:t>
            </w:r>
          </w:p>
        </w:tc>
        <w:tc>
          <w:tcPr>
            <w:tcW w:w="783" w:type="dxa"/>
            <w:tcBorders>
              <w:top w:val="nil"/>
              <w:left w:val="nil"/>
              <w:bottom w:val="single" w:sz="8" w:space="0" w:color="auto"/>
              <w:right w:val="single" w:sz="4" w:space="0" w:color="auto"/>
            </w:tcBorders>
            <w:shd w:val="clear" w:color="auto" w:fill="auto"/>
            <w:noWrap/>
            <w:vAlign w:val="center"/>
            <w:hideMark/>
          </w:tcPr>
          <w:p w:rsidR="0024547C" w:rsidRPr="00104F4B" w:rsidRDefault="0024547C" w:rsidP="0024547C">
            <w:pPr>
              <w:jc w:val="center"/>
              <w:rPr>
                <w:rFonts w:cs="Arial"/>
                <w:color w:val="222222"/>
                <w:sz w:val="16"/>
                <w:szCs w:val="16"/>
              </w:rPr>
            </w:pPr>
            <w:r w:rsidRPr="00104F4B">
              <w:rPr>
                <w:rFonts w:cs="Arial"/>
                <w:color w:val="222222"/>
                <w:sz w:val="16"/>
                <w:szCs w:val="16"/>
              </w:rPr>
              <w:t>151</w:t>
            </w:r>
          </w:p>
        </w:tc>
        <w:tc>
          <w:tcPr>
            <w:tcW w:w="710" w:type="dxa"/>
            <w:tcBorders>
              <w:top w:val="nil"/>
              <w:left w:val="nil"/>
              <w:bottom w:val="single" w:sz="8" w:space="0" w:color="auto"/>
              <w:right w:val="single" w:sz="4" w:space="0" w:color="auto"/>
            </w:tcBorders>
            <w:shd w:val="clear" w:color="auto" w:fill="auto"/>
            <w:noWrap/>
            <w:vAlign w:val="center"/>
            <w:hideMark/>
          </w:tcPr>
          <w:p w:rsidR="0024547C" w:rsidRPr="00104F4B" w:rsidRDefault="0024547C" w:rsidP="0024547C">
            <w:pPr>
              <w:jc w:val="center"/>
              <w:rPr>
                <w:rFonts w:cs="Arial"/>
                <w:color w:val="222222"/>
                <w:sz w:val="16"/>
                <w:szCs w:val="16"/>
              </w:rPr>
            </w:pPr>
            <w:r w:rsidRPr="00104F4B">
              <w:rPr>
                <w:rFonts w:cs="Arial"/>
                <w:color w:val="222222"/>
                <w:sz w:val="16"/>
                <w:szCs w:val="16"/>
              </w:rPr>
              <w:t>182</w:t>
            </w:r>
          </w:p>
        </w:tc>
        <w:tc>
          <w:tcPr>
            <w:tcW w:w="914" w:type="dxa"/>
            <w:tcBorders>
              <w:top w:val="nil"/>
              <w:left w:val="nil"/>
              <w:bottom w:val="single" w:sz="8" w:space="0" w:color="auto"/>
              <w:right w:val="single" w:sz="4" w:space="0" w:color="auto"/>
            </w:tcBorders>
            <w:shd w:val="clear" w:color="auto" w:fill="auto"/>
            <w:noWrap/>
            <w:vAlign w:val="center"/>
            <w:hideMark/>
          </w:tcPr>
          <w:p w:rsidR="0024547C" w:rsidRPr="00104F4B" w:rsidRDefault="0024547C" w:rsidP="0024547C">
            <w:pPr>
              <w:jc w:val="center"/>
              <w:rPr>
                <w:rFonts w:cs="Arial"/>
                <w:color w:val="222222"/>
                <w:sz w:val="16"/>
                <w:szCs w:val="16"/>
              </w:rPr>
            </w:pPr>
            <w:r w:rsidRPr="00104F4B">
              <w:rPr>
                <w:rFonts w:cs="Arial"/>
                <w:color w:val="222222"/>
                <w:sz w:val="16"/>
                <w:szCs w:val="16"/>
              </w:rPr>
              <w:t>189</w:t>
            </w:r>
          </w:p>
        </w:tc>
        <w:tc>
          <w:tcPr>
            <w:tcW w:w="861" w:type="dxa"/>
            <w:tcBorders>
              <w:top w:val="nil"/>
              <w:left w:val="nil"/>
              <w:bottom w:val="single" w:sz="8" w:space="0" w:color="auto"/>
              <w:right w:val="single" w:sz="4" w:space="0" w:color="auto"/>
            </w:tcBorders>
            <w:shd w:val="clear" w:color="auto" w:fill="auto"/>
            <w:noWrap/>
            <w:vAlign w:val="center"/>
            <w:hideMark/>
          </w:tcPr>
          <w:p w:rsidR="0024547C" w:rsidRPr="00104F4B" w:rsidRDefault="0024547C" w:rsidP="0024547C">
            <w:pPr>
              <w:jc w:val="center"/>
              <w:rPr>
                <w:rFonts w:cs="Arial"/>
                <w:color w:val="222222"/>
                <w:sz w:val="16"/>
                <w:szCs w:val="16"/>
              </w:rPr>
            </w:pPr>
            <w:r w:rsidRPr="00104F4B">
              <w:rPr>
                <w:rFonts w:cs="Arial"/>
                <w:color w:val="222222"/>
                <w:sz w:val="16"/>
                <w:szCs w:val="16"/>
              </w:rPr>
              <w:t>150</w:t>
            </w:r>
          </w:p>
        </w:tc>
        <w:tc>
          <w:tcPr>
            <w:tcW w:w="775" w:type="dxa"/>
            <w:tcBorders>
              <w:top w:val="nil"/>
              <w:left w:val="nil"/>
              <w:bottom w:val="single" w:sz="8" w:space="0" w:color="auto"/>
              <w:right w:val="single" w:sz="8" w:space="0" w:color="auto"/>
            </w:tcBorders>
            <w:shd w:val="clear" w:color="auto" w:fill="auto"/>
            <w:noWrap/>
            <w:vAlign w:val="center"/>
            <w:hideMark/>
          </w:tcPr>
          <w:p w:rsidR="0024547C" w:rsidRPr="00104F4B" w:rsidRDefault="0024547C" w:rsidP="0024547C">
            <w:pPr>
              <w:jc w:val="center"/>
              <w:rPr>
                <w:rFonts w:cs="Arial"/>
                <w:color w:val="222222"/>
                <w:sz w:val="16"/>
                <w:szCs w:val="16"/>
              </w:rPr>
            </w:pPr>
            <w:r w:rsidRPr="00104F4B">
              <w:rPr>
                <w:rFonts w:cs="Arial"/>
                <w:color w:val="222222"/>
                <w:sz w:val="16"/>
                <w:szCs w:val="16"/>
              </w:rPr>
              <w:t>1505</w:t>
            </w:r>
          </w:p>
        </w:tc>
      </w:tr>
    </w:tbl>
    <w:p w:rsidR="0024547C" w:rsidRPr="00104F4B" w:rsidRDefault="0024547C" w:rsidP="0024547C">
      <w:pPr>
        <w:jc w:val="center"/>
        <w:rPr>
          <w:rFonts w:cs="Arial"/>
          <w:sz w:val="16"/>
          <w:szCs w:val="16"/>
        </w:rPr>
      </w:pPr>
      <w:r w:rsidRPr="00104F4B">
        <w:rPr>
          <w:rFonts w:cs="Arial"/>
          <w:sz w:val="16"/>
          <w:szCs w:val="16"/>
        </w:rPr>
        <w:t xml:space="preserve">SGJ – Respuestas a los Requerimientos de los Órganos de Control 2018 </w:t>
      </w:r>
      <w:r w:rsidR="0091299B" w:rsidRPr="00104F4B">
        <w:rPr>
          <w:rFonts w:cs="Arial"/>
          <w:sz w:val="16"/>
          <w:szCs w:val="16"/>
        </w:rPr>
        <w:t xml:space="preserve"> </w:t>
      </w:r>
      <w:r w:rsidRPr="00104F4B">
        <w:rPr>
          <w:rFonts w:cs="Arial"/>
          <w:sz w:val="16"/>
          <w:szCs w:val="16"/>
        </w:rPr>
        <w:t>Fuente ORFEO</w:t>
      </w:r>
    </w:p>
    <w:p w:rsidR="0024547C" w:rsidRPr="00104F4B" w:rsidRDefault="0024547C" w:rsidP="0024547C">
      <w:pPr>
        <w:rPr>
          <w:rFonts w:cs="Arial"/>
          <w:b/>
          <w:szCs w:val="22"/>
        </w:rPr>
      </w:pPr>
      <w:r w:rsidRPr="00104F4B">
        <w:rPr>
          <w:rFonts w:cs="Arial"/>
          <w:b/>
          <w:szCs w:val="22"/>
        </w:rPr>
        <w:t>Estrategia de Transparencia y Eficiencia en la Gestión Contractual</w:t>
      </w:r>
    </w:p>
    <w:p w:rsidR="0024547C" w:rsidRPr="00104F4B" w:rsidRDefault="0024547C" w:rsidP="00107CD4">
      <w:pPr>
        <w:rPr>
          <w:rFonts w:cs="Arial"/>
          <w:b/>
          <w:szCs w:val="22"/>
        </w:rPr>
      </w:pPr>
    </w:p>
    <w:p w:rsidR="0024547C" w:rsidRPr="00104F4B" w:rsidRDefault="0024547C" w:rsidP="0091299B">
      <w:pPr>
        <w:pStyle w:val="Cuerpo"/>
        <w:numPr>
          <w:ilvl w:val="0"/>
          <w:numId w:val="39"/>
        </w:numPr>
        <w:spacing w:line="240" w:lineRule="auto"/>
        <w:ind w:left="357" w:hanging="357"/>
        <w:jc w:val="both"/>
        <w:rPr>
          <w:rStyle w:val="Ninguno"/>
          <w:rFonts w:cs="Arial"/>
          <w:lang w:val="es-CO"/>
        </w:rPr>
      </w:pPr>
      <w:r w:rsidRPr="00104F4B">
        <w:rPr>
          <w:rStyle w:val="Ninguno"/>
          <w:rFonts w:cs="Arial"/>
          <w:lang w:val="es-CO"/>
        </w:rPr>
        <w:t>Elaboración</w:t>
      </w:r>
      <w:r w:rsidRPr="00104F4B">
        <w:rPr>
          <w:rStyle w:val="Ninguno"/>
          <w:rFonts w:cs="Arial"/>
          <w:lang w:val="es-ES_tradnl"/>
        </w:rPr>
        <w:t xml:space="preserve"> de una Matriz  DOFA</w:t>
      </w:r>
      <w:r w:rsidRPr="00104F4B">
        <w:rPr>
          <w:rStyle w:val="Ninguno"/>
          <w:rFonts w:cs="Arial"/>
          <w:lang w:val="es-CO"/>
        </w:rPr>
        <w:t xml:space="preserve">: </w:t>
      </w:r>
      <w:r w:rsidRPr="00104F4B">
        <w:rPr>
          <w:rStyle w:val="Ninguno"/>
          <w:rFonts w:cs="Arial"/>
          <w:lang w:val="es-ES_tradnl"/>
        </w:rPr>
        <w:t>Con el fin de identificar las debilidades, fortalezas, oportunidades de mejora y amenazas externas del proceso de gestión contractual del IDU, con miras a revisar y validar aquellos aspectos, tr</w:t>
      </w:r>
      <w:r w:rsidRPr="00104F4B">
        <w:rPr>
          <w:rStyle w:val="Ninguno"/>
          <w:rFonts w:cs="Arial"/>
          <w:lang w:val="es-CO"/>
        </w:rPr>
        <w:t>á</w:t>
      </w:r>
      <w:r w:rsidRPr="00104F4B">
        <w:rPr>
          <w:rStyle w:val="Ninguno"/>
          <w:rFonts w:cs="Arial"/>
          <w:lang w:val="es-ES_tradnl"/>
        </w:rPr>
        <w:t>mites, regulaciones internas y procedimientos que presenten inconvenientes y se hayan convertido en un obst</w:t>
      </w:r>
      <w:r w:rsidRPr="00104F4B">
        <w:rPr>
          <w:rStyle w:val="Ninguno"/>
          <w:rFonts w:cs="Arial"/>
          <w:lang w:val="es-CO"/>
        </w:rPr>
        <w:t>á</w:t>
      </w:r>
      <w:r w:rsidRPr="00104F4B">
        <w:rPr>
          <w:rStyle w:val="Ninguno"/>
          <w:rFonts w:cs="Arial"/>
          <w:lang w:val="es-ES_tradnl"/>
        </w:rPr>
        <w:t>culo en la consecución de la ejecución exitosa del Plan Anual de Adquisiciones y del plan estrat</w:t>
      </w:r>
      <w:r w:rsidRPr="00104F4B">
        <w:rPr>
          <w:rStyle w:val="Ninguno"/>
          <w:rFonts w:cs="Arial"/>
          <w:lang w:val="fr-FR"/>
        </w:rPr>
        <w:t>é</w:t>
      </w:r>
      <w:r w:rsidRPr="00104F4B">
        <w:rPr>
          <w:rStyle w:val="Ninguno"/>
          <w:rFonts w:cs="Arial"/>
          <w:lang w:val="it-IT"/>
        </w:rPr>
        <w:t>gico.</w:t>
      </w:r>
    </w:p>
    <w:p w:rsidR="0024547C" w:rsidRPr="00104F4B" w:rsidRDefault="0024547C" w:rsidP="0091299B">
      <w:pPr>
        <w:pStyle w:val="Cuerpo"/>
        <w:numPr>
          <w:ilvl w:val="0"/>
          <w:numId w:val="39"/>
        </w:numPr>
        <w:spacing w:line="240" w:lineRule="auto"/>
        <w:ind w:left="357" w:hanging="357"/>
        <w:jc w:val="both"/>
        <w:rPr>
          <w:rStyle w:val="Ninguno"/>
          <w:rFonts w:cs="Arial"/>
          <w:lang w:val="es-CO"/>
        </w:rPr>
      </w:pPr>
      <w:r w:rsidRPr="00104F4B">
        <w:rPr>
          <w:rStyle w:val="Ninguno"/>
          <w:rFonts w:cs="Arial"/>
          <w:lang w:val="es-CO"/>
        </w:rPr>
        <w:t>Revisi</w:t>
      </w:r>
      <w:r w:rsidRPr="00104F4B">
        <w:rPr>
          <w:rStyle w:val="Ninguno"/>
          <w:rFonts w:cs="Arial"/>
          <w:lang w:val="es-ES_tradnl"/>
        </w:rPr>
        <w:t>ón del pliego tipo de obra: Con fundamento en los resultados de la DOFA, del informe definitivo de auditoria de la Contralor</w:t>
      </w:r>
      <w:r w:rsidRPr="00104F4B">
        <w:rPr>
          <w:rStyle w:val="Ninguno"/>
          <w:rFonts w:cs="Arial"/>
          <w:lang w:val="es-CO"/>
        </w:rPr>
        <w:t>í</w:t>
      </w:r>
      <w:r w:rsidRPr="00104F4B">
        <w:rPr>
          <w:rStyle w:val="Ninguno"/>
          <w:rFonts w:cs="Arial"/>
          <w:lang w:val="es-ES_tradnl"/>
        </w:rPr>
        <w:t>a Distrital, los hallazgos plasmados en dicho documento, los resultados de la metodolog</w:t>
      </w:r>
      <w:r w:rsidRPr="00104F4B">
        <w:rPr>
          <w:rStyle w:val="Ninguno"/>
          <w:rFonts w:cs="Arial"/>
          <w:lang w:val="es-CO"/>
        </w:rPr>
        <w:t>í</w:t>
      </w:r>
      <w:r w:rsidRPr="00104F4B">
        <w:rPr>
          <w:rStyle w:val="Ninguno"/>
          <w:rFonts w:cs="Arial"/>
          <w:lang w:val="pt-PT"/>
        </w:rPr>
        <w:t>a de medici</w:t>
      </w:r>
      <w:r w:rsidRPr="00104F4B">
        <w:rPr>
          <w:rStyle w:val="Ninguno"/>
          <w:rFonts w:cs="Arial"/>
          <w:lang w:val="es-ES_tradnl"/>
        </w:rPr>
        <w:t>ón de Transparencia por Colombia, as</w:t>
      </w:r>
      <w:r w:rsidRPr="00104F4B">
        <w:rPr>
          <w:rStyle w:val="Ninguno"/>
          <w:rFonts w:cs="Arial"/>
          <w:lang w:val="es-CO"/>
        </w:rPr>
        <w:t xml:space="preserve">í </w:t>
      </w:r>
      <w:r w:rsidRPr="00104F4B">
        <w:rPr>
          <w:rStyle w:val="Ninguno"/>
          <w:rFonts w:cs="Arial"/>
          <w:lang w:val="es-ES_tradnl"/>
        </w:rPr>
        <w:t>como la expedición de la Ley 1882 de 2018, se planteó la necesidad de efectuar una serie de actividades de diagnóstico y revisión del pliego tipo, iniciando por el del contrato de obra y abarcando otros contratos misionales y de funcionamiento.</w:t>
      </w:r>
    </w:p>
    <w:p w:rsidR="0024547C" w:rsidRPr="00104F4B" w:rsidRDefault="0024547C" w:rsidP="00107CD4">
      <w:pPr>
        <w:pStyle w:val="Cuerpo"/>
        <w:jc w:val="both"/>
        <w:rPr>
          <w:rStyle w:val="Ninguno"/>
          <w:rFonts w:cs="Arial"/>
          <w:b/>
          <w:bCs/>
          <w:sz w:val="24"/>
          <w:szCs w:val="24"/>
          <w:lang w:val="es-CO"/>
        </w:rPr>
      </w:pPr>
      <w:r w:rsidRPr="00104F4B">
        <w:rPr>
          <w:rStyle w:val="Ninguno"/>
          <w:rFonts w:cs="Arial"/>
          <w:sz w:val="24"/>
          <w:szCs w:val="24"/>
          <w:lang w:val="es-CO"/>
        </w:rPr>
        <w:t xml:space="preserve"> </w:t>
      </w:r>
    </w:p>
    <w:p w:rsidR="0024547C" w:rsidRPr="00104F4B" w:rsidRDefault="0024547C" w:rsidP="0091299B">
      <w:pPr>
        <w:pStyle w:val="Cuerpo"/>
        <w:spacing w:line="240" w:lineRule="auto"/>
        <w:jc w:val="both"/>
        <w:rPr>
          <w:rStyle w:val="Ninguno"/>
          <w:rFonts w:cs="Arial"/>
          <w:lang w:val="es-CO"/>
        </w:rPr>
      </w:pPr>
      <w:r w:rsidRPr="00104F4B">
        <w:rPr>
          <w:rStyle w:val="Ninguno"/>
          <w:rFonts w:cs="Arial"/>
          <w:lang w:val="it-IT"/>
        </w:rPr>
        <w:t>Construcci</w:t>
      </w:r>
      <w:r w:rsidRPr="00104F4B">
        <w:rPr>
          <w:rStyle w:val="Ninguno"/>
          <w:rFonts w:cs="Arial"/>
          <w:lang w:val="es-ES_tradnl"/>
        </w:rPr>
        <w:t xml:space="preserve">ón del modelo </w:t>
      </w:r>
      <w:r w:rsidRPr="00104F4B">
        <w:rPr>
          <w:rStyle w:val="Ninguno"/>
          <w:rFonts w:cs="Arial"/>
          <w:lang w:val="es-CO"/>
        </w:rPr>
        <w:t>“</w:t>
      </w:r>
      <w:r w:rsidRPr="00104F4B">
        <w:rPr>
          <w:rStyle w:val="Ninguno"/>
          <w:rFonts w:cs="Arial"/>
          <w:lang w:val="es-ES_tradnl"/>
        </w:rPr>
        <w:t>EL SUPERVISOR IDEAL DEL IDU</w:t>
      </w:r>
      <w:r w:rsidRPr="00104F4B">
        <w:rPr>
          <w:rStyle w:val="Ninguno"/>
          <w:rFonts w:cs="Arial"/>
          <w:lang w:val="es-CO"/>
        </w:rPr>
        <w:t xml:space="preserve">”: </w:t>
      </w:r>
      <w:r w:rsidRPr="00104F4B">
        <w:rPr>
          <w:rStyle w:val="Ninguno"/>
          <w:rFonts w:cs="Arial"/>
          <w:lang w:val="es-ES_tradnl"/>
        </w:rPr>
        <w:t xml:space="preserve">Siendo evidente el ingreso de nuevo personal a las </w:t>
      </w:r>
      <w:r w:rsidRPr="00104F4B">
        <w:rPr>
          <w:rStyle w:val="Ninguno"/>
          <w:rFonts w:cs="Arial"/>
          <w:lang w:val="es-CO"/>
        </w:rPr>
        <w:t>áreas t</w:t>
      </w:r>
      <w:r w:rsidRPr="00104F4B">
        <w:rPr>
          <w:rStyle w:val="Ninguno"/>
          <w:rFonts w:cs="Arial"/>
          <w:lang w:val="fr-FR"/>
        </w:rPr>
        <w:t>é</w:t>
      </w:r>
      <w:r w:rsidRPr="00104F4B">
        <w:rPr>
          <w:rStyle w:val="Ninguno"/>
          <w:rFonts w:cs="Arial"/>
          <w:lang w:val="es-ES_tradnl"/>
        </w:rPr>
        <w:t>cnicas y tras la revisión del informe de Auditor</w:t>
      </w:r>
      <w:r w:rsidRPr="00104F4B">
        <w:rPr>
          <w:rStyle w:val="Ninguno"/>
          <w:rFonts w:cs="Arial"/>
          <w:lang w:val="es-CO"/>
        </w:rPr>
        <w:t>í</w:t>
      </w:r>
      <w:r w:rsidRPr="00104F4B">
        <w:rPr>
          <w:rStyle w:val="Ninguno"/>
          <w:rFonts w:cs="Arial"/>
          <w:lang w:val="es-ES_tradnl"/>
        </w:rPr>
        <w:t>a de la Contralor</w:t>
      </w:r>
      <w:r w:rsidRPr="00104F4B">
        <w:rPr>
          <w:rStyle w:val="Ninguno"/>
          <w:rFonts w:cs="Arial"/>
          <w:lang w:val="es-CO"/>
        </w:rPr>
        <w:t>í</w:t>
      </w:r>
      <w:r w:rsidRPr="00104F4B">
        <w:rPr>
          <w:rStyle w:val="Ninguno"/>
          <w:rFonts w:cs="Arial"/>
          <w:lang w:val="pt-PT"/>
        </w:rPr>
        <w:t>a de Bogot</w:t>
      </w:r>
      <w:r w:rsidRPr="00104F4B">
        <w:rPr>
          <w:rStyle w:val="Ninguno"/>
          <w:rFonts w:cs="Arial"/>
          <w:lang w:val="es-CO"/>
        </w:rPr>
        <w:t>á</w:t>
      </w:r>
      <w:r w:rsidRPr="00104F4B">
        <w:rPr>
          <w:rStyle w:val="Ninguno"/>
          <w:rFonts w:cs="Arial"/>
          <w:lang w:val="es-ES_tradnl"/>
        </w:rPr>
        <w:t xml:space="preserve">, se desarrollaron tres (3) ciclos de jornadas de conocimiento, con el fin de fortalecer las habilidades de los supervisores y del personal de apoyo a la supervisión de contratos. </w:t>
      </w:r>
    </w:p>
    <w:p w:rsidR="0024547C" w:rsidRPr="00104F4B" w:rsidRDefault="0024547C" w:rsidP="0091299B">
      <w:pPr>
        <w:pStyle w:val="Cuerpo"/>
        <w:spacing w:line="240" w:lineRule="auto"/>
        <w:jc w:val="both"/>
        <w:rPr>
          <w:rStyle w:val="Ninguno"/>
          <w:rFonts w:cs="Arial"/>
          <w:lang w:val="es-CO"/>
        </w:rPr>
      </w:pPr>
    </w:p>
    <w:p w:rsidR="0024547C" w:rsidRPr="00104F4B" w:rsidRDefault="0024547C" w:rsidP="0091299B">
      <w:pPr>
        <w:pStyle w:val="Cuerpo"/>
        <w:spacing w:line="240" w:lineRule="auto"/>
        <w:jc w:val="both"/>
        <w:rPr>
          <w:rStyle w:val="Ninguno"/>
          <w:rFonts w:cs="Arial"/>
          <w:lang w:val="es-CO"/>
        </w:rPr>
      </w:pPr>
      <w:r w:rsidRPr="00104F4B">
        <w:rPr>
          <w:rStyle w:val="Ninguno"/>
          <w:rFonts w:cs="Arial"/>
          <w:lang w:val="es-CO"/>
        </w:rPr>
        <w:t>Revisi</w:t>
      </w:r>
      <w:r w:rsidRPr="00104F4B">
        <w:rPr>
          <w:rStyle w:val="Ninguno"/>
          <w:rFonts w:cs="Arial"/>
          <w:lang w:val="es-ES_tradnl"/>
        </w:rPr>
        <w:t>ón del manual de supervisión</w:t>
      </w:r>
      <w:r w:rsidRPr="00104F4B">
        <w:rPr>
          <w:rStyle w:val="Ninguno"/>
          <w:rFonts w:cs="Arial"/>
          <w:lang w:val="it-IT"/>
        </w:rPr>
        <w:t xml:space="preserve"> e interventor</w:t>
      </w:r>
      <w:r w:rsidRPr="00104F4B">
        <w:rPr>
          <w:rStyle w:val="Ninguno"/>
          <w:rFonts w:cs="Arial"/>
          <w:lang w:val="es-CO"/>
        </w:rPr>
        <w:t xml:space="preserve">ía y el manual de gestión contractual: </w:t>
      </w:r>
      <w:r w:rsidRPr="00104F4B">
        <w:rPr>
          <w:rStyle w:val="Ninguno"/>
          <w:rFonts w:cs="Arial"/>
          <w:lang w:val="es-ES_tradnl"/>
        </w:rPr>
        <w:t>Como parte del diseño y ejecución del plan de mejoramiento producto de la Auditor</w:t>
      </w:r>
      <w:r w:rsidRPr="00104F4B">
        <w:rPr>
          <w:rStyle w:val="Ninguno"/>
          <w:rFonts w:cs="Arial"/>
          <w:lang w:val="es-CO"/>
        </w:rPr>
        <w:t>í</w:t>
      </w:r>
      <w:r w:rsidRPr="00104F4B">
        <w:rPr>
          <w:rStyle w:val="Ninguno"/>
          <w:rFonts w:cs="Arial"/>
          <w:lang w:val="es-ES_tradnl"/>
        </w:rPr>
        <w:t>a realizada por la Contralor</w:t>
      </w:r>
      <w:r w:rsidRPr="00104F4B">
        <w:rPr>
          <w:rStyle w:val="Ninguno"/>
          <w:rFonts w:cs="Arial"/>
          <w:lang w:val="es-CO"/>
        </w:rPr>
        <w:t>í</w:t>
      </w:r>
      <w:r w:rsidRPr="00104F4B">
        <w:rPr>
          <w:rStyle w:val="Ninguno"/>
          <w:rFonts w:cs="Arial"/>
          <w:lang w:val="pt-PT"/>
        </w:rPr>
        <w:t>a de Bogot</w:t>
      </w:r>
      <w:r w:rsidRPr="00104F4B">
        <w:rPr>
          <w:rStyle w:val="Ninguno"/>
          <w:rFonts w:cs="Arial"/>
          <w:lang w:val="es-CO"/>
        </w:rPr>
        <w:t>á</w:t>
      </w:r>
      <w:r w:rsidRPr="00104F4B">
        <w:rPr>
          <w:rStyle w:val="Ninguno"/>
          <w:rFonts w:cs="Arial"/>
          <w:lang w:val="es-ES_tradnl"/>
        </w:rPr>
        <w:t xml:space="preserve">, además se revisaron y actualizaron el manual de interventoría y supervisión.  y el Manual de Gestión Contractual, posterior a las diferentes mesas de trabajo en las cuales se analizaron conjuntamente con las áreas técnicas y los asesores jurídicos externos los aspectos más relevantes a incluir en la actualización de estos manuales  </w:t>
      </w:r>
    </w:p>
    <w:p w:rsidR="0024547C" w:rsidRPr="00104F4B" w:rsidRDefault="0024547C" w:rsidP="0091299B">
      <w:pPr>
        <w:pStyle w:val="Cuerpo"/>
        <w:spacing w:line="240" w:lineRule="auto"/>
        <w:jc w:val="both"/>
        <w:rPr>
          <w:rStyle w:val="Ninguno"/>
          <w:rFonts w:cs="Arial"/>
          <w:lang w:val="es-ES_tradnl"/>
        </w:rPr>
      </w:pPr>
    </w:p>
    <w:p w:rsidR="0024547C" w:rsidRPr="00104F4B" w:rsidRDefault="00107CD4" w:rsidP="0091299B">
      <w:pPr>
        <w:pStyle w:val="Cuerpo"/>
        <w:spacing w:line="240" w:lineRule="auto"/>
        <w:jc w:val="both"/>
        <w:rPr>
          <w:rStyle w:val="Ninguno"/>
          <w:rFonts w:cs="Arial"/>
          <w:b/>
          <w:lang w:val="es-ES_tradnl"/>
        </w:rPr>
      </w:pPr>
      <w:r w:rsidRPr="00104F4B">
        <w:rPr>
          <w:rStyle w:val="Ninguno"/>
          <w:rFonts w:cs="Arial"/>
          <w:b/>
          <w:lang w:val="es-ES_tradnl"/>
        </w:rPr>
        <w:t>Gestión Judicial</w:t>
      </w:r>
    </w:p>
    <w:p w:rsidR="0024547C" w:rsidRPr="00104F4B" w:rsidRDefault="0024547C" w:rsidP="0091299B">
      <w:pPr>
        <w:pStyle w:val="Cuerpo"/>
        <w:spacing w:line="240" w:lineRule="auto"/>
        <w:jc w:val="both"/>
        <w:rPr>
          <w:rFonts w:cs="Arial"/>
          <w:bCs/>
          <w:lang w:val="es-CO"/>
        </w:rPr>
      </w:pPr>
    </w:p>
    <w:p w:rsidR="0024547C" w:rsidRPr="00104F4B" w:rsidRDefault="0024547C" w:rsidP="0091299B">
      <w:pPr>
        <w:pStyle w:val="Cuerpo"/>
        <w:spacing w:line="240" w:lineRule="auto"/>
        <w:jc w:val="both"/>
        <w:rPr>
          <w:rFonts w:cs="Arial"/>
          <w:lang w:val="es-MX"/>
        </w:rPr>
      </w:pPr>
      <w:r w:rsidRPr="00104F4B">
        <w:rPr>
          <w:rFonts w:cs="Arial"/>
          <w:bCs/>
          <w:lang w:val="es-CO"/>
        </w:rPr>
        <w:t xml:space="preserve">Las </w:t>
      </w:r>
      <w:r w:rsidRPr="00104F4B">
        <w:rPr>
          <w:rFonts w:cs="Arial"/>
          <w:lang w:val="es-CO"/>
        </w:rPr>
        <w:t xml:space="preserve">Acciones Judiciales vigentes a 31 de diciembre de 2018 y que cursan actualmente ante los diferentes despachos judiciales corresponden a  </w:t>
      </w:r>
      <w:r w:rsidRPr="00104F4B">
        <w:rPr>
          <w:rFonts w:cs="Arial"/>
          <w:b/>
          <w:lang w:val="es-CO"/>
        </w:rPr>
        <w:t xml:space="preserve">1174 </w:t>
      </w:r>
      <w:r w:rsidRPr="00104F4B">
        <w:rPr>
          <w:rFonts w:cs="Arial"/>
          <w:lang w:val="es-CO"/>
        </w:rPr>
        <w:t xml:space="preserve">procesos, por una cuantía aproximada del valor de sus pretensiones que ascienden a </w:t>
      </w:r>
      <w:r w:rsidRPr="00104F4B">
        <w:rPr>
          <w:rFonts w:cs="Arial"/>
          <w:b/>
          <w:lang w:val="es-CO"/>
        </w:rPr>
        <w:t xml:space="preserve"> $2.536.928.682.156</w:t>
      </w:r>
      <w:r w:rsidRPr="00104F4B">
        <w:rPr>
          <w:rFonts w:cs="Arial"/>
          <w:lang w:val="es-CO"/>
        </w:rPr>
        <w:t>.</w:t>
      </w:r>
      <w:r w:rsidRPr="00104F4B">
        <w:rPr>
          <w:rFonts w:cs="Arial"/>
          <w:b/>
          <w:lang w:val="es-MX"/>
        </w:rPr>
        <w:t xml:space="preserve"> </w:t>
      </w:r>
      <w:r w:rsidRPr="00104F4B">
        <w:rPr>
          <w:rFonts w:cs="Arial"/>
          <w:lang w:val="es-MX"/>
        </w:rPr>
        <w:t>Adicionalmente se atienden 95 querellas Policivas y 14 procesos de cobro coactivo de cartera no misional:</w:t>
      </w:r>
    </w:p>
    <w:p w:rsidR="0024547C" w:rsidRPr="00104F4B" w:rsidRDefault="0024547C" w:rsidP="0024547C">
      <w:pPr>
        <w:pStyle w:val="Cuerpo"/>
        <w:jc w:val="both"/>
        <w:rPr>
          <w:rFonts w:cs="Arial"/>
          <w:lang w:val="es-MX"/>
        </w:rPr>
      </w:pPr>
    </w:p>
    <w:tbl>
      <w:tblPr>
        <w:tblW w:w="0" w:type="auto"/>
        <w:jc w:val="center"/>
        <w:tblLayout w:type="fixed"/>
        <w:tblLook w:val="0000" w:firstRow="0" w:lastRow="0" w:firstColumn="0" w:lastColumn="0" w:noHBand="0" w:noVBand="0"/>
      </w:tblPr>
      <w:tblGrid>
        <w:gridCol w:w="4817"/>
        <w:gridCol w:w="3637"/>
      </w:tblGrid>
      <w:tr w:rsidR="0024547C" w:rsidRPr="00104F4B" w:rsidTr="0024547C">
        <w:trPr>
          <w:trHeight w:val="416"/>
          <w:jc w:val="center"/>
        </w:trPr>
        <w:tc>
          <w:tcPr>
            <w:tcW w:w="4817" w:type="dxa"/>
            <w:tcBorders>
              <w:top w:val="single" w:sz="4" w:space="0" w:color="000000"/>
              <w:left w:val="single" w:sz="4" w:space="0" w:color="000000"/>
              <w:bottom w:val="single" w:sz="4" w:space="0" w:color="000000"/>
            </w:tcBorders>
            <w:vAlign w:val="center"/>
          </w:tcPr>
          <w:p w:rsidR="0024547C" w:rsidRPr="00104F4B" w:rsidRDefault="0024547C" w:rsidP="0024547C">
            <w:pPr>
              <w:suppressLineNumbers/>
              <w:tabs>
                <w:tab w:val="center" w:pos="4702"/>
                <w:tab w:val="right" w:pos="9405"/>
              </w:tabs>
              <w:snapToGrid w:val="0"/>
              <w:jc w:val="center"/>
              <w:rPr>
                <w:rFonts w:cs="Arial"/>
                <w:b/>
                <w:sz w:val="16"/>
                <w:szCs w:val="16"/>
              </w:rPr>
            </w:pPr>
            <w:r w:rsidRPr="00104F4B">
              <w:rPr>
                <w:rFonts w:cs="Arial"/>
                <w:lang w:val="es-MX"/>
              </w:rPr>
              <w:t xml:space="preserve"> </w:t>
            </w:r>
            <w:r w:rsidRPr="00104F4B">
              <w:rPr>
                <w:rFonts w:cs="Arial"/>
                <w:b/>
                <w:sz w:val="16"/>
                <w:szCs w:val="16"/>
              </w:rPr>
              <w:t>ACCIONES JUDICIALES VIGENTES</w:t>
            </w:r>
          </w:p>
        </w:tc>
        <w:tc>
          <w:tcPr>
            <w:tcW w:w="3637" w:type="dxa"/>
            <w:tcBorders>
              <w:top w:val="single" w:sz="4" w:space="0" w:color="000000"/>
              <w:left w:val="single" w:sz="4" w:space="0" w:color="000000"/>
              <w:bottom w:val="single" w:sz="4" w:space="0" w:color="000000"/>
              <w:right w:val="single" w:sz="4" w:space="0" w:color="000000"/>
            </w:tcBorders>
            <w:vAlign w:val="center"/>
          </w:tcPr>
          <w:p w:rsidR="0024547C" w:rsidRPr="00104F4B" w:rsidRDefault="0024547C" w:rsidP="0024547C">
            <w:pPr>
              <w:suppressLineNumbers/>
              <w:tabs>
                <w:tab w:val="center" w:pos="4702"/>
                <w:tab w:val="right" w:pos="9405"/>
              </w:tabs>
              <w:snapToGrid w:val="0"/>
              <w:jc w:val="center"/>
              <w:rPr>
                <w:rFonts w:cs="Arial"/>
                <w:b/>
                <w:sz w:val="16"/>
                <w:szCs w:val="16"/>
              </w:rPr>
            </w:pPr>
            <w:r w:rsidRPr="00104F4B">
              <w:rPr>
                <w:rFonts w:cs="Arial"/>
                <w:b/>
                <w:sz w:val="16"/>
                <w:szCs w:val="16"/>
              </w:rPr>
              <w:t>CUANTÍA APROX.  DE LAS PRETENSIONES DE LA DEMANDA</w:t>
            </w:r>
          </w:p>
        </w:tc>
      </w:tr>
      <w:tr w:rsidR="0024547C" w:rsidRPr="00104F4B" w:rsidTr="0024547C">
        <w:trPr>
          <w:trHeight w:val="384"/>
          <w:jc w:val="center"/>
        </w:trPr>
        <w:tc>
          <w:tcPr>
            <w:tcW w:w="4817" w:type="dxa"/>
            <w:tcBorders>
              <w:top w:val="single" w:sz="4" w:space="0" w:color="000000"/>
              <w:left w:val="single" w:sz="4" w:space="0" w:color="000000"/>
              <w:bottom w:val="single" w:sz="4" w:space="0" w:color="000000"/>
            </w:tcBorders>
          </w:tcPr>
          <w:p w:rsidR="0024547C" w:rsidRPr="00104F4B" w:rsidRDefault="0024547C" w:rsidP="0024547C">
            <w:pPr>
              <w:suppressLineNumbers/>
              <w:tabs>
                <w:tab w:val="center" w:pos="4702"/>
                <w:tab w:val="right" w:pos="9405"/>
              </w:tabs>
              <w:snapToGrid w:val="0"/>
              <w:jc w:val="center"/>
              <w:rPr>
                <w:rFonts w:cs="Arial"/>
                <w:sz w:val="16"/>
                <w:szCs w:val="16"/>
              </w:rPr>
            </w:pPr>
            <w:r w:rsidRPr="00104F4B">
              <w:rPr>
                <w:rFonts w:cs="Arial"/>
                <w:sz w:val="16"/>
                <w:szCs w:val="16"/>
              </w:rPr>
              <w:t>Iniciados por el IDU                  ( 218 Procesos )</w:t>
            </w:r>
          </w:p>
        </w:tc>
        <w:tc>
          <w:tcPr>
            <w:tcW w:w="3637" w:type="dxa"/>
            <w:tcBorders>
              <w:top w:val="single" w:sz="4" w:space="0" w:color="000000"/>
              <w:left w:val="single" w:sz="4" w:space="0" w:color="000000"/>
              <w:bottom w:val="single" w:sz="4" w:space="0" w:color="000000"/>
              <w:right w:val="single" w:sz="4" w:space="0" w:color="000000"/>
            </w:tcBorders>
          </w:tcPr>
          <w:p w:rsidR="0024547C" w:rsidRPr="00104F4B" w:rsidRDefault="0024547C" w:rsidP="0024547C">
            <w:pPr>
              <w:suppressLineNumbers/>
              <w:tabs>
                <w:tab w:val="center" w:pos="4702"/>
                <w:tab w:val="right" w:pos="9405"/>
              </w:tabs>
              <w:snapToGrid w:val="0"/>
              <w:jc w:val="center"/>
              <w:rPr>
                <w:rFonts w:cs="Arial"/>
                <w:sz w:val="16"/>
                <w:szCs w:val="16"/>
              </w:rPr>
            </w:pPr>
            <w:r w:rsidRPr="00104F4B">
              <w:rPr>
                <w:rFonts w:cs="Arial"/>
                <w:sz w:val="16"/>
                <w:szCs w:val="16"/>
              </w:rPr>
              <w:t>$270.119.717.070</w:t>
            </w:r>
          </w:p>
        </w:tc>
      </w:tr>
      <w:tr w:rsidR="0024547C" w:rsidRPr="00104F4B" w:rsidTr="0024547C">
        <w:trPr>
          <w:trHeight w:val="337"/>
          <w:jc w:val="center"/>
        </w:trPr>
        <w:tc>
          <w:tcPr>
            <w:tcW w:w="4817" w:type="dxa"/>
            <w:tcBorders>
              <w:top w:val="single" w:sz="4" w:space="0" w:color="000000"/>
              <w:left w:val="single" w:sz="4" w:space="0" w:color="000000"/>
              <w:bottom w:val="single" w:sz="4" w:space="0" w:color="000000"/>
            </w:tcBorders>
          </w:tcPr>
          <w:p w:rsidR="0024547C" w:rsidRPr="00104F4B" w:rsidRDefault="0024547C" w:rsidP="0024547C">
            <w:pPr>
              <w:suppressLineNumbers/>
              <w:tabs>
                <w:tab w:val="center" w:pos="4702"/>
                <w:tab w:val="right" w:pos="9405"/>
              </w:tabs>
              <w:snapToGrid w:val="0"/>
              <w:jc w:val="center"/>
              <w:rPr>
                <w:rFonts w:cs="Arial"/>
                <w:sz w:val="16"/>
                <w:szCs w:val="16"/>
              </w:rPr>
            </w:pPr>
            <w:r w:rsidRPr="00104F4B">
              <w:rPr>
                <w:rFonts w:cs="Arial"/>
                <w:sz w:val="16"/>
                <w:szCs w:val="16"/>
              </w:rPr>
              <w:t>En contra del IDU                      ( 956 Procesos )</w:t>
            </w:r>
          </w:p>
        </w:tc>
        <w:tc>
          <w:tcPr>
            <w:tcW w:w="3637" w:type="dxa"/>
            <w:tcBorders>
              <w:top w:val="single" w:sz="4" w:space="0" w:color="000000"/>
              <w:left w:val="single" w:sz="4" w:space="0" w:color="000000"/>
              <w:bottom w:val="single" w:sz="4" w:space="0" w:color="000000"/>
              <w:right w:val="single" w:sz="4" w:space="0" w:color="000000"/>
            </w:tcBorders>
          </w:tcPr>
          <w:p w:rsidR="0024547C" w:rsidRPr="00104F4B" w:rsidRDefault="0024547C" w:rsidP="0024547C">
            <w:pPr>
              <w:suppressLineNumbers/>
              <w:tabs>
                <w:tab w:val="center" w:pos="4702"/>
                <w:tab w:val="right" w:pos="9405"/>
              </w:tabs>
              <w:snapToGrid w:val="0"/>
              <w:jc w:val="center"/>
              <w:rPr>
                <w:rFonts w:cs="Arial"/>
                <w:sz w:val="16"/>
                <w:szCs w:val="16"/>
              </w:rPr>
            </w:pPr>
            <w:r w:rsidRPr="00104F4B">
              <w:rPr>
                <w:rFonts w:cs="Arial"/>
                <w:sz w:val="16"/>
                <w:szCs w:val="16"/>
              </w:rPr>
              <w:t>$2.266.809.065.086</w:t>
            </w:r>
          </w:p>
        </w:tc>
      </w:tr>
    </w:tbl>
    <w:p w:rsidR="0024547C" w:rsidRPr="00104F4B" w:rsidRDefault="0024547C" w:rsidP="0024547C">
      <w:pPr>
        <w:jc w:val="center"/>
        <w:rPr>
          <w:rFonts w:cs="Arial"/>
          <w:b/>
          <w:sz w:val="16"/>
          <w:szCs w:val="16"/>
        </w:rPr>
      </w:pPr>
      <w:r w:rsidRPr="00104F4B">
        <w:rPr>
          <w:rFonts w:cs="Arial"/>
          <w:b/>
          <w:sz w:val="16"/>
          <w:szCs w:val="16"/>
        </w:rPr>
        <w:t>DTGJ-Acciones Judiciales 2018</w:t>
      </w:r>
    </w:p>
    <w:p w:rsidR="005C3D90" w:rsidRPr="00104F4B" w:rsidRDefault="005C3D90" w:rsidP="0024547C">
      <w:pPr>
        <w:jc w:val="center"/>
        <w:rPr>
          <w:rFonts w:cs="Arial"/>
          <w:b/>
          <w:sz w:val="24"/>
        </w:rPr>
      </w:pPr>
      <w:r w:rsidRPr="005C3D90">
        <w:rPr>
          <w:noProof/>
          <w:lang w:val="es-CO" w:eastAsia="es-CO"/>
        </w:rPr>
        <w:lastRenderedPageBreak/>
        <w:drawing>
          <wp:inline distT="0" distB="0" distL="0" distR="0">
            <wp:extent cx="2984626" cy="2051437"/>
            <wp:effectExtent l="0" t="0" r="6350" b="635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985966" cy="2052358"/>
                    </a:xfrm>
                    <a:prstGeom prst="rect">
                      <a:avLst/>
                    </a:prstGeom>
                    <a:noFill/>
                    <a:ln>
                      <a:noFill/>
                    </a:ln>
                  </pic:spPr>
                </pic:pic>
              </a:graphicData>
            </a:graphic>
          </wp:inline>
        </w:drawing>
      </w:r>
    </w:p>
    <w:p w:rsidR="0024547C" w:rsidRPr="00104F4B" w:rsidRDefault="0024547C" w:rsidP="0024547C">
      <w:pPr>
        <w:rPr>
          <w:rFonts w:cs="Arial"/>
          <w:bCs/>
          <w:szCs w:val="22"/>
        </w:rPr>
      </w:pPr>
      <w:r w:rsidRPr="00104F4B">
        <w:rPr>
          <w:rFonts w:cs="Arial"/>
          <w:bCs/>
          <w:szCs w:val="22"/>
        </w:rPr>
        <w:t>Esta Dirección, para el periodo comprendido entre el 01 de enero y el 31 de diciembre de 2018, se notificó y ejerció la representación judicial en 338 acciones judiciales.</w:t>
      </w:r>
    </w:p>
    <w:p w:rsidR="00107CD4" w:rsidRPr="00104F4B" w:rsidRDefault="00107CD4" w:rsidP="0024547C">
      <w:pPr>
        <w:rPr>
          <w:rFonts w:cs="Arial"/>
          <w:bCs/>
          <w:szCs w:val="22"/>
        </w:rPr>
      </w:pPr>
    </w:p>
    <w:tbl>
      <w:tblPr>
        <w:tblW w:w="7083" w:type="dxa"/>
        <w:jc w:val="center"/>
        <w:tblCellMar>
          <w:left w:w="70" w:type="dxa"/>
          <w:right w:w="70" w:type="dxa"/>
        </w:tblCellMar>
        <w:tblLook w:val="04A0" w:firstRow="1" w:lastRow="0" w:firstColumn="1" w:lastColumn="0" w:noHBand="0" w:noVBand="1"/>
      </w:tblPr>
      <w:tblGrid>
        <w:gridCol w:w="3607"/>
        <w:gridCol w:w="1240"/>
        <w:gridCol w:w="2236"/>
      </w:tblGrid>
      <w:tr w:rsidR="0024547C" w:rsidRPr="00104F4B" w:rsidTr="0024547C">
        <w:trPr>
          <w:trHeight w:val="255"/>
          <w:jc w:val="center"/>
        </w:trPr>
        <w:tc>
          <w:tcPr>
            <w:tcW w:w="36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4547C" w:rsidRPr="00104F4B" w:rsidRDefault="0024547C" w:rsidP="0024547C">
            <w:pPr>
              <w:jc w:val="center"/>
              <w:rPr>
                <w:rFonts w:cs="Arial"/>
                <w:b/>
                <w:sz w:val="16"/>
                <w:szCs w:val="16"/>
                <w:lang w:eastAsia="es-CO"/>
              </w:rPr>
            </w:pPr>
            <w:r w:rsidRPr="00104F4B">
              <w:rPr>
                <w:rFonts w:cs="Arial"/>
                <w:b/>
                <w:sz w:val="16"/>
                <w:szCs w:val="16"/>
                <w:lang w:eastAsia="es-CO"/>
              </w:rPr>
              <w:t>TIPO DE PROCESO</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24547C" w:rsidRPr="00104F4B" w:rsidRDefault="0024547C" w:rsidP="0024547C">
            <w:pPr>
              <w:jc w:val="center"/>
              <w:rPr>
                <w:rFonts w:cs="Arial"/>
                <w:b/>
                <w:sz w:val="16"/>
                <w:szCs w:val="16"/>
                <w:lang w:eastAsia="es-CO"/>
              </w:rPr>
            </w:pPr>
            <w:r w:rsidRPr="00104F4B">
              <w:rPr>
                <w:rFonts w:cs="Arial"/>
                <w:b/>
                <w:sz w:val="16"/>
                <w:szCs w:val="16"/>
                <w:lang w:eastAsia="es-CO"/>
              </w:rPr>
              <w:t>No. Procesos</w:t>
            </w:r>
          </w:p>
        </w:tc>
        <w:tc>
          <w:tcPr>
            <w:tcW w:w="2236" w:type="dxa"/>
            <w:tcBorders>
              <w:top w:val="single" w:sz="4" w:space="0" w:color="auto"/>
              <w:left w:val="nil"/>
              <w:bottom w:val="single" w:sz="4" w:space="0" w:color="auto"/>
              <w:right w:val="single" w:sz="4" w:space="0" w:color="auto"/>
            </w:tcBorders>
            <w:shd w:val="clear" w:color="auto" w:fill="auto"/>
            <w:noWrap/>
            <w:vAlign w:val="center"/>
            <w:hideMark/>
          </w:tcPr>
          <w:p w:rsidR="0024547C" w:rsidRPr="00104F4B" w:rsidRDefault="0024547C" w:rsidP="0024547C">
            <w:pPr>
              <w:jc w:val="center"/>
              <w:rPr>
                <w:rFonts w:cs="Arial"/>
                <w:b/>
                <w:sz w:val="16"/>
                <w:szCs w:val="16"/>
                <w:lang w:eastAsia="es-CO"/>
              </w:rPr>
            </w:pPr>
            <w:r w:rsidRPr="00104F4B">
              <w:rPr>
                <w:rFonts w:cs="Arial"/>
                <w:b/>
                <w:sz w:val="16"/>
                <w:szCs w:val="16"/>
                <w:lang w:eastAsia="es-CO"/>
              </w:rPr>
              <w:t>VR. TOTAL</w:t>
            </w:r>
          </w:p>
        </w:tc>
      </w:tr>
      <w:tr w:rsidR="0024547C" w:rsidRPr="00104F4B" w:rsidTr="0024547C">
        <w:trPr>
          <w:trHeight w:val="255"/>
          <w:jc w:val="center"/>
        </w:trPr>
        <w:tc>
          <w:tcPr>
            <w:tcW w:w="3607" w:type="dxa"/>
            <w:tcBorders>
              <w:top w:val="nil"/>
              <w:left w:val="single" w:sz="4" w:space="0" w:color="auto"/>
              <w:bottom w:val="single" w:sz="4" w:space="0" w:color="auto"/>
              <w:right w:val="single" w:sz="4" w:space="0" w:color="auto"/>
            </w:tcBorders>
            <w:shd w:val="clear" w:color="auto" w:fill="auto"/>
            <w:noWrap/>
            <w:vAlign w:val="bottom"/>
            <w:hideMark/>
          </w:tcPr>
          <w:p w:rsidR="0024547C" w:rsidRPr="00104F4B" w:rsidRDefault="0024547C" w:rsidP="0024547C">
            <w:pPr>
              <w:rPr>
                <w:rFonts w:cs="Arial"/>
                <w:sz w:val="16"/>
                <w:szCs w:val="16"/>
                <w:lang w:eastAsia="es-CO"/>
              </w:rPr>
            </w:pPr>
            <w:r w:rsidRPr="00104F4B">
              <w:rPr>
                <w:rFonts w:cs="Arial"/>
                <w:sz w:val="16"/>
                <w:szCs w:val="16"/>
                <w:lang w:eastAsia="es-CO"/>
              </w:rPr>
              <w:t>ACCIÓN DE CUMPLIMIENTO</w:t>
            </w:r>
          </w:p>
        </w:tc>
        <w:tc>
          <w:tcPr>
            <w:tcW w:w="1240" w:type="dxa"/>
            <w:tcBorders>
              <w:top w:val="nil"/>
              <w:left w:val="nil"/>
              <w:bottom w:val="single" w:sz="4" w:space="0" w:color="auto"/>
              <w:right w:val="single" w:sz="4" w:space="0" w:color="auto"/>
            </w:tcBorders>
            <w:shd w:val="clear" w:color="auto" w:fill="auto"/>
            <w:noWrap/>
            <w:vAlign w:val="bottom"/>
            <w:hideMark/>
          </w:tcPr>
          <w:p w:rsidR="0024547C" w:rsidRPr="00104F4B" w:rsidRDefault="0024547C" w:rsidP="0024547C">
            <w:pPr>
              <w:jc w:val="center"/>
              <w:rPr>
                <w:rFonts w:cs="Arial"/>
                <w:sz w:val="16"/>
                <w:szCs w:val="16"/>
                <w:lang w:eastAsia="es-CO"/>
              </w:rPr>
            </w:pPr>
            <w:r w:rsidRPr="00104F4B">
              <w:rPr>
                <w:rFonts w:cs="Arial"/>
                <w:sz w:val="16"/>
                <w:szCs w:val="16"/>
                <w:lang w:eastAsia="es-CO"/>
              </w:rPr>
              <w:t>1</w:t>
            </w:r>
          </w:p>
        </w:tc>
        <w:tc>
          <w:tcPr>
            <w:tcW w:w="2236" w:type="dxa"/>
            <w:tcBorders>
              <w:top w:val="nil"/>
              <w:left w:val="nil"/>
              <w:bottom w:val="single" w:sz="4" w:space="0" w:color="auto"/>
              <w:right w:val="single" w:sz="4" w:space="0" w:color="auto"/>
            </w:tcBorders>
            <w:shd w:val="clear" w:color="auto" w:fill="auto"/>
            <w:noWrap/>
            <w:vAlign w:val="bottom"/>
            <w:hideMark/>
          </w:tcPr>
          <w:p w:rsidR="0024547C" w:rsidRPr="00104F4B" w:rsidRDefault="0024547C" w:rsidP="0024547C">
            <w:pPr>
              <w:jc w:val="center"/>
              <w:rPr>
                <w:rFonts w:cs="Arial"/>
                <w:sz w:val="16"/>
                <w:szCs w:val="16"/>
                <w:lang w:eastAsia="es-CO"/>
              </w:rPr>
            </w:pPr>
            <w:r w:rsidRPr="00104F4B">
              <w:rPr>
                <w:rFonts w:cs="Arial"/>
                <w:sz w:val="16"/>
                <w:szCs w:val="16"/>
                <w:lang w:eastAsia="es-CO"/>
              </w:rPr>
              <w:t>-</w:t>
            </w:r>
          </w:p>
        </w:tc>
      </w:tr>
      <w:tr w:rsidR="0024547C" w:rsidRPr="00104F4B" w:rsidTr="0024547C">
        <w:trPr>
          <w:trHeight w:val="255"/>
          <w:jc w:val="center"/>
        </w:trPr>
        <w:tc>
          <w:tcPr>
            <w:tcW w:w="3607" w:type="dxa"/>
            <w:tcBorders>
              <w:top w:val="nil"/>
              <w:left w:val="single" w:sz="4" w:space="0" w:color="auto"/>
              <w:bottom w:val="single" w:sz="4" w:space="0" w:color="auto"/>
              <w:right w:val="single" w:sz="4" w:space="0" w:color="auto"/>
            </w:tcBorders>
            <w:shd w:val="clear" w:color="auto" w:fill="auto"/>
            <w:noWrap/>
            <w:vAlign w:val="bottom"/>
            <w:hideMark/>
          </w:tcPr>
          <w:p w:rsidR="0024547C" w:rsidRPr="00104F4B" w:rsidRDefault="0024547C" w:rsidP="0024547C">
            <w:pPr>
              <w:rPr>
                <w:rFonts w:cs="Arial"/>
                <w:sz w:val="16"/>
                <w:szCs w:val="16"/>
                <w:lang w:eastAsia="es-CO"/>
              </w:rPr>
            </w:pPr>
            <w:r w:rsidRPr="00104F4B">
              <w:rPr>
                <w:rFonts w:cs="Arial"/>
                <w:sz w:val="16"/>
                <w:szCs w:val="16"/>
                <w:lang w:eastAsia="es-CO"/>
              </w:rPr>
              <w:t>ACCIÓN DE TUTELA</w:t>
            </w:r>
          </w:p>
        </w:tc>
        <w:tc>
          <w:tcPr>
            <w:tcW w:w="1240" w:type="dxa"/>
            <w:tcBorders>
              <w:top w:val="nil"/>
              <w:left w:val="nil"/>
              <w:bottom w:val="single" w:sz="4" w:space="0" w:color="auto"/>
              <w:right w:val="single" w:sz="4" w:space="0" w:color="auto"/>
            </w:tcBorders>
            <w:shd w:val="clear" w:color="auto" w:fill="auto"/>
            <w:noWrap/>
            <w:vAlign w:val="bottom"/>
            <w:hideMark/>
          </w:tcPr>
          <w:p w:rsidR="0024547C" w:rsidRPr="00104F4B" w:rsidRDefault="0024547C" w:rsidP="0024547C">
            <w:pPr>
              <w:jc w:val="center"/>
              <w:rPr>
                <w:rFonts w:cs="Arial"/>
                <w:sz w:val="16"/>
                <w:szCs w:val="16"/>
                <w:lang w:eastAsia="es-CO"/>
              </w:rPr>
            </w:pPr>
            <w:r w:rsidRPr="00104F4B">
              <w:rPr>
                <w:rFonts w:cs="Arial"/>
                <w:sz w:val="16"/>
                <w:szCs w:val="16"/>
                <w:lang w:eastAsia="es-CO"/>
              </w:rPr>
              <w:t>140</w:t>
            </w:r>
          </w:p>
        </w:tc>
        <w:tc>
          <w:tcPr>
            <w:tcW w:w="2236" w:type="dxa"/>
            <w:tcBorders>
              <w:top w:val="nil"/>
              <w:left w:val="nil"/>
              <w:bottom w:val="single" w:sz="4" w:space="0" w:color="auto"/>
              <w:right w:val="single" w:sz="4" w:space="0" w:color="auto"/>
            </w:tcBorders>
            <w:shd w:val="clear" w:color="auto" w:fill="auto"/>
            <w:noWrap/>
            <w:vAlign w:val="bottom"/>
            <w:hideMark/>
          </w:tcPr>
          <w:p w:rsidR="0024547C" w:rsidRPr="00104F4B" w:rsidRDefault="0024547C" w:rsidP="0024547C">
            <w:pPr>
              <w:jc w:val="center"/>
              <w:rPr>
                <w:rFonts w:cs="Arial"/>
                <w:sz w:val="16"/>
                <w:szCs w:val="16"/>
                <w:lang w:eastAsia="es-CO"/>
              </w:rPr>
            </w:pPr>
            <w:r w:rsidRPr="00104F4B">
              <w:rPr>
                <w:rFonts w:cs="Arial"/>
                <w:sz w:val="16"/>
                <w:szCs w:val="16"/>
                <w:lang w:eastAsia="es-CO"/>
              </w:rPr>
              <w:t>-</w:t>
            </w:r>
          </w:p>
        </w:tc>
      </w:tr>
      <w:tr w:rsidR="0024547C" w:rsidRPr="00104F4B" w:rsidTr="0024547C">
        <w:trPr>
          <w:trHeight w:val="255"/>
          <w:jc w:val="center"/>
        </w:trPr>
        <w:tc>
          <w:tcPr>
            <w:tcW w:w="3607" w:type="dxa"/>
            <w:tcBorders>
              <w:top w:val="nil"/>
              <w:left w:val="single" w:sz="4" w:space="0" w:color="auto"/>
              <w:bottom w:val="single" w:sz="4" w:space="0" w:color="auto"/>
              <w:right w:val="single" w:sz="4" w:space="0" w:color="auto"/>
            </w:tcBorders>
            <w:shd w:val="clear" w:color="auto" w:fill="auto"/>
            <w:noWrap/>
            <w:vAlign w:val="bottom"/>
            <w:hideMark/>
          </w:tcPr>
          <w:p w:rsidR="0024547C" w:rsidRPr="00104F4B" w:rsidRDefault="0024547C" w:rsidP="0024547C">
            <w:pPr>
              <w:rPr>
                <w:rFonts w:cs="Arial"/>
                <w:sz w:val="16"/>
                <w:szCs w:val="16"/>
                <w:lang w:eastAsia="es-CO"/>
              </w:rPr>
            </w:pPr>
            <w:r w:rsidRPr="00104F4B">
              <w:rPr>
                <w:rFonts w:cs="Arial"/>
                <w:sz w:val="16"/>
                <w:szCs w:val="16"/>
                <w:lang w:eastAsia="es-CO"/>
              </w:rPr>
              <w:t>ACCIÓN POPULAR</w:t>
            </w:r>
          </w:p>
        </w:tc>
        <w:tc>
          <w:tcPr>
            <w:tcW w:w="1240" w:type="dxa"/>
            <w:tcBorders>
              <w:top w:val="nil"/>
              <w:left w:val="nil"/>
              <w:bottom w:val="single" w:sz="4" w:space="0" w:color="auto"/>
              <w:right w:val="single" w:sz="4" w:space="0" w:color="auto"/>
            </w:tcBorders>
            <w:shd w:val="clear" w:color="auto" w:fill="auto"/>
            <w:noWrap/>
            <w:vAlign w:val="bottom"/>
            <w:hideMark/>
          </w:tcPr>
          <w:p w:rsidR="0024547C" w:rsidRPr="00104F4B" w:rsidRDefault="0024547C" w:rsidP="0024547C">
            <w:pPr>
              <w:jc w:val="center"/>
              <w:rPr>
                <w:rFonts w:cs="Arial"/>
                <w:sz w:val="16"/>
                <w:szCs w:val="16"/>
                <w:lang w:eastAsia="es-CO"/>
              </w:rPr>
            </w:pPr>
            <w:r w:rsidRPr="00104F4B">
              <w:rPr>
                <w:rFonts w:cs="Arial"/>
                <w:sz w:val="16"/>
                <w:szCs w:val="16"/>
                <w:lang w:eastAsia="es-CO"/>
              </w:rPr>
              <w:t>12</w:t>
            </w:r>
          </w:p>
        </w:tc>
        <w:tc>
          <w:tcPr>
            <w:tcW w:w="2236" w:type="dxa"/>
            <w:tcBorders>
              <w:top w:val="nil"/>
              <w:left w:val="nil"/>
              <w:bottom w:val="single" w:sz="4" w:space="0" w:color="auto"/>
              <w:right w:val="single" w:sz="4" w:space="0" w:color="auto"/>
            </w:tcBorders>
            <w:shd w:val="clear" w:color="auto" w:fill="auto"/>
            <w:noWrap/>
            <w:vAlign w:val="bottom"/>
            <w:hideMark/>
          </w:tcPr>
          <w:p w:rsidR="0024547C" w:rsidRPr="00104F4B" w:rsidRDefault="0024547C" w:rsidP="0024547C">
            <w:pPr>
              <w:jc w:val="center"/>
              <w:rPr>
                <w:rFonts w:cs="Arial"/>
                <w:sz w:val="16"/>
                <w:szCs w:val="16"/>
                <w:lang w:eastAsia="es-CO"/>
              </w:rPr>
            </w:pPr>
            <w:r w:rsidRPr="00104F4B">
              <w:rPr>
                <w:rFonts w:cs="Arial"/>
                <w:sz w:val="16"/>
                <w:szCs w:val="16"/>
                <w:lang w:eastAsia="es-CO"/>
              </w:rPr>
              <w:t>-</w:t>
            </w:r>
          </w:p>
        </w:tc>
      </w:tr>
      <w:tr w:rsidR="0024547C" w:rsidRPr="00104F4B" w:rsidTr="0024547C">
        <w:trPr>
          <w:trHeight w:val="255"/>
          <w:jc w:val="center"/>
        </w:trPr>
        <w:tc>
          <w:tcPr>
            <w:tcW w:w="3607" w:type="dxa"/>
            <w:tcBorders>
              <w:top w:val="nil"/>
              <w:left w:val="single" w:sz="4" w:space="0" w:color="auto"/>
              <w:bottom w:val="single" w:sz="4" w:space="0" w:color="auto"/>
              <w:right w:val="single" w:sz="4" w:space="0" w:color="auto"/>
            </w:tcBorders>
            <w:shd w:val="clear" w:color="auto" w:fill="auto"/>
            <w:noWrap/>
            <w:vAlign w:val="bottom"/>
            <w:hideMark/>
          </w:tcPr>
          <w:p w:rsidR="0024547C" w:rsidRPr="00104F4B" w:rsidRDefault="0024547C" w:rsidP="0024547C">
            <w:pPr>
              <w:rPr>
                <w:rFonts w:cs="Arial"/>
                <w:sz w:val="16"/>
                <w:szCs w:val="16"/>
                <w:lang w:eastAsia="es-CO"/>
              </w:rPr>
            </w:pPr>
            <w:r w:rsidRPr="00104F4B">
              <w:rPr>
                <w:rFonts w:cs="Arial"/>
                <w:sz w:val="16"/>
                <w:szCs w:val="16"/>
                <w:lang w:eastAsia="es-CO"/>
              </w:rPr>
              <w:t>CONCILIACIÓN EXTRAJUDICIAL</w:t>
            </w:r>
          </w:p>
        </w:tc>
        <w:tc>
          <w:tcPr>
            <w:tcW w:w="1240" w:type="dxa"/>
            <w:tcBorders>
              <w:top w:val="nil"/>
              <w:left w:val="nil"/>
              <w:bottom w:val="single" w:sz="4" w:space="0" w:color="auto"/>
              <w:right w:val="single" w:sz="4" w:space="0" w:color="auto"/>
            </w:tcBorders>
            <w:shd w:val="clear" w:color="auto" w:fill="auto"/>
            <w:noWrap/>
            <w:vAlign w:val="bottom"/>
            <w:hideMark/>
          </w:tcPr>
          <w:p w:rsidR="0024547C" w:rsidRPr="00104F4B" w:rsidRDefault="0024547C" w:rsidP="0024547C">
            <w:pPr>
              <w:jc w:val="center"/>
              <w:rPr>
                <w:rFonts w:cs="Arial"/>
                <w:sz w:val="16"/>
                <w:szCs w:val="16"/>
                <w:lang w:eastAsia="es-CO"/>
              </w:rPr>
            </w:pPr>
            <w:r w:rsidRPr="00104F4B">
              <w:rPr>
                <w:rFonts w:cs="Arial"/>
                <w:sz w:val="16"/>
                <w:szCs w:val="16"/>
                <w:lang w:eastAsia="es-CO"/>
              </w:rPr>
              <w:t>99</w:t>
            </w:r>
          </w:p>
        </w:tc>
        <w:tc>
          <w:tcPr>
            <w:tcW w:w="2236" w:type="dxa"/>
            <w:tcBorders>
              <w:top w:val="nil"/>
              <w:left w:val="nil"/>
              <w:bottom w:val="single" w:sz="4" w:space="0" w:color="auto"/>
              <w:right w:val="single" w:sz="4" w:space="0" w:color="auto"/>
            </w:tcBorders>
            <w:shd w:val="clear" w:color="auto" w:fill="auto"/>
            <w:noWrap/>
            <w:vAlign w:val="bottom"/>
            <w:hideMark/>
          </w:tcPr>
          <w:p w:rsidR="0024547C" w:rsidRPr="00104F4B" w:rsidRDefault="0024547C" w:rsidP="0024547C">
            <w:pPr>
              <w:jc w:val="center"/>
              <w:rPr>
                <w:rFonts w:cs="Arial"/>
                <w:sz w:val="16"/>
                <w:szCs w:val="16"/>
                <w:lang w:eastAsia="es-CO"/>
              </w:rPr>
            </w:pPr>
            <w:r w:rsidRPr="00104F4B">
              <w:rPr>
                <w:rFonts w:cs="Arial"/>
                <w:sz w:val="16"/>
                <w:szCs w:val="16"/>
                <w:lang w:eastAsia="es-CO"/>
              </w:rPr>
              <w:t>$172.293.864.757</w:t>
            </w:r>
          </w:p>
        </w:tc>
      </w:tr>
      <w:tr w:rsidR="0024547C" w:rsidRPr="00104F4B" w:rsidTr="0024547C">
        <w:trPr>
          <w:trHeight w:val="255"/>
          <w:jc w:val="center"/>
        </w:trPr>
        <w:tc>
          <w:tcPr>
            <w:tcW w:w="3607" w:type="dxa"/>
            <w:tcBorders>
              <w:top w:val="nil"/>
              <w:left w:val="single" w:sz="4" w:space="0" w:color="auto"/>
              <w:bottom w:val="single" w:sz="4" w:space="0" w:color="auto"/>
              <w:right w:val="single" w:sz="4" w:space="0" w:color="auto"/>
            </w:tcBorders>
            <w:shd w:val="clear" w:color="auto" w:fill="auto"/>
            <w:noWrap/>
            <w:vAlign w:val="bottom"/>
            <w:hideMark/>
          </w:tcPr>
          <w:p w:rsidR="0024547C" w:rsidRPr="00104F4B" w:rsidRDefault="0024547C" w:rsidP="0024547C">
            <w:pPr>
              <w:rPr>
                <w:rFonts w:cs="Arial"/>
                <w:sz w:val="16"/>
                <w:szCs w:val="16"/>
                <w:lang w:eastAsia="es-CO"/>
              </w:rPr>
            </w:pPr>
            <w:r w:rsidRPr="00104F4B">
              <w:rPr>
                <w:rFonts w:cs="Arial"/>
                <w:sz w:val="16"/>
                <w:szCs w:val="16"/>
                <w:lang w:eastAsia="es-CO"/>
              </w:rPr>
              <w:t>CONTRACTUAL</w:t>
            </w:r>
          </w:p>
        </w:tc>
        <w:tc>
          <w:tcPr>
            <w:tcW w:w="1240" w:type="dxa"/>
            <w:tcBorders>
              <w:top w:val="nil"/>
              <w:left w:val="nil"/>
              <w:bottom w:val="single" w:sz="4" w:space="0" w:color="auto"/>
              <w:right w:val="single" w:sz="4" w:space="0" w:color="auto"/>
            </w:tcBorders>
            <w:shd w:val="clear" w:color="auto" w:fill="auto"/>
            <w:noWrap/>
            <w:vAlign w:val="bottom"/>
            <w:hideMark/>
          </w:tcPr>
          <w:p w:rsidR="0024547C" w:rsidRPr="00104F4B" w:rsidRDefault="0024547C" w:rsidP="0024547C">
            <w:pPr>
              <w:jc w:val="center"/>
              <w:rPr>
                <w:rFonts w:cs="Arial"/>
                <w:sz w:val="16"/>
                <w:szCs w:val="16"/>
                <w:lang w:eastAsia="es-CO"/>
              </w:rPr>
            </w:pPr>
            <w:r w:rsidRPr="00104F4B">
              <w:rPr>
                <w:rFonts w:cs="Arial"/>
                <w:sz w:val="16"/>
                <w:szCs w:val="16"/>
                <w:lang w:eastAsia="es-CO"/>
              </w:rPr>
              <w:t>7</w:t>
            </w:r>
          </w:p>
        </w:tc>
        <w:tc>
          <w:tcPr>
            <w:tcW w:w="2236" w:type="dxa"/>
            <w:tcBorders>
              <w:top w:val="nil"/>
              <w:left w:val="nil"/>
              <w:bottom w:val="single" w:sz="4" w:space="0" w:color="auto"/>
              <w:right w:val="single" w:sz="4" w:space="0" w:color="auto"/>
            </w:tcBorders>
            <w:shd w:val="clear" w:color="auto" w:fill="auto"/>
            <w:noWrap/>
            <w:vAlign w:val="bottom"/>
            <w:hideMark/>
          </w:tcPr>
          <w:p w:rsidR="0024547C" w:rsidRPr="00104F4B" w:rsidRDefault="0024547C" w:rsidP="0024547C">
            <w:pPr>
              <w:jc w:val="center"/>
              <w:rPr>
                <w:rFonts w:cs="Arial"/>
                <w:sz w:val="16"/>
                <w:szCs w:val="16"/>
                <w:lang w:eastAsia="es-CO"/>
              </w:rPr>
            </w:pPr>
            <w:r w:rsidRPr="00104F4B">
              <w:rPr>
                <w:rFonts w:cs="Arial"/>
                <w:sz w:val="16"/>
                <w:szCs w:val="16"/>
                <w:lang w:eastAsia="es-CO"/>
              </w:rPr>
              <w:t>$11.354.957.051</w:t>
            </w:r>
          </w:p>
        </w:tc>
      </w:tr>
      <w:tr w:rsidR="0024547C" w:rsidRPr="00104F4B" w:rsidTr="0024547C">
        <w:trPr>
          <w:trHeight w:val="255"/>
          <w:jc w:val="center"/>
        </w:trPr>
        <w:tc>
          <w:tcPr>
            <w:tcW w:w="3607" w:type="dxa"/>
            <w:tcBorders>
              <w:top w:val="nil"/>
              <w:left w:val="single" w:sz="4" w:space="0" w:color="auto"/>
              <w:bottom w:val="single" w:sz="4" w:space="0" w:color="auto"/>
              <w:right w:val="single" w:sz="4" w:space="0" w:color="auto"/>
            </w:tcBorders>
            <w:shd w:val="clear" w:color="auto" w:fill="auto"/>
            <w:noWrap/>
            <w:vAlign w:val="bottom"/>
            <w:hideMark/>
          </w:tcPr>
          <w:p w:rsidR="0024547C" w:rsidRPr="00104F4B" w:rsidRDefault="0024547C" w:rsidP="0024547C">
            <w:pPr>
              <w:rPr>
                <w:rFonts w:cs="Arial"/>
                <w:sz w:val="16"/>
                <w:szCs w:val="16"/>
                <w:lang w:eastAsia="es-CO"/>
              </w:rPr>
            </w:pPr>
            <w:r w:rsidRPr="00104F4B">
              <w:rPr>
                <w:rFonts w:cs="Arial"/>
                <w:sz w:val="16"/>
                <w:szCs w:val="16"/>
                <w:lang w:eastAsia="es-CO"/>
              </w:rPr>
              <w:t>EJECUTIVO</w:t>
            </w:r>
          </w:p>
        </w:tc>
        <w:tc>
          <w:tcPr>
            <w:tcW w:w="1240" w:type="dxa"/>
            <w:tcBorders>
              <w:top w:val="nil"/>
              <w:left w:val="nil"/>
              <w:bottom w:val="single" w:sz="4" w:space="0" w:color="auto"/>
              <w:right w:val="single" w:sz="4" w:space="0" w:color="auto"/>
            </w:tcBorders>
            <w:shd w:val="clear" w:color="auto" w:fill="auto"/>
            <w:noWrap/>
            <w:vAlign w:val="bottom"/>
            <w:hideMark/>
          </w:tcPr>
          <w:p w:rsidR="0024547C" w:rsidRPr="00104F4B" w:rsidRDefault="0024547C" w:rsidP="0024547C">
            <w:pPr>
              <w:jc w:val="center"/>
              <w:rPr>
                <w:rFonts w:cs="Arial"/>
                <w:sz w:val="16"/>
                <w:szCs w:val="16"/>
                <w:lang w:eastAsia="es-CO"/>
              </w:rPr>
            </w:pPr>
            <w:r w:rsidRPr="00104F4B">
              <w:rPr>
                <w:rFonts w:cs="Arial"/>
                <w:sz w:val="16"/>
                <w:szCs w:val="16"/>
                <w:lang w:eastAsia="es-CO"/>
              </w:rPr>
              <w:t>1</w:t>
            </w:r>
          </w:p>
        </w:tc>
        <w:tc>
          <w:tcPr>
            <w:tcW w:w="2236" w:type="dxa"/>
            <w:tcBorders>
              <w:top w:val="nil"/>
              <w:left w:val="nil"/>
              <w:bottom w:val="single" w:sz="4" w:space="0" w:color="auto"/>
              <w:right w:val="single" w:sz="4" w:space="0" w:color="auto"/>
            </w:tcBorders>
            <w:shd w:val="clear" w:color="auto" w:fill="auto"/>
            <w:noWrap/>
            <w:vAlign w:val="bottom"/>
            <w:hideMark/>
          </w:tcPr>
          <w:p w:rsidR="0024547C" w:rsidRPr="00104F4B" w:rsidRDefault="0024547C" w:rsidP="0024547C">
            <w:pPr>
              <w:jc w:val="center"/>
              <w:rPr>
                <w:rFonts w:cs="Arial"/>
                <w:sz w:val="16"/>
                <w:szCs w:val="16"/>
                <w:lang w:eastAsia="es-CO"/>
              </w:rPr>
            </w:pPr>
            <w:r w:rsidRPr="00104F4B">
              <w:rPr>
                <w:rFonts w:cs="Arial"/>
                <w:sz w:val="16"/>
                <w:szCs w:val="16"/>
                <w:lang w:eastAsia="es-CO"/>
              </w:rPr>
              <w:t>$290.995.640</w:t>
            </w:r>
          </w:p>
        </w:tc>
      </w:tr>
      <w:tr w:rsidR="0024547C" w:rsidRPr="00104F4B" w:rsidTr="0024547C">
        <w:trPr>
          <w:trHeight w:val="255"/>
          <w:jc w:val="center"/>
        </w:trPr>
        <w:tc>
          <w:tcPr>
            <w:tcW w:w="3607" w:type="dxa"/>
            <w:tcBorders>
              <w:top w:val="nil"/>
              <w:left w:val="single" w:sz="4" w:space="0" w:color="auto"/>
              <w:bottom w:val="single" w:sz="4" w:space="0" w:color="auto"/>
              <w:right w:val="single" w:sz="4" w:space="0" w:color="auto"/>
            </w:tcBorders>
            <w:shd w:val="clear" w:color="auto" w:fill="auto"/>
            <w:noWrap/>
            <w:vAlign w:val="bottom"/>
            <w:hideMark/>
          </w:tcPr>
          <w:p w:rsidR="0024547C" w:rsidRPr="00104F4B" w:rsidRDefault="0024547C" w:rsidP="0024547C">
            <w:pPr>
              <w:rPr>
                <w:rFonts w:cs="Arial"/>
                <w:sz w:val="16"/>
                <w:szCs w:val="16"/>
                <w:lang w:eastAsia="es-CO"/>
              </w:rPr>
            </w:pPr>
            <w:r w:rsidRPr="00104F4B">
              <w:rPr>
                <w:rFonts w:cs="Arial"/>
                <w:sz w:val="16"/>
                <w:szCs w:val="16"/>
                <w:lang w:eastAsia="es-CO"/>
              </w:rPr>
              <w:t>NULIDAD Y RESTABLECIMIENTO</w:t>
            </w:r>
          </w:p>
        </w:tc>
        <w:tc>
          <w:tcPr>
            <w:tcW w:w="1240" w:type="dxa"/>
            <w:tcBorders>
              <w:top w:val="nil"/>
              <w:left w:val="nil"/>
              <w:bottom w:val="single" w:sz="4" w:space="0" w:color="auto"/>
              <w:right w:val="single" w:sz="4" w:space="0" w:color="auto"/>
            </w:tcBorders>
            <w:shd w:val="clear" w:color="auto" w:fill="auto"/>
            <w:noWrap/>
            <w:vAlign w:val="bottom"/>
            <w:hideMark/>
          </w:tcPr>
          <w:p w:rsidR="0024547C" w:rsidRPr="00104F4B" w:rsidRDefault="0024547C" w:rsidP="0024547C">
            <w:pPr>
              <w:jc w:val="center"/>
              <w:rPr>
                <w:rFonts w:cs="Arial"/>
                <w:sz w:val="16"/>
                <w:szCs w:val="16"/>
                <w:lang w:eastAsia="es-CO"/>
              </w:rPr>
            </w:pPr>
            <w:r w:rsidRPr="00104F4B">
              <w:rPr>
                <w:rFonts w:cs="Arial"/>
                <w:sz w:val="16"/>
                <w:szCs w:val="16"/>
                <w:lang w:eastAsia="es-CO"/>
              </w:rPr>
              <w:t>33</w:t>
            </w:r>
          </w:p>
        </w:tc>
        <w:tc>
          <w:tcPr>
            <w:tcW w:w="2236" w:type="dxa"/>
            <w:tcBorders>
              <w:top w:val="nil"/>
              <w:left w:val="nil"/>
              <w:bottom w:val="single" w:sz="4" w:space="0" w:color="auto"/>
              <w:right w:val="single" w:sz="4" w:space="0" w:color="auto"/>
            </w:tcBorders>
            <w:shd w:val="clear" w:color="auto" w:fill="auto"/>
            <w:noWrap/>
            <w:vAlign w:val="bottom"/>
            <w:hideMark/>
          </w:tcPr>
          <w:p w:rsidR="0024547C" w:rsidRPr="00104F4B" w:rsidRDefault="0024547C" w:rsidP="0024547C">
            <w:pPr>
              <w:jc w:val="center"/>
              <w:rPr>
                <w:rFonts w:cs="Arial"/>
                <w:sz w:val="16"/>
                <w:szCs w:val="16"/>
                <w:lang w:eastAsia="es-CO"/>
              </w:rPr>
            </w:pPr>
            <w:r w:rsidRPr="00104F4B">
              <w:rPr>
                <w:rFonts w:cs="Arial"/>
                <w:sz w:val="16"/>
                <w:szCs w:val="16"/>
                <w:lang w:eastAsia="es-CO"/>
              </w:rPr>
              <w:t>$29.927.155.543</w:t>
            </w:r>
          </w:p>
        </w:tc>
      </w:tr>
      <w:tr w:rsidR="0024547C" w:rsidRPr="00104F4B" w:rsidTr="0024547C">
        <w:trPr>
          <w:trHeight w:val="255"/>
          <w:jc w:val="center"/>
        </w:trPr>
        <w:tc>
          <w:tcPr>
            <w:tcW w:w="3607" w:type="dxa"/>
            <w:tcBorders>
              <w:top w:val="nil"/>
              <w:left w:val="single" w:sz="4" w:space="0" w:color="auto"/>
              <w:bottom w:val="single" w:sz="4" w:space="0" w:color="auto"/>
              <w:right w:val="single" w:sz="4" w:space="0" w:color="auto"/>
            </w:tcBorders>
            <w:shd w:val="clear" w:color="auto" w:fill="auto"/>
            <w:noWrap/>
            <w:vAlign w:val="bottom"/>
            <w:hideMark/>
          </w:tcPr>
          <w:p w:rsidR="0024547C" w:rsidRPr="00104F4B" w:rsidRDefault="0024547C" w:rsidP="0024547C">
            <w:pPr>
              <w:rPr>
                <w:rFonts w:cs="Arial"/>
                <w:sz w:val="16"/>
                <w:szCs w:val="16"/>
                <w:lang w:eastAsia="es-CO"/>
              </w:rPr>
            </w:pPr>
            <w:r w:rsidRPr="00104F4B">
              <w:rPr>
                <w:rFonts w:cs="Arial"/>
                <w:sz w:val="16"/>
                <w:szCs w:val="16"/>
                <w:lang w:eastAsia="es-CO"/>
              </w:rPr>
              <w:t>REPARACION DIRECTA</w:t>
            </w:r>
          </w:p>
        </w:tc>
        <w:tc>
          <w:tcPr>
            <w:tcW w:w="1240" w:type="dxa"/>
            <w:tcBorders>
              <w:top w:val="nil"/>
              <w:left w:val="nil"/>
              <w:bottom w:val="single" w:sz="4" w:space="0" w:color="auto"/>
              <w:right w:val="single" w:sz="4" w:space="0" w:color="auto"/>
            </w:tcBorders>
            <w:shd w:val="clear" w:color="auto" w:fill="auto"/>
            <w:noWrap/>
            <w:vAlign w:val="bottom"/>
            <w:hideMark/>
          </w:tcPr>
          <w:p w:rsidR="0024547C" w:rsidRPr="00104F4B" w:rsidRDefault="0024547C" w:rsidP="0024547C">
            <w:pPr>
              <w:jc w:val="center"/>
              <w:rPr>
                <w:rFonts w:cs="Arial"/>
                <w:sz w:val="16"/>
                <w:szCs w:val="16"/>
                <w:lang w:eastAsia="es-CO"/>
              </w:rPr>
            </w:pPr>
            <w:r w:rsidRPr="00104F4B">
              <w:rPr>
                <w:rFonts w:cs="Arial"/>
                <w:sz w:val="16"/>
                <w:szCs w:val="16"/>
                <w:lang w:eastAsia="es-CO"/>
              </w:rPr>
              <w:t>45</w:t>
            </w:r>
          </w:p>
        </w:tc>
        <w:tc>
          <w:tcPr>
            <w:tcW w:w="2236" w:type="dxa"/>
            <w:tcBorders>
              <w:top w:val="nil"/>
              <w:left w:val="nil"/>
              <w:bottom w:val="single" w:sz="4" w:space="0" w:color="auto"/>
              <w:right w:val="single" w:sz="4" w:space="0" w:color="auto"/>
            </w:tcBorders>
            <w:shd w:val="clear" w:color="auto" w:fill="auto"/>
            <w:noWrap/>
            <w:vAlign w:val="bottom"/>
            <w:hideMark/>
          </w:tcPr>
          <w:p w:rsidR="0024547C" w:rsidRPr="00104F4B" w:rsidRDefault="0024547C" w:rsidP="0024547C">
            <w:pPr>
              <w:jc w:val="center"/>
              <w:rPr>
                <w:rFonts w:cs="Arial"/>
                <w:sz w:val="16"/>
                <w:szCs w:val="16"/>
                <w:lang w:eastAsia="es-CO"/>
              </w:rPr>
            </w:pPr>
            <w:r w:rsidRPr="00104F4B">
              <w:rPr>
                <w:rFonts w:cs="Arial"/>
                <w:sz w:val="16"/>
                <w:szCs w:val="16"/>
                <w:lang w:eastAsia="es-CO"/>
              </w:rPr>
              <w:t>$59.086.934.486</w:t>
            </w:r>
          </w:p>
        </w:tc>
      </w:tr>
      <w:tr w:rsidR="0024547C" w:rsidRPr="00104F4B" w:rsidTr="0024547C">
        <w:trPr>
          <w:trHeight w:val="255"/>
          <w:jc w:val="center"/>
        </w:trPr>
        <w:tc>
          <w:tcPr>
            <w:tcW w:w="3607" w:type="dxa"/>
            <w:tcBorders>
              <w:top w:val="nil"/>
              <w:left w:val="single" w:sz="4" w:space="0" w:color="auto"/>
              <w:bottom w:val="single" w:sz="4" w:space="0" w:color="auto"/>
              <w:right w:val="single" w:sz="4" w:space="0" w:color="auto"/>
            </w:tcBorders>
            <w:shd w:val="clear" w:color="auto" w:fill="auto"/>
            <w:noWrap/>
            <w:vAlign w:val="bottom"/>
            <w:hideMark/>
          </w:tcPr>
          <w:p w:rsidR="0024547C" w:rsidRPr="00104F4B" w:rsidRDefault="0024547C" w:rsidP="0024547C">
            <w:pPr>
              <w:jc w:val="center"/>
              <w:rPr>
                <w:rFonts w:cs="Arial"/>
                <w:b/>
                <w:sz w:val="16"/>
                <w:szCs w:val="16"/>
                <w:lang w:eastAsia="es-CO"/>
              </w:rPr>
            </w:pPr>
            <w:r w:rsidRPr="00104F4B">
              <w:rPr>
                <w:rFonts w:cs="Arial"/>
                <w:b/>
                <w:sz w:val="16"/>
                <w:szCs w:val="16"/>
                <w:lang w:eastAsia="es-CO"/>
              </w:rPr>
              <w:t>Total general</w:t>
            </w:r>
          </w:p>
        </w:tc>
        <w:tc>
          <w:tcPr>
            <w:tcW w:w="1240" w:type="dxa"/>
            <w:tcBorders>
              <w:top w:val="nil"/>
              <w:left w:val="nil"/>
              <w:bottom w:val="single" w:sz="4" w:space="0" w:color="auto"/>
              <w:right w:val="single" w:sz="4" w:space="0" w:color="auto"/>
            </w:tcBorders>
            <w:shd w:val="clear" w:color="auto" w:fill="auto"/>
            <w:noWrap/>
            <w:vAlign w:val="bottom"/>
            <w:hideMark/>
          </w:tcPr>
          <w:p w:rsidR="0024547C" w:rsidRPr="00104F4B" w:rsidRDefault="0024547C" w:rsidP="0024547C">
            <w:pPr>
              <w:jc w:val="center"/>
              <w:rPr>
                <w:rFonts w:cs="Arial"/>
                <w:b/>
                <w:sz w:val="16"/>
                <w:szCs w:val="16"/>
                <w:lang w:eastAsia="es-CO"/>
              </w:rPr>
            </w:pPr>
            <w:r w:rsidRPr="00104F4B">
              <w:rPr>
                <w:rFonts w:cs="Arial"/>
                <w:b/>
                <w:sz w:val="16"/>
                <w:szCs w:val="16"/>
                <w:lang w:eastAsia="es-CO"/>
              </w:rPr>
              <w:t>338</w:t>
            </w:r>
          </w:p>
        </w:tc>
        <w:tc>
          <w:tcPr>
            <w:tcW w:w="2236" w:type="dxa"/>
            <w:tcBorders>
              <w:top w:val="nil"/>
              <w:left w:val="nil"/>
              <w:bottom w:val="single" w:sz="4" w:space="0" w:color="auto"/>
              <w:right w:val="single" w:sz="4" w:space="0" w:color="auto"/>
            </w:tcBorders>
            <w:shd w:val="clear" w:color="auto" w:fill="auto"/>
            <w:noWrap/>
            <w:vAlign w:val="bottom"/>
            <w:hideMark/>
          </w:tcPr>
          <w:p w:rsidR="0024547C" w:rsidRPr="00104F4B" w:rsidRDefault="0024547C" w:rsidP="0024547C">
            <w:pPr>
              <w:jc w:val="center"/>
              <w:rPr>
                <w:rFonts w:cs="Arial"/>
                <w:b/>
                <w:sz w:val="16"/>
                <w:szCs w:val="16"/>
                <w:lang w:eastAsia="es-CO"/>
              </w:rPr>
            </w:pPr>
            <w:r w:rsidRPr="00104F4B">
              <w:rPr>
                <w:rFonts w:cs="Arial"/>
                <w:b/>
                <w:sz w:val="16"/>
                <w:szCs w:val="16"/>
                <w:lang w:eastAsia="es-CO"/>
              </w:rPr>
              <w:t>$272.953.907.477</w:t>
            </w:r>
          </w:p>
        </w:tc>
      </w:tr>
    </w:tbl>
    <w:p w:rsidR="0024547C" w:rsidRPr="00104F4B" w:rsidRDefault="0024547C" w:rsidP="0024547C">
      <w:pPr>
        <w:jc w:val="center"/>
        <w:rPr>
          <w:rFonts w:cs="Arial"/>
          <w:sz w:val="16"/>
          <w:szCs w:val="16"/>
        </w:rPr>
      </w:pPr>
      <w:r w:rsidRPr="00104F4B">
        <w:rPr>
          <w:rFonts w:cs="Arial"/>
          <w:sz w:val="16"/>
          <w:szCs w:val="16"/>
        </w:rPr>
        <w:t>DTGJ-Procesos Radicados 2018</w:t>
      </w:r>
    </w:p>
    <w:p w:rsidR="0024547C" w:rsidRPr="00104F4B" w:rsidRDefault="0024547C" w:rsidP="0024547C">
      <w:pPr>
        <w:jc w:val="center"/>
        <w:rPr>
          <w:rFonts w:cs="Arial"/>
          <w:b/>
          <w:sz w:val="24"/>
        </w:rPr>
      </w:pPr>
      <w:r w:rsidRPr="00104F4B">
        <w:rPr>
          <w:rFonts w:cs="Arial"/>
          <w:noProof/>
          <w:sz w:val="24"/>
          <w:lang w:val="es-CO" w:eastAsia="es-CO"/>
        </w:rPr>
        <w:drawing>
          <wp:inline distT="0" distB="0" distL="0" distR="0" wp14:anchorId="3A0B363C" wp14:editId="5B2C7290">
            <wp:extent cx="5612130" cy="2366061"/>
            <wp:effectExtent l="0" t="0" r="7620" b="15240"/>
            <wp:docPr id="7"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24547C" w:rsidRPr="00104F4B" w:rsidRDefault="0024547C" w:rsidP="0024547C">
      <w:pPr>
        <w:jc w:val="center"/>
        <w:rPr>
          <w:rFonts w:cs="Arial"/>
          <w:b/>
          <w:sz w:val="24"/>
        </w:rPr>
      </w:pPr>
    </w:p>
    <w:p w:rsidR="0024547C" w:rsidRPr="00104F4B" w:rsidRDefault="0024547C" w:rsidP="0024547C">
      <w:pPr>
        <w:rPr>
          <w:rFonts w:cs="Arial"/>
          <w:szCs w:val="22"/>
        </w:rPr>
      </w:pPr>
      <w:r w:rsidRPr="00104F4B">
        <w:rPr>
          <w:rFonts w:cs="Arial"/>
          <w:szCs w:val="22"/>
        </w:rPr>
        <w:lastRenderedPageBreak/>
        <w:t>Por parte de la Entidad se iniciaron las siguientes acciones judiciales:</w:t>
      </w:r>
    </w:p>
    <w:tbl>
      <w:tblPr>
        <w:tblW w:w="7088" w:type="dxa"/>
        <w:jc w:val="center"/>
        <w:tblCellMar>
          <w:left w:w="70" w:type="dxa"/>
          <w:right w:w="70" w:type="dxa"/>
        </w:tblCellMar>
        <w:tblLook w:val="04A0" w:firstRow="1" w:lastRow="0" w:firstColumn="1" w:lastColumn="0" w:noHBand="0" w:noVBand="1"/>
      </w:tblPr>
      <w:tblGrid>
        <w:gridCol w:w="3539"/>
        <w:gridCol w:w="1276"/>
        <w:gridCol w:w="2273"/>
      </w:tblGrid>
      <w:tr w:rsidR="0024547C" w:rsidRPr="00104F4B" w:rsidTr="0024547C">
        <w:trPr>
          <w:trHeight w:val="255"/>
          <w:jc w:val="center"/>
        </w:trPr>
        <w:tc>
          <w:tcPr>
            <w:tcW w:w="35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4547C" w:rsidRPr="00104F4B" w:rsidRDefault="0024547C" w:rsidP="0024547C">
            <w:pPr>
              <w:jc w:val="center"/>
              <w:rPr>
                <w:rFonts w:cs="Arial"/>
                <w:b/>
                <w:sz w:val="16"/>
                <w:szCs w:val="16"/>
                <w:lang w:eastAsia="es-CO"/>
              </w:rPr>
            </w:pPr>
            <w:r w:rsidRPr="00104F4B">
              <w:rPr>
                <w:rFonts w:cs="Arial"/>
                <w:b/>
                <w:sz w:val="16"/>
                <w:szCs w:val="16"/>
                <w:lang w:eastAsia="es-CO"/>
              </w:rPr>
              <w:t>TIPO DE PROCESO</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24547C" w:rsidRPr="00104F4B" w:rsidRDefault="0024547C" w:rsidP="0024547C">
            <w:pPr>
              <w:jc w:val="center"/>
              <w:rPr>
                <w:rFonts w:cs="Arial"/>
                <w:b/>
                <w:sz w:val="16"/>
                <w:szCs w:val="16"/>
                <w:lang w:eastAsia="es-CO"/>
              </w:rPr>
            </w:pPr>
            <w:r w:rsidRPr="00104F4B">
              <w:rPr>
                <w:rFonts w:cs="Arial"/>
                <w:b/>
                <w:sz w:val="16"/>
                <w:szCs w:val="16"/>
                <w:lang w:eastAsia="es-CO"/>
              </w:rPr>
              <w:t>No. Procesos</w:t>
            </w:r>
          </w:p>
        </w:tc>
        <w:tc>
          <w:tcPr>
            <w:tcW w:w="2273" w:type="dxa"/>
            <w:tcBorders>
              <w:top w:val="single" w:sz="4" w:space="0" w:color="auto"/>
              <w:left w:val="nil"/>
              <w:bottom w:val="single" w:sz="4" w:space="0" w:color="auto"/>
              <w:right w:val="single" w:sz="4" w:space="0" w:color="auto"/>
            </w:tcBorders>
            <w:shd w:val="clear" w:color="auto" w:fill="auto"/>
            <w:noWrap/>
            <w:vAlign w:val="center"/>
            <w:hideMark/>
          </w:tcPr>
          <w:p w:rsidR="0024547C" w:rsidRPr="00104F4B" w:rsidRDefault="0024547C" w:rsidP="0024547C">
            <w:pPr>
              <w:jc w:val="center"/>
              <w:rPr>
                <w:rFonts w:cs="Arial"/>
                <w:b/>
                <w:sz w:val="16"/>
                <w:szCs w:val="16"/>
                <w:lang w:eastAsia="es-CO"/>
              </w:rPr>
            </w:pPr>
            <w:r w:rsidRPr="00104F4B">
              <w:rPr>
                <w:rFonts w:cs="Arial"/>
                <w:b/>
                <w:sz w:val="16"/>
                <w:szCs w:val="16"/>
                <w:lang w:eastAsia="es-CO"/>
              </w:rPr>
              <w:t>VR. TOTAL</w:t>
            </w:r>
          </w:p>
        </w:tc>
      </w:tr>
      <w:tr w:rsidR="0024547C" w:rsidRPr="00104F4B" w:rsidTr="0024547C">
        <w:trPr>
          <w:trHeight w:val="255"/>
          <w:jc w:val="center"/>
        </w:trPr>
        <w:tc>
          <w:tcPr>
            <w:tcW w:w="3539" w:type="dxa"/>
            <w:tcBorders>
              <w:top w:val="nil"/>
              <w:left w:val="single" w:sz="4" w:space="0" w:color="auto"/>
              <w:bottom w:val="single" w:sz="4" w:space="0" w:color="auto"/>
              <w:right w:val="single" w:sz="4" w:space="0" w:color="auto"/>
            </w:tcBorders>
            <w:shd w:val="clear" w:color="auto" w:fill="auto"/>
            <w:noWrap/>
            <w:vAlign w:val="bottom"/>
            <w:hideMark/>
          </w:tcPr>
          <w:p w:rsidR="0024547C" w:rsidRPr="00104F4B" w:rsidRDefault="0024547C" w:rsidP="0024547C">
            <w:pPr>
              <w:rPr>
                <w:rFonts w:cs="Arial"/>
                <w:sz w:val="16"/>
                <w:szCs w:val="16"/>
                <w:lang w:eastAsia="es-CO"/>
              </w:rPr>
            </w:pPr>
            <w:r w:rsidRPr="00104F4B">
              <w:rPr>
                <w:rFonts w:cs="Arial"/>
                <w:sz w:val="16"/>
                <w:szCs w:val="16"/>
                <w:lang w:eastAsia="es-CO"/>
              </w:rPr>
              <w:t>ACCIÓN DE TUTELA</w:t>
            </w:r>
          </w:p>
        </w:tc>
        <w:tc>
          <w:tcPr>
            <w:tcW w:w="1276" w:type="dxa"/>
            <w:tcBorders>
              <w:top w:val="nil"/>
              <w:left w:val="nil"/>
              <w:bottom w:val="single" w:sz="4" w:space="0" w:color="auto"/>
              <w:right w:val="single" w:sz="4" w:space="0" w:color="auto"/>
            </w:tcBorders>
            <w:shd w:val="clear" w:color="auto" w:fill="auto"/>
            <w:noWrap/>
            <w:vAlign w:val="bottom"/>
            <w:hideMark/>
          </w:tcPr>
          <w:p w:rsidR="0024547C" w:rsidRPr="00104F4B" w:rsidRDefault="0024547C" w:rsidP="0024547C">
            <w:pPr>
              <w:jc w:val="center"/>
              <w:rPr>
                <w:rFonts w:cs="Arial"/>
                <w:sz w:val="16"/>
                <w:szCs w:val="16"/>
                <w:lang w:eastAsia="es-CO"/>
              </w:rPr>
            </w:pPr>
            <w:r w:rsidRPr="00104F4B">
              <w:rPr>
                <w:rFonts w:cs="Arial"/>
                <w:sz w:val="16"/>
                <w:szCs w:val="16"/>
                <w:lang w:eastAsia="es-CO"/>
              </w:rPr>
              <w:t>1</w:t>
            </w:r>
          </w:p>
        </w:tc>
        <w:tc>
          <w:tcPr>
            <w:tcW w:w="2273" w:type="dxa"/>
            <w:tcBorders>
              <w:top w:val="nil"/>
              <w:left w:val="nil"/>
              <w:bottom w:val="single" w:sz="4" w:space="0" w:color="auto"/>
              <w:right w:val="single" w:sz="4" w:space="0" w:color="auto"/>
            </w:tcBorders>
            <w:shd w:val="clear" w:color="auto" w:fill="auto"/>
            <w:noWrap/>
            <w:vAlign w:val="bottom"/>
            <w:hideMark/>
          </w:tcPr>
          <w:p w:rsidR="0024547C" w:rsidRPr="00104F4B" w:rsidRDefault="0024547C" w:rsidP="0024547C">
            <w:pPr>
              <w:jc w:val="center"/>
              <w:rPr>
                <w:rFonts w:cs="Arial"/>
                <w:sz w:val="16"/>
                <w:szCs w:val="16"/>
                <w:lang w:eastAsia="es-CO"/>
              </w:rPr>
            </w:pPr>
            <w:r w:rsidRPr="00104F4B">
              <w:rPr>
                <w:rFonts w:cs="Arial"/>
                <w:sz w:val="16"/>
                <w:szCs w:val="16"/>
                <w:lang w:eastAsia="es-CO"/>
              </w:rPr>
              <w:t>0</w:t>
            </w:r>
          </w:p>
        </w:tc>
      </w:tr>
      <w:tr w:rsidR="0024547C" w:rsidRPr="00104F4B" w:rsidTr="0024547C">
        <w:trPr>
          <w:trHeight w:val="255"/>
          <w:jc w:val="center"/>
        </w:trPr>
        <w:tc>
          <w:tcPr>
            <w:tcW w:w="3539" w:type="dxa"/>
            <w:tcBorders>
              <w:top w:val="nil"/>
              <w:left w:val="single" w:sz="4" w:space="0" w:color="auto"/>
              <w:bottom w:val="single" w:sz="4" w:space="0" w:color="auto"/>
              <w:right w:val="single" w:sz="4" w:space="0" w:color="auto"/>
            </w:tcBorders>
            <w:shd w:val="clear" w:color="auto" w:fill="auto"/>
            <w:noWrap/>
            <w:vAlign w:val="bottom"/>
            <w:hideMark/>
          </w:tcPr>
          <w:p w:rsidR="0024547C" w:rsidRPr="00104F4B" w:rsidRDefault="0024547C" w:rsidP="0024547C">
            <w:pPr>
              <w:rPr>
                <w:rFonts w:cs="Arial"/>
                <w:sz w:val="16"/>
                <w:szCs w:val="16"/>
                <w:lang w:eastAsia="es-CO"/>
              </w:rPr>
            </w:pPr>
            <w:r w:rsidRPr="00104F4B">
              <w:rPr>
                <w:rFonts w:cs="Arial"/>
                <w:sz w:val="16"/>
                <w:szCs w:val="16"/>
                <w:lang w:eastAsia="es-CO"/>
              </w:rPr>
              <w:t>CIVIL EJECUTIVO</w:t>
            </w:r>
          </w:p>
        </w:tc>
        <w:tc>
          <w:tcPr>
            <w:tcW w:w="1276" w:type="dxa"/>
            <w:tcBorders>
              <w:top w:val="nil"/>
              <w:left w:val="nil"/>
              <w:bottom w:val="single" w:sz="4" w:space="0" w:color="auto"/>
              <w:right w:val="single" w:sz="4" w:space="0" w:color="auto"/>
            </w:tcBorders>
            <w:shd w:val="clear" w:color="auto" w:fill="auto"/>
            <w:noWrap/>
            <w:vAlign w:val="bottom"/>
            <w:hideMark/>
          </w:tcPr>
          <w:p w:rsidR="0024547C" w:rsidRPr="00104F4B" w:rsidRDefault="0024547C" w:rsidP="0024547C">
            <w:pPr>
              <w:jc w:val="center"/>
              <w:rPr>
                <w:rFonts w:cs="Arial"/>
                <w:sz w:val="16"/>
                <w:szCs w:val="16"/>
                <w:lang w:eastAsia="es-CO"/>
              </w:rPr>
            </w:pPr>
            <w:r w:rsidRPr="00104F4B">
              <w:rPr>
                <w:rFonts w:cs="Arial"/>
                <w:sz w:val="16"/>
                <w:szCs w:val="16"/>
                <w:lang w:eastAsia="es-CO"/>
              </w:rPr>
              <w:t>1</w:t>
            </w:r>
          </w:p>
        </w:tc>
        <w:tc>
          <w:tcPr>
            <w:tcW w:w="2273" w:type="dxa"/>
            <w:tcBorders>
              <w:top w:val="nil"/>
              <w:left w:val="nil"/>
              <w:bottom w:val="single" w:sz="4" w:space="0" w:color="auto"/>
              <w:right w:val="single" w:sz="4" w:space="0" w:color="auto"/>
            </w:tcBorders>
            <w:shd w:val="clear" w:color="auto" w:fill="auto"/>
            <w:noWrap/>
            <w:vAlign w:val="bottom"/>
            <w:hideMark/>
          </w:tcPr>
          <w:p w:rsidR="0024547C" w:rsidRPr="00104F4B" w:rsidRDefault="0024547C" w:rsidP="0024547C">
            <w:pPr>
              <w:jc w:val="center"/>
              <w:rPr>
                <w:rFonts w:cs="Arial"/>
                <w:sz w:val="16"/>
                <w:szCs w:val="16"/>
                <w:lang w:eastAsia="es-CO"/>
              </w:rPr>
            </w:pPr>
            <w:r w:rsidRPr="00104F4B">
              <w:rPr>
                <w:rFonts w:cs="Arial"/>
                <w:sz w:val="16"/>
                <w:szCs w:val="16"/>
                <w:lang w:eastAsia="es-CO"/>
              </w:rPr>
              <w:t>$26.544.000</w:t>
            </w:r>
          </w:p>
        </w:tc>
      </w:tr>
      <w:tr w:rsidR="0024547C" w:rsidRPr="00104F4B" w:rsidTr="0024547C">
        <w:trPr>
          <w:trHeight w:val="255"/>
          <w:jc w:val="center"/>
        </w:trPr>
        <w:tc>
          <w:tcPr>
            <w:tcW w:w="3539" w:type="dxa"/>
            <w:tcBorders>
              <w:top w:val="nil"/>
              <w:left w:val="single" w:sz="4" w:space="0" w:color="auto"/>
              <w:bottom w:val="single" w:sz="4" w:space="0" w:color="auto"/>
              <w:right w:val="single" w:sz="4" w:space="0" w:color="auto"/>
            </w:tcBorders>
            <w:shd w:val="clear" w:color="auto" w:fill="auto"/>
            <w:noWrap/>
            <w:vAlign w:val="bottom"/>
            <w:hideMark/>
          </w:tcPr>
          <w:p w:rsidR="0024547C" w:rsidRPr="00104F4B" w:rsidRDefault="0024547C" w:rsidP="0024547C">
            <w:pPr>
              <w:rPr>
                <w:rFonts w:cs="Arial"/>
                <w:sz w:val="16"/>
                <w:szCs w:val="16"/>
                <w:lang w:eastAsia="es-CO"/>
              </w:rPr>
            </w:pPr>
            <w:r w:rsidRPr="00104F4B">
              <w:rPr>
                <w:rFonts w:cs="Arial"/>
                <w:sz w:val="16"/>
                <w:szCs w:val="16"/>
                <w:lang w:eastAsia="es-CO"/>
              </w:rPr>
              <w:t>CONTRACTUAL</w:t>
            </w:r>
          </w:p>
        </w:tc>
        <w:tc>
          <w:tcPr>
            <w:tcW w:w="1276" w:type="dxa"/>
            <w:tcBorders>
              <w:top w:val="nil"/>
              <w:left w:val="nil"/>
              <w:bottom w:val="single" w:sz="4" w:space="0" w:color="auto"/>
              <w:right w:val="single" w:sz="4" w:space="0" w:color="auto"/>
            </w:tcBorders>
            <w:shd w:val="clear" w:color="auto" w:fill="auto"/>
            <w:noWrap/>
            <w:vAlign w:val="bottom"/>
            <w:hideMark/>
          </w:tcPr>
          <w:p w:rsidR="0024547C" w:rsidRPr="00104F4B" w:rsidRDefault="0024547C" w:rsidP="0024547C">
            <w:pPr>
              <w:jc w:val="center"/>
              <w:rPr>
                <w:rFonts w:cs="Arial"/>
                <w:sz w:val="16"/>
                <w:szCs w:val="16"/>
                <w:lang w:eastAsia="es-CO"/>
              </w:rPr>
            </w:pPr>
            <w:r w:rsidRPr="00104F4B">
              <w:rPr>
                <w:rFonts w:cs="Arial"/>
                <w:sz w:val="16"/>
                <w:szCs w:val="16"/>
                <w:lang w:eastAsia="es-CO"/>
              </w:rPr>
              <w:t>5</w:t>
            </w:r>
          </w:p>
        </w:tc>
        <w:tc>
          <w:tcPr>
            <w:tcW w:w="2273" w:type="dxa"/>
            <w:tcBorders>
              <w:top w:val="nil"/>
              <w:left w:val="nil"/>
              <w:bottom w:val="single" w:sz="4" w:space="0" w:color="auto"/>
              <w:right w:val="single" w:sz="4" w:space="0" w:color="auto"/>
            </w:tcBorders>
            <w:shd w:val="clear" w:color="auto" w:fill="auto"/>
            <w:noWrap/>
            <w:vAlign w:val="bottom"/>
            <w:hideMark/>
          </w:tcPr>
          <w:p w:rsidR="0024547C" w:rsidRPr="00104F4B" w:rsidRDefault="0024547C" w:rsidP="0024547C">
            <w:pPr>
              <w:jc w:val="center"/>
              <w:rPr>
                <w:rFonts w:cs="Arial"/>
                <w:sz w:val="16"/>
                <w:szCs w:val="16"/>
                <w:lang w:eastAsia="es-CO"/>
              </w:rPr>
            </w:pPr>
            <w:r w:rsidRPr="00104F4B">
              <w:rPr>
                <w:rFonts w:cs="Arial"/>
                <w:sz w:val="16"/>
                <w:szCs w:val="16"/>
                <w:lang w:eastAsia="es-CO"/>
              </w:rPr>
              <w:t>$279.770.748</w:t>
            </w:r>
          </w:p>
        </w:tc>
      </w:tr>
      <w:tr w:rsidR="0024547C" w:rsidRPr="00104F4B" w:rsidTr="0024547C">
        <w:trPr>
          <w:trHeight w:val="255"/>
          <w:jc w:val="center"/>
        </w:trPr>
        <w:tc>
          <w:tcPr>
            <w:tcW w:w="3539" w:type="dxa"/>
            <w:tcBorders>
              <w:top w:val="nil"/>
              <w:left w:val="single" w:sz="4" w:space="0" w:color="auto"/>
              <w:bottom w:val="single" w:sz="4" w:space="0" w:color="auto"/>
              <w:right w:val="single" w:sz="4" w:space="0" w:color="auto"/>
            </w:tcBorders>
            <w:shd w:val="clear" w:color="auto" w:fill="auto"/>
            <w:noWrap/>
            <w:vAlign w:val="bottom"/>
            <w:hideMark/>
          </w:tcPr>
          <w:p w:rsidR="0024547C" w:rsidRPr="00104F4B" w:rsidRDefault="0024547C" w:rsidP="0024547C">
            <w:pPr>
              <w:rPr>
                <w:rFonts w:cs="Arial"/>
                <w:sz w:val="16"/>
                <w:szCs w:val="16"/>
                <w:lang w:eastAsia="es-CO"/>
              </w:rPr>
            </w:pPr>
            <w:r w:rsidRPr="00104F4B">
              <w:rPr>
                <w:rFonts w:cs="Arial"/>
                <w:sz w:val="16"/>
                <w:szCs w:val="16"/>
                <w:lang w:eastAsia="es-CO"/>
              </w:rPr>
              <w:t>EJECUTIVO CONTRACTUAL</w:t>
            </w:r>
          </w:p>
        </w:tc>
        <w:tc>
          <w:tcPr>
            <w:tcW w:w="1276" w:type="dxa"/>
            <w:tcBorders>
              <w:top w:val="nil"/>
              <w:left w:val="nil"/>
              <w:bottom w:val="single" w:sz="4" w:space="0" w:color="auto"/>
              <w:right w:val="single" w:sz="4" w:space="0" w:color="auto"/>
            </w:tcBorders>
            <w:shd w:val="clear" w:color="auto" w:fill="auto"/>
            <w:noWrap/>
            <w:vAlign w:val="bottom"/>
            <w:hideMark/>
          </w:tcPr>
          <w:p w:rsidR="0024547C" w:rsidRPr="00104F4B" w:rsidRDefault="0024547C" w:rsidP="0024547C">
            <w:pPr>
              <w:jc w:val="center"/>
              <w:rPr>
                <w:rFonts w:cs="Arial"/>
                <w:sz w:val="16"/>
                <w:szCs w:val="16"/>
                <w:lang w:eastAsia="es-CO"/>
              </w:rPr>
            </w:pPr>
            <w:r w:rsidRPr="00104F4B">
              <w:rPr>
                <w:rFonts w:cs="Arial"/>
                <w:sz w:val="16"/>
                <w:szCs w:val="16"/>
                <w:lang w:eastAsia="es-CO"/>
              </w:rPr>
              <w:t>2</w:t>
            </w:r>
          </w:p>
        </w:tc>
        <w:tc>
          <w:tcPr>
            <w:tcW w:w="2273" w:type="dxa"/>
            <w:tcBorders>
              <w:top w:val="nil"/>
              <w:left w:val="nil"/>
              <w:bottom w:val="single" w:sz="4" w:space="0" w:color="auto"/>
              <w:right w:val="single" w:sz="4" w:space="0" w:color="auto"/>
            </w:tcBorders>
            <w:shd w:val="clear" w:color="auto" w:fill="auto"/>
            <w:noWrap/>
            <w:vAlign w:val="bottom"/>
            <w:hideMark/>
          </w:tcPr>
          <w:p w:rsidR="0024547C" w:rsidRPr="00104F4B" w:rsidRDefault="0024547C" w:rsidP="0024547C">
            <w:pPr>
              <w:jc w:val="center"/>
              <w:rPr>
                <w:rFonts w:cs="Arial"/>
                <w:sz w:val="16"/>
                <w:szCs w:val="16"/>
                <w:lang w:eastAsia="es-CO"/>
              </w:rPr>
            </w:pPr>
            <w:r w:rsidRPr="00104F4B">
              <w:rPr>
                <w:rFonts w:cs="Arial"/>
                <w:sz w:val="16"/>
                <w:szCs w:val="16"/>
                <w:lang w:eastAsia="es-CO"/>
              </w:rPr>
              <w:t>0</w:t>
            </w:r>
          </w:p>
        </w:tc>
      </w:tr>
      <w:tr w:rsidR="0024547C" w:rsidRPr="00104F4B" w:rsidTr="0024547C">
        <w:trPr>
          <w:trHeight w:val="255"/>
          <w:jc w:val="center"/>
        </w:trPr>
        <w:tc>
          <w:tcPr>
            <w:tcW w:w="3539" w:type="dxa"/>
            <w:tcBorders>
              <w:top w:val="nil"/>
              <w:left w:val="single" w:sz="4" w:space="0" w:color="auto"/>
              <w:bottom w:val="single" w:sz="4" w:space="0" w:color="auto"/>
              <w:right w:val="single" w:sz="4" w:space="0" w:color="auto"/>
            </w:tcBorders>
            <w:shd w:val="clear" w:color="auto" w:fill="auto"/>
            <w:noWrap/>
            <w:vAlign w:val="bottom"/>
            <w:hideMark/>
          </w:tcPr>
          <w:p w:rsidR="0024547C" w:rsidRPr="00104F4B" w:rsidRDefault="0024547C" w:rsidP="0024547C">
            <w:pPr>
              <w:rPr>
                <w:rFonts w:cs="Arial"/>
                <w:sz w:val="16"/>
                <w:szCs w:val="16"/>
                <w:lang w:eastAsia="es-CO"/>
              </w:rPr>
            </w:pPr>
            <w:r w:rsidRPr="00104F4B">
              <w:rPr>
                <w:rFonts w:cs="Arial"/>
                <w:sz w:val="16"/>
                <w:szCs w:val="16"/>
                <w:lang w:eastAsia="es-CO"/>
              </w:rPr>
              <w:t>EJECUTIVO LABORAL</w:t>
            </w:r>
          </w:p>
        </w:tc>
        <w:tc>
          <w:tcPr>
            <w:tcW w:w="1276" w:type="dxa"/>
            <w:tcBorders>
              <w:top w:val="nil"/>
              <w:left w:val="nil"/>
              <w:bottom w:val="single" w:sz="4" w:space="0" w:color="auto"/>
              <w:right w:val="single" w:sz="4" w:space="0" w:color="auto"/>
            </w:tcBorders>
            <w:shd w:val="clear" w:color="auto" w:fill="auto"/>
            <w:noWrap/>
            <w:vAlign w:val="bottom"/>
            <w:hideMark/>
          </w:tcPr>
          <w:p w:rsidR="0024547C" w:rsidRPr="00104F4B" w:rsidRDefault="0024547C" w:rsidP="0024547C">
            <w:pPr>
              <w:jc w:val="center"/>
              <w:rPr>
                <w:rFonts w:cs="Arial"/>
                <w:sz w:val="16"/>
                <w:szCs w:val="16"/>
                <w:lang w:eastAsia="es-CO"/>
              </w:rPr>
            </w:pPr>
            <w:r w:rsidRPr="00104F4B">
              <w:rPr>
                <w:rFonts w:cs="Arial"/>
                <w:sz w:val="16"/>
                <w:szCs w:val="16"/>
                <w:lang w:eastAsia="es-CO"/>
              </w:rPr>
              <w:t>2</w:t>
            </w:r>
          </w:p>
        </w:tc>
        <w:tc>
          <w:tcPr>
            <w:tcW w:w="2273" w:type="dxa"/>
            <w:tcBorders>
              <w:top w:val="nil"/>
              <w:left w:val="nil"/>
              <w:bottom w:val="single" w:sz="4" w:space="0" w:color="auto"/>
              <w:right w:val="single" w:sz="4" w:space="0" w:color="auto"/>
            </w:tcBorders>
            <w:shd w:val="clear" w:color="auto" w:fill="auto"/>
            <w:noWrap/>
            <w:vAlign w:val="bottom"/>
            <w:hideMark/>
          </w:tcPr>
          <w:p w:rsidR="0024547C" w:rsidRPr="00104F4B" w:rsidRDefault="0024547C" w:rsidP="0024547C">
            <w:pPr>
              <w:jc w:val="center"/>
              <w:rPr>
                <w:rFonts w:cs="Arial"/>
                <w:sz w:val="16"/>
                <w:szCs w:val="16"/>
                <w:lang w:eastAsia="es-CO"/>
              </w:rPr>
            </w:pPr>
            <w:r w:rsidRPr="00104F4B">
              <w:rPr>
                <w:rFonts w:cs="Arial"/>
                <w:sz w:val="16"/>
                <w:szCs w:val="16"/>
                <w:lang w:eastAsia="es-CO"/>
              </w:rPr>
              <w:t>$8.250.000</w:t>
            </w:r>
          </w:p>
        </w:tc>
      </w:tr>
      <w:tr w:rsidR="0024547C" w:rsidRPr="00104F4B" w:rsidTr="0024547C">
        <w:trPr>
          <w:trHeight w:val="255"/>
          <w:jc w:val="center"/>
        </w:trPr>
        <w:tc>
          <w:tcPr>
            <w:tcW w:w="3539" w:type="dxa"/>
            <w:tcBorders>
              <w:top w:val="nil"/>
              <w:left w:val="single" w:sz="4" w:space="0" w:color="auto"/>
              <w:bottom w:val="single" w:sz="4" w:space="0" w:color="auto"/>
              <w:right w:val="single" w:sz="4" w:space="0" w:color="auto"/>
            </w:tcBorders>
            <w:shd w:val="clear" w:color="auto" w:fill="auto"/>
            <w:noWrap/>
            <w:vAlign w:val="bottom"/>
            <w:hideMark/>
          </w:tcPr>
          <w:p w:rsidR="0024547C" w:rsidRPr="00104F4B" w:rsidRDefault="0024547C" w:rsidP="0024547C">
            <w:pPr>
              <w:rPr>
                <w:rFonts w:cs="Arial"/>
                <w:sz w:val="16"/>
                <w:szCs w:val="16"/>
                <w:lang w:eastAsia="es-CO"/>
              </w:rPr>
            </w:pPr>
            <w:r w:rsidRPr="00104F4B">
              <w:rPr>
                <w:rFonts w:cs="Arial"/>
                <w:sz w:val="16"/>
                <w:szCs w:val="16"/>
                <w:lang w:eastAsia="es-CO"/>
              </w:rPr>
              <w:t>PROCESO PENAL LEY 906/2004 (INICIADO)</w:t>
            </w:r>
          </w:p>
        </w:tc>
        <w:tc>
          <w:tcPr>
            <w:tcW w:w="1276" w:type="dxa"/>
            <w:tcBorders>
              <w:top w:val="nil"/>
              <w:left w:val="nil"/>
              <w:bottom w:val="single" w:sz="4" w:space="0" w:color="auto"/>
              <w:right w:val="single" w:sz="4" w:space="0" w:color="auto"/>
            </w:tcBorders>
            <w:shd w:val="clear" w:color="auto" w:fill="auto"/>
            <w:noWrap/>
            <w:vAlign w:val="bottom"/>
            <w:hideMark/>
          </w:tcPr>
          <w:p w:rsidR="0024547C" w:rsidRPr="00104F4B" w:rsidRDefault="0024547C" w:rsidP="0024547C">
            <w:pPr>
              <w:jc w:val="center"/>
              <w:rPr>
                <w:rFonts w:cs="Arial"/>
                <w:sz w:val="16"/>
                <w:szCs w:val="16"/>
                <w:lang w:eastAsia="es-CO"/>
              </w:rPr>
            </w:pPr>
            <w:r w:rsidRPr="00104F4B">
              <w:rPr>
                <w:rFonts w:cs="Arial"/>
                <w:sz w:val="16"/>
                <w:szCs w:val="16"/>
                <w:lang w:eastAsia="es-CO"/>
              </w:rPr>
              <w:t>2</w:t>
            </w:r>
          </w:p>
        </w:tc>
        <w:tc>
          <w:tcPr>
            <w:tcW w:w="2273" w:type="dxa"/>
            <w:tcBorders>
              <w:top w:val="nil"/>
              <w:left w:val="nil"/>
              <w:bottom w:val="single" w:sz="4" w:space="0" w:color="auto"/>
              <w:right w:val="single" w:sz="4" w:space="0" w:color="auto"/>
            </w:tcBorders>
            <w:shd w:val="clear" w:color="auto" w:fill="auto"/>
            <w:noWrap/>
            <w:vAlign w:val="bottom"/>
            <w:hideMark/>
          </w:tcPr>
          <w:p w:rsidR="0024547C" w:rsidRPr="00104F4B" w:rsidRDefault="0024547C" w:rsidP="0024547C">
            <w:pPr>
              <w:jc w:val="center"/>
              <w:rPr>
                <w:rFonts w:cs="Arial"/>
                <w:sz w:val="16"/>
                <w:szCs w:val="16"/>
                <w:lang w:eastAsia="es-CO"/>
              </w:rPr>
            </w:pPr>
            <w:r w:rsidRPr="00104F4B">
              <w:rPr>
                <w:rFonts w:cs="Arial"/>
                <w:sz w:val="16"/>
                <w:szCs w:val="16"/>
                <w:lang w:eastAsia="es-CO"/>
              </w:rPr>
              <w:t>0</w:t>
            </w:r>
          </w:p>
        </w:tc>
      </w:tr>
      <w:tr w:rsidR="0024547C" w:rsidRPr="00104F4B" w:rsidTr="0024547C">
        <w:trPr>
          <w:trHeight w:val="255"/>
          <w:jc w:val="center"/>
        </w:trPr>
        <w:tc>
          <w:tcPr>
            <w:tcW w:w="3539" w:type="dxa"/>
            <w:tcBorders>
              <w:top w:val="nil"/>
              <w:left w:val="single" w:sz="4" w:space="0" w:color="auto"/>
              <w:bottom w:val="single" w:sz="4" w:space="0" w:color="auto"/>
              <w:right w:val="single" w:sz="4" w:space="0" w:color="auto"/>
            </w:tcBorders>
            <w:shd w:val="clear" w:color="auto" w:fill="auto"/>
            <w:noWrap/>
            <w:vAlign w:val="bottom"/>
            <w:hideMark/>
          </w:tcPr>
          <w:p w:rsidR="0024547C" w:rsidRPr="00104F4B" w:rsidRDefault="0024547C" w:rsidP="0024547C">
            <w:pPr>
              <w:rPr>
                <w:rFonts w:cs="Arial"/>
                <w:sz w:val="16"/>
                <w:szCs w:val="16"/>
                <w:lang w:eastAsia="es-CO"/>
              </w:rPr>
            </w:pPr>
            <w:r w:rsidRPr="00104F4B">
              <w:rPr>
                <w:rFonts w:cs="Arial"/>
                <w:sz w:val="16"/>
                <w:szCs w:val="16"/>
                <w:lang w:eastAsia="es-CO"/>
              </w:rPr>
              <w:t>RESPONSABILIDAD CIVIL EXTRACONTRACTUAL</w:t>
            </w:r>
          </w:p>
        </w:tc>
        <w:tc>
          <w:tcPr>
            <w:tcW w:w="1276" w:type="dxa"/>
            <w:tcBorders>
              <w:top w:val="nil"/>
              <w:left w:val="nil"/>
              <w:bottom w:val="single" w:sz="4" w:space="0" w:color="auto"/>
              <w:right w:val="single" w:sz="4" w:space="0" w:color="auto"/>
            </w:tcBorders>
            <w:shd w:val="clear" w:color="auto" w:fill="auto"/>
            <w:noWrap/>
            <w:vAlign w:val="bottom"/>
            <w:hideMark/>
          </w:tcPr>
          <w:p w:rsidR="0024547C" w:rsidRPr="00104F4B" w:rsidRDefault="0024547C" w:rsidP="0024547C">
            <w:pPr>
              <w:jc w:val="center"/>
              <w:rPr>
                <w:rFonts w:cs="Arial"/>
                <w:sz w:val="16"/>
                <w:szCs w:val="16"/>
                <w:lang w:eastAsia="es-CO"/>
              </w:rPr>
            </w:pPr>
            <w:r w:rsidRPr="00104F4B">
              <w:rPr>
                <w:rFonts w:cs="Arial"/>
                <w:sz w:val="16"/>
                <w:szCs w:val="16"/>
                <w:lang w:eastAsia="es-CO"/>
              </w:rPr>
              <w:t>1</w:t>
            </w:r>
          </w:p>
        </w:tc>
        <w:tc>
          <w:tcPr>
            <w:tcW w:w="2273" w:type="dxa"/>
            <w:tcBorders>
              <w:top w:val="nil"/>
              <w:left w:val="nil"/>
              <w:bottom w:val="single" w:sz="4" w:space="0" w:color="auto"/>
              <w:right w:val="single" w:sz="4" w:space="0" w:color="auto"/>
            </w:tcBorders>
            <w:shd w:val="clear" w:color="auto" w:fill="auto"/>
            <w:noWrap/>
            <w:vAlign w:val="bottom"/>
            <w:hideMark/>
          </w:tcPr>
          <w:p w:rsidR="0024547C" w:rsidRPr="00104F4B" w:rsidRDefault="0024547C" w:rsidP="0024547C">
            <w:pPr>
              <w:jc w:val="center"/>
              <w:rPr>
                <w:rFonts w:cs="Arial"/>
                <w:sz w:val="16"/>
                <w:szCs w:val="16"/>
                <w:lang w:eastAsia="es-CO"/>
              </w:rPr>
            </w:pPr>
            <w:r w:rsidRPr="00104F4B">
              <w:rPr>
                <w:rFonts w:cs="Arial"/>
                <w:sz w:val="16"/>
                <w:szCs w:val="16"/>
                <w:lang w:eastAsia="es-CO"/>
              </w:rPr>
              <w:t>0</w:t>
            </w:r>
          </w:p>
        </w:tc>
      </w:tr>
      <w:tr w:rsidR="0024547C" w:rsidRPr="00104F4B" w:rsidTr="0024547C">
        <w:trPr>
          <w:trHeight w:val="255"/>
          <w:jc w:val="center"/>
        </w:trPr>
        <w:tc>
          <w:tcPr>
            <w:tcW w:w="3539" w:type="dxa"/>
            <w:tcBorders>
              <w:top w:val="nil"/>
              <w:left w:val="single" w:sz="4" w:space="0" w:color="auto"/>
              <w:bottom w:val="single" w:sz="4" w:space="0" w:color="auto"/>
              <w:right w:val="single" w:sz="4" w:space="0" w:color="auto"/>
            </w:tcBorders>
            <w:shd w:val="clear" w:color="auto" w:fill="auto"/>
            <w:noWrap/>
            <w:vAlign w:val="bottom"/>
            <w:hideMark/>
          </w:tcPr>
          <w:p w:rsidR="0024547C" w:rsidRPr="00104F4B" w:rsidRDefault="0024547C" w:rsidP="0024547C">
            <w:pPr>
              <w:jc w:val="center"/>
              <w:rPr>
                <w:rFonts w:cs="Arial"/>
                <w:b/>
                <w:sz w:val="16"/>
                <w:szCs w:val="16"/>
                <w:lang w:eastAsia="es-CO"/>
              </w:rPr>
            </w:pPr>
            <w:r w:rsidRPr="00104F4B">
              <w:rPr>
                <w:rFonts w:cs="Arial"/>
                <w:b/>
                <w:sz w:val="16"/>
                <w:szCs w:val="16"/>
                <w:lang w:eastAsia="es-CO"/>
              </w:rPr>
              <w:t>Total general</w:t>
            </w:r>
          </w:p>
        </w:tc>
        <w:tc>
          <w:tcPr>
            <w:tcW w:w="1276" w:type="dxa"/>
            <w:tcBorders>
              <w:top w:val="nil"/>
              <w:left w:val="nil"/>
              <w:bottom w:val="single" w:sz="4" w:space="0" w:color="auto"/>
              <w:right w:val="single" w:sz="4" w:space="0" w:color="auto"/>
            </w:tcBorders>
            <w:shd w:val="clear" w:color="auto" w:fill="auto"/>
            <w:noWrap/>
            <w:vAlign w:val="bottom"/>
            <w:hideMark/>
          </w:tcPr>
          <w:p w:rsidR="0024547C" w:rsidRPr="00104F4B" w:rsidRDefault="0024547C" w:rsidP="0024547C">
            <w:pPr>
              <w:jc w:val="center"/>
              <w:rPr>
                <w:rFonts w:cs="Arial"/>
                <w:b/>
                <w:sz w:val="16"/>
                <w:szCs w:val="16"/>
                <w:lang w:eastAsia="es-CO"/>
              </w:rPr>
            </w:pPr>
            <w:r w:rsidRPr="00104F4B">
              <w:rPr>
                <w:rFonts w:cs="Arial"/>
                <w:b/>
                <w:sz w:val="16"/>
                <w:szCs w:val="16"/>
                <w:lang w:eastAsia="es-CO"/>
              </w:rPr>
              <w:t>14</w:t>
            </w:r>
          </w:p>
        </w:tc>
        <w:tc>
          <w:tcPr>
            <w:tcW w:w="2273" w:type="dxa"/>
            <w:tcBorders>
              <w:top w:val="nil"/>
              <w:left w:val="nil"/>
              <w:bottom w:val="single" w:sz="4" w:space="0" w:color="auto"/>
              <w:right w:val="single" w:sz="4" w:space="0" w:color="auto"/>
            </w:tcBorders>
            <w:shd w:val="clear" w:color="auto" w:fill="auto"/>
            <w:noWrap/>
            <w:vAlign w:val="bottom"/>
            <w:hideMark/>
          </w:tcPr>
          <w:p w:rsidR="0024547C" w:rsidRPr="00104F4B" w:rsidRDefault="0024547C" w:rsidP="0024547C">
            <w:pPr>
              <w:jc w:val="center"/>
              <w:rPr>
                <w:rFonts w:cs="Arial"/>
                <w:b/>
                <w:sz w:val="16"/>
                <w:szCs w:val="16"/>
                <w:lang w:eastAsia="es-CO"/>
              </w:rPr>
            </w:pPr>
            <w:r w:rsidRPr="00104F4B">
              <w:rPr>
                <w:rFonts w:cs="Arial"/>
                <w:b/>
                <w:sz w:val="16"/>
                <w:szCs w:val="16"/>
                <w:lang w:eastAsia="es-CO"/>
              </w:rPr>
              <w:t>$314.564.748</w:t>
            </w:r>
          </w:p>
        </w:tc>
      </w:tr>
    </w:tbl>
    <w:p w:rsidR="0024547C" w:rsidRPr="00104F4B" w:rsidRDefault="0024547C" w:rsidP="0024547C">
      <w:pPr>
        <w:jc w:val="center"/>
        <w:rPr>
          <w:rFonts w:cs="Arial"/>
          <w:b/>
          <w:sz w:val="16"/>
          <w:szCs w:val="16"/>
        </w:rPr>
      </w:pPr>
      <w:r w:rsidRPr="00104F4B">
        <w:rPr>
          <w:rFonts w:cs="Arial"/>
          <w:b/>
          <w:sz w:val="16"/>
          <w:szCs w:val="16"/>
        </w:rPr>
        <w:t>DTGJ-Procesos Iniciados 2018</w:t>
      </w:r>
    </w:p>
    <w:p w:rsidR="0024547C" w:rsidRPr="00104F4B" w:rsidRDefault="0024547C" w:rsidP="0024547C">
      <w:pPr>
        <w:jc w:val="center"/>
        <w:rPr>
          <w:rFonts w:cs="Arial"/>
          <w:b/>
          <w:sz w:val="24"/>
        </w:rPr>
      </w:pPr>
    </w:p>
    <w:p w:rsidR="0024547C" w:rsidRPr="00104F4B" w:rsidRDefault="0024547C" w:rsidP="0024547C">
      <w:pPr>
        <w:jc w:val="center"/>
        <w:rPr>
          <w:rFonts w:cs="Arial"/>
          <w:b/>
          <w:sz w:val="24"/>
        </w:rPr>
      </w:pPr>
      <w:r w:rsidRPr="00104F4B">
        <w:rPr>
          <w:rFonts w:cs="Arial"/>
          <w:noProof/>
          <w:sz w:val="24"/>
          <w:lang w:val="es-CO" w:eastAsia="es-CO"/>
        </w:rPr>
        <w:drawing>
          <wp:inline distT="0" distB="0" distL="0" distR="0" wp14:anchorId="5333E530" wp14:editId="08EC4B57">
            <wp:extent cx="5612130" cy="2172335"/>
            <wp:effectExtent l="0" t="0" r="7620" b="18415"/>
            <wp:docPr id="10"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24547C" w:rsidRPr="00104F4B" w:rsidRDefault="0024547C" w:rsidP="0024547C">
      <w:pPr>
        <w:tabs>
          <w:tab w:val="left" w:pos="0"/>
        </w:tabs>
        <w:rPr>
          <w:rFonts w:cs="Arial"/>
          <w:szCs w:val="22"/>
          <w:lang w:val="es-MX"/>
        </w:rPr>
      </w:pPr>
      <w:r w:rsidRPr="00104F4B">
        <w:rPr>
          <w:rFonts w:cs="Arial"/>
          <w:szCs w:val="22"/>
          <w:lang w:val="es-MX"/>
        </w:rPr>
        <w:t>Como objetivo general, la DTGJ estableció mantener un nivel de éxito procesal del 72% respecto de los procesos judiciales favorables al IDU. Durante el año 2018 se generaron 330 sentencias en los diferentes despachos judiciales de las cuales 249 fueron favorables, para un nivel de éxito procesal del 75%</w:t>
      </w:r>
    </w:p>
    <w:p w:rsidR="0024547C" w:rsidRDefault="0024547C" w:rsidP="0024547C">
      <w:pPr>
        <w:tabs>
          <w:tab w:val="left" w:pos="0"/>
        </w:tabs>
        <w:rPr>
          <w:rFonts w:cs="Arial"/>
          <w:b/>
          <w:szCs w:val="22"/>
          <w:lang w:val="es-MX"/>
        </w:rPr>
      </w:pPr>
      <w:r w:rsidRPr="00104F4B">
        <w:rPr>
          <w:rFonts w:cs="Arial"/>
          <w:b/>
          <w:szCs w:val="22"/>
          <w:lang w:val="es-MX"/>
        </w:rPr>
        <w:t>Otras actuaciones adelantadas</w:t>
      </w:r>
    </w:p>
    <w:p w:rsidR="005C3D90" w:rsidRPr="00104F4B" w:rsidRDefault="005C3D90" w:rsidP="0024547C">
      <w:pPr>
        <w:tabs>
          <w:tab w:val="left" w:pos="0"/>
        </w:tabs>
        <w:rPr>
          <w:rFonts w:cs="Arial"/>
          <w:b/>
          <w:szCs w:val="22"/>
          <w:lang w:val="es-MX"/>
        </w:rPr>
      </w:pPr>
    </w:p>
    <w:p w:rsidR="0024547C" w:rsidRPr="00104F4B" w:rsidRDefault="0024547C" w:rsidP="002625A5">
      <w:pPr>
        <w:pStyle w:val="Prrafodelista"/>
        <w:numPr>
          <w:ilvl w:val="0"/>
          <w:numId w:val="41"/>
        </w:numPr>
        <w:spacing w:before="0" w:after="160" w:line="259" w:lineRule="auto"/>
        <w:contextualSpacing/>
        <w:rPr>
          <w:rFonts w:ascii="Arial" w:eastAsia="Times New Roman" w:hAnsi="Arial" w:cs="Arial"/>
          <w:b/>
          <w:bCs/>
          <w:u w:val="single"/>
          <w:lang w:val="es-ES" w:eastAsia="es-ES"/>
        </w:rPr>
      </w:pPr>
      <w:r w:rsidRPr="00104F4B">
        <w:rPr>
          <w:rFonts w:ascii="Arial" w:eastAsia="Times New Roman" w:hAnsi="Arial" w:cs="Arial"/>
          <w:b/>
          <w:bCs/>
          <w:lang w:val="es-ES" w:eastAsia="es-ES"/>
        </w:rPr>
        <w:t xml:space="preserve">Notificaciones: </w:t>
      </w:r>
      <w:r w:rsidRPr="00104F4B">
        <w:rPr>
          <w:rFonts w:ascii="Arial" w:eastAsia="Times New Roman" w:hAnsi="Arial" w:cs="Arial"/>
          <w:bCs/>
          <w:lang w:val="es-ES" w:eastAsia="es-ES"/>
        </w:rPr>
        <w:t>Dentro de la gestión adelantada por esta Dirección Técnica tenemos que, no solo se ha ejercido la representación judicial en todas y cada una de las acciones judiciales en las que es parte el Instituto, sino que venimos prestando apoyo a las diferentes áreas del Instituto, al notificarnos de los autos y resoluciones expedidas por la Secretaría del Hábitat, Instituto Distrital de Patrimonio Cultural, Secretaria de Planeación, Comisión Nacional de Servicio Civil, Curaduría Urbana, Superintendencia de Notariado y Registro.</w:t>
      </w:r>
    </w:p>
    <w:p w:rsidR="0024547C" w:rsidRPr="00104F4B" w:rsidRDefault="0024547C" w:rsidP="002625A5">
      <w:pPr>
        <w:pStyle w:val="Prrafodelista"/>
        <w:widowControl w:val="0"/>
        <w:numPr>
          <w:ilvl w:val="0"/>
          <w:numId w:val="41"/>
        </w:numPr>
        <w:suppressAutoHyphens/>
        <w:spacing w:before="0" w:after="160" w:line="259" w:lineRule="auto"/>
        <w:contextualSpacing/>
        <w:rPr>
          <w:rFonts w:ascii="Arial" w:eastAsia="Times New Roman" w:hAnsi="Arial" w:cs="Arial"/>
          <w:bCs/>
          <w:lang w:val="es-ES" w:eastAsia="es-ES"/>
        </w:rPr>
      </w:pPr>
      <w:r w:rsidRPr="00104F4B">
        <w:rPr>
          <w:rFonts w:ascii="Arial" w:eastAsia="Arial Unicode MS" w:hAnsi="Arial" w:cs="Arial"/>
          <w:b/>
          <w:kern w:val="1"/>
          <w:lang w:val="es-ES_tradnl" w:eastAsia="ar-SA"/>
        </w:rPr>
        <w:t xml:space="preserve">Acciones populares: </w:t>
      </w:r>
      <w:r w:rsidRPr="00104F4B">
        <w:rPr>
          <w:rFonts w:ascii="Arial" w:eastAsia="Times New Roman" w:hAnsi="Arial" w:cs="Arial"/>
          <w:lang w:val="es-ES" w:eastAsia="es-ES"/>
        </w:rPr>
        <w:t>Se hizo seguimiento al cumplimiento del fallo de 27 Acciones Populares.</w:t>
      </w:r>
    </w:p>
    <w:p w:rsidR="0024547C" w:rsidRPr="00104F4B" w:rsidRDefault="0024547C" w:rsidP="002625A5">
      <w:pPr>
        <w:pStyle w:val="Prrafodelista"/>
        <w:numPr>
          <w:ilvl w:val="0"/>
          <w:numId w:val="41"/>
        </w:numPr>
        <w:spacing w:before="0" w:after="160" w:line="259" w:lineRule="auto"/>
        <w:contextualSpacing/>
        <w:rPr>
          <w:rFonts w:ascii="Arial" w:eastAsia="Times New Roman" w:hAnsi="Arial" w:cs="Arial"/>
          <w:lang w:val="es-ES" w:eastAsia="es-ES"/>
        </w:rPr>
      </w:pPr>
      <w:r w:rsidRPr="00104F4B">
        <w:rPr>
          <w:rFonts w:ascii="Arial" w:eastAsia="Times New Roman" w:hAnsi="Arial" w:cs="Arial"/>
          <w:b/>
          <w:lang w:val="es-ES" w:eastAsia="es-ES"/>
        </w:rPr>
        <w:t xml:space="preserve">Solicitudes de conciliación: </w:t>
      </w:r>
      <w:r w:rsidRPr="00104F4B">
        <w:rPr>
          <w:rFonts w:ascii="Arial" w:eastAsia="Times New Roman" w:hAnsi="Arial" w:cs="Arial"/>
          <w:lang w:val="es-ES" w:eastAsia="es-ES"/>
        </w:rPr>
        <w:t xml:space="preserve">Previo al Comité de Defensa Judicial, Conciliación y Repetición de la Entidad, la Dirección Técnica procede a hacer un estudio jurídico, analizando los hechos fácticos y jurídicos, realizando un estudio de la normatividad aplicable en cada caso, generando </w:t>
      </w:r>
      <w:r w:rsidRPr="00104F4B">
        <w:rPr>
          <w:rFonts w:ascii="Arial" w:eastAsia="Times New Roman" w:hAnsi="Arial" w:cs="Arial"/>
          <w:lang w:val="es-ES" w:eastAsia="es-ES"/>
        </w:rPr>
        <w:lastRenderedPageBreak/>
        <w:t>como consecuencia el respectivo concepto sobre la procedencia de una eventual conciliación judicial o prejudicial, según el caso. (Ley 640 de 2001).</w:t>
      </w:r>
    </w:p>
    <w:p w:rsidR="0024547C" w:rsidRPr="00104F4B" w:rsidRDefault="0024547C" w:rsidP="0024547C">
      <w:pPr>
        <w:rPr>
          <w:rFonts w:cs="Arial"/>
        </w:rPr>
      </w:pPr>
      <w:r w:rsidRPr="00104F4B">
        <w:rPr>
          <w:rFonts w:cs="Arial"/>
        </w:rPr>
        <w:t>Se sometieron a consideración del Comité de Defensa Judicial, Conciliación y Repetición, 182 solicitudes de Conciliación, 30 Fichas de repetición y 9 fichas de pacto de cumplimiento, teniendo como soporte igual número de estudios jurídicos y técnicos sobre los diferentes temas allí tratado</w:t>
      </w:r>
    </w:p>
    <w:p w:rsidR="0024547C" w:rsidRPr="00104F4B" w:rsidRDefault="0024547C" w:rsidP="0024547C">
      <w:pPr>
        <w:pStyle w:val="Cuerpo"/>
        <w:jc w:val="both"/>
        <w:rPr>
          <w:rStyle w:val="Ninguno"/>
          <w:rFonts w:cs="Arial"/>
          <w:lang w:val="es-ES_tradnl"/>
        </w:rPr>
      </w:pPr>
    </w:p>
    <w:p w:rsidR="0024547C" w:rsidRPr="00104F4B" w:rsidRDefault="00107CD4" w:rsidP="009A4DDD">
      <w:pPr>
        <w:pStyle w:val="Cuerpo"/>
        <w:jc w:val="both"/>
        <w:rPr>
          <w:rFonts w:cs="Arial"/>
          <w:lang w:val="es-MX"/>
        </w:rPr>
      </w:pPr>
      <w:r w:rsidRPr="00104F4B">
        <w:rPr>
          <w:rStyle w:val="Ninguno"/>
          <w:rFonts w:cs="Arial"/>
          <w:b/>
          <w:sz w:val="24"/>
          <w:szCs w:val="24"/>
          <w:lang w:val="es-ES_tradnl"/>
        </w:rPr>
        <w:t>Gestión de Procesos Selectivos</w:t>
      </w:r>
      <w:r w:rsidR="009A4DDD" w:rsidRPr="00104F4B">
        <w:rPr>
          <w:rStyle w:val="Ninguno"/>
          <w:rFonts w:cs="Arial"/>
          <w:b/>
          <w:sz w:val="24"/>
          <w:szCs w:val="24"/>
          <w:lang w:val="es-ES_tradnl"/>
        </w:rPr>
        <w:t xml:space="preserve">: </w:t>
      </w:r>
      <w:r w:rsidR="0024547C" w:rsidRPr="00104F4B">
        <w:rPr>
          <w:rFonts w:cs="Arial"/>
          <w:lang w:val="es-MX"/>
        </w:rPr>
        <w:t>La Dirección Técnica de Procesos Selectivos para la vigencia 2018, adelantó los siguientes procesos de selección así:</w:t>
      </w:r>
    </w:p>
    <w:p w:rsidR="0091299B" w:rsidRPr="00104F4B" w:rsidRDefault="0091299B" w:rsidP="0024547C">
      <w:pPr>
        <w:rPr>
          <w:rFonts w:cs="Arial"/>
          <w:szCs w:val="22"/>
          <w:lang w:val="es-MX"/>
        </w:rPr>
      </w:pPr>
    </w:p>
    <w:tbl>
      <w:tblPr>
        <w:tblStyle w:val="Tablaconcuadrcula"/>
        <w:tblW w:w="0" w:type="auto"/>
        <w:jc w:val="center"/>
        <w:tblLook w:val="04A0" w:firstRow="1" w:lastRow="0" w:firstColumn="1" w:lastColumn="0" w:noHBand="0" w:noVBand="1"/>
      </w:tblPr>
      <w:tblGrid>
        <w:gridCol w:w="2122"/>
        <w:gridCol w:w="1417"/>
      </w:tblGrid>
      <w:tr w:rsidR="0024547C" w:rsidRPr="00104F4B" w:rsidTr="009A4DDD">
        <w:trPr>
          <w:jc w:val="center"/>
        </w:trPr>
        <w:tc>
          <w:tcPr>
            <w:tcW w:w="2122" w:type="dxa"/>
          </w:tcPr>
          <w:p w:rsidR="0024547C" w:rsidRPr="00104F4B" w:rsidRDefault="0024547C" w:rsidP="0024547C">
            <w:pPr>
              <w:jc w:val="center"/>
              <w:rPr>
                <w:rFonts w:cs="Arial"/>
                <w:b/>
                <w:sz w:val="16"/>
                <w:szCs w:val="16"/>
              </w:rPr>
            </w:pPr>
            <w:r w:rsidRPr="00104F4B">
              <w:rPr>
                <w:rFonts w:cs="Arial"/>
                <w:b/>
                <w:sz w:val="16"/>
                <w:szCs w:val="16"/>
              </w:rPr>
              <w:t>TIPO DE PROCESO</w:t>
            </w:r>
          </w:p>
        </w:tc>
        <w:tc>
          <w:tcPr>
            <w:tcW w:w="1417" w:type="dxa"/>
          </w:tcPr>
          <w:p w:rsidR="0024547C" w:rsidRPr="00104F4B" w:rsidRDefault="0024547C" w:rsidP="0024547C">
            <w:pPr>
              <w:jc w:val="center"/>
              <w:rPr>
                <w:rFonts w:cs="Arial"/>
                <w:b/>
                <w:sz w:val="16"/>
                <w:szCs w:val="16"/>
              </w:rPr>
            </w:pPr>
            <w:r w:rsidRPr="00104F4B">
              <w:rPr>
                <w:rFonts w:cs="Arial"/>
                <w:b/>
                <w:sz w:val="16"/>
                <w:szCs w:val="16"/>
              </w:rPr>
              <w:t>CANTIDAD</w:t>
            </w:r>
          </w:p>
        </w:tc>
      </w:tr>
      <w:tr w:rsidR="0024547C" w:rsidRPr="00104F4B" w:rsidTr="009A4DDD">
        <w:trPr>
          <w:jc w:val="center"/>
        </w:trPr>
        <w:tc>
          <w:tcPr>
            <w:tcW w:w="2122" w:type="dxa"/>
          </w:tcPr>
          <w:p w:rsidR="0024547C" w:rsidRPr="00104F4B" w:rsidRDefault="0024547C" w:rsidP="0024547C">
            <w:pPr>
              <w:rPr>
                <w:rFonts w:cs="Arial"/>
                <w:sz w:val="16"/>
                <w:szCs w:val="16"/>
              </w:rPr>
            </w:pPr>
            <w:r w:rsidRPr="00104F4B">
              <w:rPr>
                <w:rFonts w:cs="Arial"/>
                <w:sz w:val="16"/>
                <w:szCs w:val="16"/>
              </w:rPr>
              <w:t xml:space="preserve">MISIONALES </w:t>
            </w:r>
          </w:p>
        </w:tc>
        <w:tc>
          <w:tcPr>
            <w:tcW w:w="1417" w:type="dxa"/>
          </w:tcPr>
          <w:p w:rsidR="0024547C" w:rsidRPr="00104F4B" w:rsidRDefault="0024547C" w:rsidP="0024547C">
            <w:pPr>
              <w:jc w:val="center"/>
              <w:rPr>
                <w:rFonts w:cs="Arial"/>
                <w:sz w:val="16"/>
                <w:szCs w:val="16"/>
              </w:rPr>
            </w:pPr>
            <w:r w:rsidRPr="00104F4B">
              <w:rPr>
                <w:rFonts w:cs="Arial"/>
                <w:sz w:val="16"/>
                <w:szCs w:val="16"/>
              </w:rPr>
              <w:t>62</w:t>
            </w:r>
          </w:p>
        </w:tc>
      </w:tr>
      <w:tr w:rsidR="0024547C" w:rsidRPr="00104F4B" w:rsidTr="009A4DDD">
        <w:trPr>
          <w:jc w:val="center"/>
        </w:trPr>
        <w:tc>
          <w:tcPr>
            <w:tcW w:w="2122" w:type="dxa"/>
          </w:tcPr>
          <w:p w:rsidR="0024547C" w:rsidRPr="00104F4B" w:rsidRDefault="0024547C" w:rsidP="0024547C">
            <w:pPr>
              <w:rPr>
                <w:rFonts w:cs="Arial"/>
                <w:sz w:val="16"/>
                <w:szCs w:val="16"/>
              </w:rPr>
            </w:pPr>
            <w:r w:rsidRPr="00104F4B">
              <w:rPr>
                <w:rFonts w:cs="Arial"/>
                <w:sz w:val="16"/>
                <w:szCs w:val="16"/>
              </w:rPr>
              <w:t>FUNCIONAMIENTO</w:t>
            </w:r>
          </w:p>
        </w:tc>
        <w:tc>
          <w:tcPr>
            <w:tcW w:w="1417" w:type="dxa"/>
          </w:tcPr>
          <w:p w:rsidR="0024547C" w:rsidRPr="00104F4B" w:rsidRDefault="0024547C" w:rsidP="0024547C">
            <w:pPr>
              <w:jc w:val="center"/>
              <w:rPr>
                <w:rFonts w:cs="Arial"/>
                <w:sz w:val="16"/>
                <w:szCs w:val="16"/>
              </w:rPr>
            </w:pPr>
            <w:r w:rsidRPr="00104F4B">
              <w:rPr>
                <w:rFonts w:cs="Arial"/>
                <w:sz w:val="16"/>
                <w:szCs w:val="16"/>
              </w:rPr>
              <w:t>64</w:t>
            </w:r>
          </w:p>
        </w:tc>
      </w:tr>
      <w:tr w:rsidR="0024547C" w:rsidRPr="00104F4B" w:rsidTr="009A4DDD">
        <w:trPr>
          <w:jc w:val="center"/>
        </w:trPr>
        <w:tc>
          <w:tcPr>
            <w:tcW w:w="2122" w:type="dxa"/>
            <w:shd w:val="clear" w:color="auto" w:fill="DBE5F1" w:themeFill="accent1" w:themeFillTint="33"/>
          </w:tcPr>
          <w:p w:rsidR="0024547C" w:rsidRPr="00104F4B" w:rsidRDefault="0024547C" w:rsidP="0024547C">
            <w:pPr>
              <w:rPr>
                <w:rFonts w:cs="Arial"/>
                <w:b/>
                <w:sz w:val="16"/>
                <w:szCs w:val="16"/>
              </w:rPr>
            </w:pPr>
            <w:r w:rsidRPr="00104F4B">
              <w:rPr>
                <w:rFonts w:cs="Arial"/>
                <w:b/>
                <w:sz w:val="16"/>
                <w:szCs w:val="16"/>
              </w:rPr>
              <w:t>TOTAL PROCESOS</w:t>
            </w:r>
          </w:p>
        </w:tc>
        <w:tc>
          <w:tcPr>
            <w:tcW w:w="1417" w:type="dxa"/>
            <w:shd w:val="clear" w:color="auto" w:fill="DBE5F1" w:themeFill="accent1" w:themeFillTint="33"/>
          </w:tcPr>
          <w:p w:rsidR="0024547C" w:rsidRPr="00104F4B" w:rsidRDefault="0024547C" w:rsidP="0024547C">
            <w:pPr>
              <w:jc w:val="center"/>
              <w:rPr>
                <w:rFonts w:cs="Arial"/>
                <w:b/>
                <w:sz w:val="16"/>
                <w:szCs w:val="16"/>
              </w:rPr>
            </w:pPr>
            <w:r w:rsidRPr="00104F4B">
              <w:rPr>
                <w:rFonts w:cs="Arial"/>
                <w:b/>
                <w:sz w:val="16"/>
                <w:szCs w:val="16"/>
              </w:rPr>
              <w:t>126</w:t>
            </w:r>
          </w:p>
        </w:tc>
      </w:tr>
    </w:tbl>
    <w:p w:rsidR="0024547C" w:rsidRPr="00104F4B" w:rsidRDefault="0024547C" w:rsidP="0024547C">
      <w:pPr>
        <w:jc w:val="center"/>
        <w:rPr>
          <w:rFonts w:cs="Arial"/>
          <w:sz w:val="16"/>
          <w:szCs w:val="16"/>
        </w:rPr>
      </w:pPr>
      <w:r w:rsidRPr="00104F4B">
        <w:rPr>
          <w:rFonts w:cs="Arial"/>
          <w:sz w:val="16"/>
          <w:szCs w:val="16"/>
        </w:rPr>
        <w:t>DTPS-Procesos de Selección 2018</w:t>
      </w:r>
    </w:p>
    <w:tbl>
      <w:tblPr>
        <w:tblStyle w:val="Tablaconcuadrcula"/>
        <w:tblW w:w="0" w:type="auto"/>
        <w:jc w:val="center"/>
        <w:tblLook w:val="04A0" w:firstRow="1" w:lastRow="0" w:firstColumn="1" w:lastColumn="0" w:noHBand="0" w:noVBand="1"/>
      </w:tblPr>
      <w:tblGrid>
        <w:gridCol w:w="2190"/>
        <w:gridCol w:w="1052"/>
        <w:gridCol w:w="1746"/>
      </w:tblGrid>
      <w:tr w:rsidR="0024547C" w:rsidRPr="00104F4B" w:rsidTr="009A4DDD">
        <w:trPr>
          <w:trHeight w:val="307"/>
          <w:jc w:val="center"/>
        </w:trPr>
        <w:tc>
          <w:tcPr>
            <w:tcW w:w="0" w:type="auto"/>
          </w:tcPr>
          <w:p w:rsidR="0024547C" w:rsidRPr="00104F4B" w:rsidRDefault="0024547C" w:rsidP="0091299B">
            <w:pPr>
              <w:jc w:val="center"/>
              <w:rPr>
                <w:rFonts w:cs="Arial"/>
                <w:b/>
                <w:sz w:val="16"/>
                <w:szCs w:val="16"/>
              </w:rPr>
            </w:pPr>
            <w:r w:rsidRPr="00104F4B">
              <w:rPr>
                <w:rFonts w:cs="Arial"/>
                <w:b/>
                <w:sz w:val="16"/>
                <w:szCs w:val="16"/>
              </w:rPr>
              <w:t>TIPO DE PROCESO</w:t>
            </w:r>
          </w:p>
        </w:tc>
        <w:tc>
          <w:tcPr>
            <w:tcW w:w="0" w:type="auto"/>
          </w:tcPr>
          <w:p w:rsidR="0024547C" w:rsidRPr="00104F4B" w:rsidRDefault="0024547C" w:rsidP="0024547C">
            <w:pPr>
              <w:jc w:val="center"/>
              <w:rPr>
                <w:rFonts w:cs="Arial"/>
                <w:b/>
                <w:sz w:val="16"/>
                <w:szCs w:val="16"/>
              </w:rPr>
            </w:pPr>
            <w:r w:rsidRPr="00104F4B">
              <w:rPr>
                <w:rFonts w:cs="Arial"/>
                <w:b/>
                <w:sz w:val="16"/>
                <w:szCs w:val="16"/>
              </w:rPr>
              <w:t>CANTIDAD</w:t>
            </w:r>
          </w:p>
        </w:tc>
        <w:tc>
          <w:tcPr>
            <w:tcW w:w="0" w:type="auto"/>
          </w:tcPr>
          <w:p w:rsidR="0024547C" w:rsidRPr="00104F4B" w:rsidRDefault="0024547C" w:rsidP="0024547C">
            <w:pPr>
              <w:jc w:val="center"/>
              <w:rPr>
                <w:rFonts w:cs="Arial"/>
                <w:b/>
                <w:sz w:val="16"/>
                <w:szCs w:val="16"/>
              </w:rPr>
            </w:pPr>
            <w:r w:rsidRPr="00104F4B">
              <w:rPr>
                <w:rFonts w:cs="Arial"/>
                <w:b/>
                <w:sz w:val="16"/>
                <w:szCs w:val="16"/>
              </w:rPr>
              <w:t>No. PROPONENTES</w:t>
            </w:r>
          </w:p>
        </w:tc>
      </w:tr>
      <w:tr w:rsidR="0024547C" w:rsidRPr="00104F4B" w:rsidTr="009A4DDD">
        <w:trPr>
          <w:trHeight w:val="307"/>
          <w:jc w:val="center"/>
        </w:trPr>
        <w:tc>
          <w:tcPr>
            <w:tcW w:w="0" w:type="auto"/>
          </w:tcPr>
          <w:p w:rsidR="0024547C" w:rsidRPr="00104F4B" w:rsidRDefault="0024547C" w:rsidP="0024547C">
            <w:pPr>
              <w:rPr>
                <w:rFonts w:cs="Arial"/>
                <w:sz w:val="16"/>
                <w:szCs w:val="16"/>
              </w:rPr>
            </w:pPr>
            <w:r w:rsidRPr="00104F4B">
              <w:rPr>
                <w:rFonts w:cs="Arial"/>
                <w:sz w:val="16"/>
                <w:szCs w:val="16"/>
              </w:rPr>
              <w:t>CMA</w:t>
            </w:r>
          </w:p>
        </w:tc>
        <w:tc>
          <w:tcPr>
            <w:tcW w:w="0" w:type="auto"/>
          </w:tcPr>
          <w:p w:rsidR="0024547C" w:rsidRPr="00104F4B" w:rsidRDefault="0024547C" w:rsidP="0024547C">
            <w:pPr>
              <w:jc w:val="center"/>
              <w:rPr>
                <w:rFonts w:cs="Arial"/>
                <w:sz w:val="16"/>
                <w:szCs w:val="16"/>
              </w:rPr>
            </w:pPr>
            <w:r w:rsidRPr="00104F4B">
              <w:rPr>
                <w:rFonts w:cs="Arial"/>
                <w:sz w:val="16"/>
                <w:szCs w:val="16"/>
              </w:rPr>
              <w:t>40</w:t>
            </w:r>
          </w:p>
        </w:tc>
        <w:tc>
          <w:tcPr>
            <w:tcW w:w="0" w:type="auto"/>
          </w:tcPr>
          <w:p w:rsidR="0024547C" w:rsidRPr="00104F4B" w:rsidRDefault="0024547C" w:rsidP="0024547C">
            <w:pPr>
              <w:jc w:val="center"/>
              <w:rPr>
                <w:rFonts w:cs="Arial"/>
                <w:sz w:val="16"/>
                <w:szCs w:val="16"/>
              </w:rPr>
            </w:pPr>
            <w:r w:rsidRPr="00104F4B">
              <w:rPr>
                <w:rFonts w:cs="Arial"/>
                <w:sz w:val="16"/>
                <w:szCs w:val="16"/>
              </w:rPr>
              <w:t>386</w:t>
            </w:r>
          </w:p>
        </w:tc>
      </w:tr>
      <w:tr w:rsidR="0024547C" w:rsidRPr="00104F4B" w:rsidTr="009A4DDD">
        <w:trPr>
          <w:trHeight w:val="307"/>
          <w:jc w:val="center"/>
        </w:trPr>
        <w:tc>
          <w:tcPr>
            <w:tcW w:w="0" w:type="auto"/>
          </w:tcPr>
          <w:p w:rsidR="0024547C" w:rsidRPr="00104F4B" w:rsidRDefault="0024547C" w:rsidP="0024547C">
            <w:pPr>
              <w:rPr>
                <w:rFonts w:cs="Arial"/>
                <w:sz w:val="16"/>
                <w:szCs w:val="16"/>
              </w:rPr>
            </w:pPr>
            <w:r w:rsidRPr="00104F4B">
              <w:rPr>
                <w:rFonts w:cs="Arial"/>
                <w:sz w:val="16"/>
                <w:szCs w:val="16"/>
              </w:rPr>
              <w:t>LP</w:t>
            </w:r>
          </w:p>
        </w:tc>
        <w:tc>
          <w:tcPr>
            <w:tcW w:w="0" w:type="auto"/>
          </w:tcPr>
          <w:p w:rsidR="0024547C" w:rsidRPr="00104F4B" w:rsidRDefault="0024547C" w:rsidP="0024547C">
            <w:pPr>
              <w:jc w:val="center"/>
              <w:rPr>
                <w:rFonts w:cs="Arial"/>
                <w:sz w:val="16"/>
                <w:szCs w:val="16"/>
              </w:rPr>
            </w:pPr>
            <w:r w:rsidRPr="00104F4B">
              <w:rPr>
                <w:rFonts w:cs="Arial"/>
                <w:sz w:val="16"/>
                <w:szCs w:val="16"/>
              </w:rPr>
              <w:t>14</w:t>
            </w:r>
          </w:p>
        </w:tc>
        <w:tc>
          <w:tcPr>
            <w:tcW w:w="0" w:type="auto"/>
          </w:tcPr>
          <w:p w:rsidR="0024547C" w:rsidRPr="00104F4B" w:rsidRDefault="0024547C" w:rsidP="0024547C">
            <w:pPr>
              <w:jc w:val="center"/>
              <w:rPr>
                <w:rFonts w:cs="Arial"/>
                <w:sz w:val="16"/>
                <w:szCs w:val="16"/>
              </w:rPr>
            </w:pPr>
            <w:r w:rsidRPr="00104F4B">
              <w:rPr>
                <w:rFonts w:cs="Arial"/>
                <w:sz w:val="16"/>
                <w:szCs w:val="16"/>
              </w:rPr>
              <w:t>89</w:t>
            </w:r>
          </w:p>
        </w:tc>
      </w:tr>
      <w:tr w:rsidR="0024547C" w:rsidRPr="00104F4B" w:rsidTr="009A4DDD">
        <w:trPr>
          <w:trHeight w:val="307"/>
          <w:jc w:val="center"/>
        </w:trPr>
        <w:tc>
          <w:tcPr>
            <w:tcW w:w="0" w:type="auto"/>
          </w:tcPr>
          <w:p w:rsidR="0024547C" w:rsidRPr="00104F4B" w:rsidRDefault="0024547C" w:rsidP="0024547C">
            <w:pPr>
              <w:rPr>
                <w:rFonts w:cs="Arial"/>
                <w:sz w:val="16"/>
                <w:szCs w:val="16"/>
              </w:rPr>
            </w:pPr>
            <w:r w:rsidRPr="00104F4B">
              <w:rPr>
                <w:rFonts w:cs="Arial"/>
                <w:sz w:val="16"/>
                <w:szCs w:val="16"/>
              </w:rPr>
              <w:t>SA</w:t>
            </w:r>
          </w:p>
        </w:tc>
        <w:tc>
          <w:tcPr>
            <w:tcW w:w="0" w:type="auto"/>
          </w:tcPr>
          <w:p w:rsidR="0024547C" w:rsidRPr="00104F4B" w:rsidRDefault="0024547C" w:rsidP="0024547C">
            <w:pPr>
              <w:jc w:val="center"/>
              <w:rPr>
                <w:rFonts w:cs="Arial"/>
                <w:sz w:val="16"/>
                <w:szCs w:val="16"/>
              </w:rPr>
            </w:pPr>
            <w:r w:rsidRPr="00104F4B">
              <w:rPr>
                <w:rFonts w:cs="Arial"/>
                <w:sz w:val="16"/>
                <w:szCs w:val="16"/>
              </w:rPr>
              <w:t>2</w:t>
            </w:r>
          </w:p>
        </w:tc>
        <w:tc>
          <w:tcPr>
            <w:tcW w:w="0" w:type="auto"/>
          </w:tcPr>
          <w:p w:rsidR="0024547C" w:rsidRPr="00104F4B" w:rsidRDefault="0024547C" w:rsidP="0024547C">
            <w:pPr>
              <w:jc w:val="center"/>
              <w:rPr>
                <w:rFonts w:cs="Arial"/>
                <w:sz w:val="16"/>
                <w:szCs w:val="16"/>
              </w:rPr>
            </w:pPr>
            <w:r w:rsidRPr="00104F4B">
              <w:rPr>
                <w:rFonts w:cs="Arial"/>
                <w:sz w:val="16"/>
                <w:szCs w:val="16"/>
              </w:rPr>
              <w:t>2</w:t>
            </w:r>
          </w:p>
        </w:tc>
      </w:tr>
      <w:tr w:rsidR="0024547C" w:rsidRPr="00104F4B" w:rsidTr="009A4DDD">
        <w:trPr>
          <w:trHeight w:val="307"/>
          <w:jc w:val="center"/>
        </w:trPr>
        <w:tc>
          <w:tcPr>
            <w:tcW w:w="0" w:type="auto"/>
          </w:tcPr>
          <w:p w:rsidR="0024547C" w:rsidRPr="00104F4B" w:rsidRDefault="0024547C" w:rsidP="0024547C">
            <w:pPr>
              <w:rPr>
                <w:rFonts w:cs="Arial"/>
                <w:sz w:val="16"/>
                <w:szCs w:val="16"/>
              </w:rPr>
            </w:pPr>
            <w:r w:rsidRPr="00104F4B">
              <w:rPr>
                <w:rFonts w:cs="Arial"/>
                <w:sz w:val="16"/>
                <w:szCs w:val="16"/>
              </w:rPr>
              <w:t>SAMC</w:t>
            </w:r>
          </w:p>
        </w:tc>
        <w:tc>
          <w:tcPr>
            <w:tcW w:w="0" w:type="auto"/>
          </w:tcPr>
          <w:p w:rsidR="0024547C" w:rsidRPr="00104F4B" w:rsidRDefault="0024547C" w:rsidP="0024547C">
            <w:pPr>
              <w:jc w:val="center"/>
              <w:rPr>
                <w:rFonts w:cs="Arial"/>
                <w:sz w:val="16"/>
                <w:szCs w:val="16"/>
              </w:rPr>
            </w:pPr>
            <w:r w:rsidRPr="00104F4B">
              <w:rPr>
                <w:rFonts w:cs="Arial"/>
                <w:sz w:val="16"/>
                <w:szCs w:val="16"/>
              </w:rPr>
              <w:t>4</w:t>
            </w:r>
          </w:p>
        </w:tc>
        <w:tc>
          <w:tcPr>
            <w:tcW w:w="0" w:type="auto"/>
          </w:tcPr>
          <w:p w:rsidR="0024547C" w:rsidRPr="00104F4B" w:rsidRDefault="0024547C" w:rsidP="0024547C">
            <w:pPr>
              <w:jc w:val="center"/>
              <w:rPr>
                <w:rFonts w:cs="Arial"/>
                <w:sz w:val="16"/>
                <w:szCs w:val="16"/>
              </w:rPr>
            </w:pPr>
            <w:r w:rsidRPr="00104F4B">
              <w:rPr>
                <w:rFonts w:cs="Arial"/>
                <w:sz w:val="16"/>
                <w:szCs w:val="16"/>
              </w:rPr>
              <w:t>5</w:t>
            </w:r>
          </w:p>
        </w:tc>
      </w:tr>
      <w:tr w:rsidR="0024547C" w:rsidRPr="00104F4B" w:rsidTr="009A4DDD">
        <w:trPr>
          <w:trHeight w:val="307"/>
          <w:jc w:val="center"/>
        </w:trPr>
        <w:tc>
          <w:tcPr>
            <w:tcW w:w="0" w:type="auto"/>
          </w:tcPr>
          <w:p w:rsidR="0024547C" w:rsidRPr="00104F4B" w:rsidRDefault="0024547C" w:rsidP="0024547C">
            <w:pPr>
              <w:rPr>
                <w:rFonts w:cs="Arial"/>
                <w:sz w:val="16"/>
                <w:szCs w:val="16"/>
              </w:rPr>
            </w:pPr>
            <w:r w:rsidRPr="00104F4B">
              <w:rPr>
                <w:rFonts w:cs="Arial"/>
                <w:sz w:val="16"/>
                <w:szCs w:val="16"/>
              </w:rPr>
              <w:t>SASI</w:t>
            </w:r>
          </w:p>
        </w:tc>
        <w:tc>
          <w:tcPr>
            <w:tcW w:w="0" w:type="auto"/>
          </w:tcPr>
          <w:p w:rsidR="0024547C" w:rsidRPr="00104F4B" w:rsidRDefault="0024547C" w:rsidP="0024547C">
            <w:pPr>
              <w:jc w:val="center"/>
              <w:rPr>
                <w:rFonts w:cs="Arial"/>
                <w:sz w:val="16"/>
                <w:szCs w:val="16"/>
              </w:rPr>
            </w:pPr>
            <w:r w:rsidRPr="00104F4B">
              <w:rPr>
                <w:rFonts w:cs="Arial"/>
                <w:sz w:val="16"/>
                <w:szCs w:val="16"/>
              </w:rPr>
              <w:t>2</w:t>
            </w:r>
          </w:p>
        </w:tc>
        <w:tc>
          <w:tcPr>
            <w:tcW w:w="0" w:type="auto"/>
          </w:tcPr>
          <w:p w:rsidR="0024547C" w:rsidRPr="00104F4B" w:rsidRDefault="0024547C" w:rsidP="0024547C">
            <w:pPr>
              <w:jc w:val="center"/>
              <w:rPr>
                <w:rFonts w:cs="Arial"/>
                <w:sz w:val="16"/>
                <w:szCs w:val="16"/>
              </w:rPr>
            </w:pPr>
            <w:r w:rsidRPr="00104F4B">
              <w:rPr>
                <w:rFonts w:cs="Arial"/>
                <w:sz w:val="16"/>
                <w:szCs w:val="16"/>
              </w:rPr>
              <w:t>0</w:t>
            </w:r>
          </w:p>
        </w:tc>
      </w:tr>
      <w:tr w:rsidR="0024547C" w:rsidRPr="00104F4B" w:rsidTr="009A4DDD">
        <w:trPr>
          <w:trHeight w:val="307"/>
          <w:jc w:val="center"/>
        </w:trPr>
        <w:tc>
          <w:tcPr>
            <w:tcW w:w="0" w:type="auto"/>
            <w:shd w:val="clear" w:color="auto" w:fill="DBE5F1" w:themeFill="accent1" w:themeFillTint="33"/>
          </w:tcPr>
          <w:p w:rsidR="0024547C" w:rsidRPr="00104F4B" w:rsidRDefault="0024547C" w:rsidP="0024547C">
            <w:pPr>
              <w:jc w:val="center"/>
              <w:rPr>
                <w:rFonts w:cs="Arial"/>
                <w:b/>
                <w:sz w:val="16"/>
                <w:szCs w:val="16"/>
              </w:rPr>
            </w:pPr>
            <w:r w:rsidRPr="00104F4B">
              <w:rPr>
                <w:rFonts w:cs="Arial"/>
                <w:b/>
                <w:sz w:val="16"/>
                <w:szCs w:val="16"/>
              </w:rPr>
              <w:t>TOTAL MISIONALES 2018</w:t>
            </w:r>
          </w:p>
        </w:tc>
        <w:tc>
          <w:tcPr>
            <w:tcW w:w="0" w:type="auto"/>
            <w:shd w:val="clear" w:color="auto" w:fill="DBE5F1" w:themeFill="accent1" w:themeFillTint="33"/>
          </w:tcPr>
          <w:p w:rsidR="0024547C" w:rsidRPr="00104F4B" w:rsidRDefault="0024547C" w:rsidP="00107CD4">
            <w:pPr>
              <w:jc w:val="center"/>
              <w:rPr>
                <w:rFonts w:cs="Arial"/>
                <w:b/>
                <w:sz w:val="16"/>
                <w:szCs w:val="16"/>
              </w:rPr>
            </w:pPr>
            <w:r w:rsidRPr="00104F4B">
              <w:rPr>
                <w:rFonts w:cs="Arial"/>
                <w:b/>
                <w:sz w:val="16"/>
                <w:szCs w:val="16"/>
              </w:rPr>
              <w:t>62</w:t>
            </w:r>
          </w:p>
        </w:tc>
        <w:tc>
          <w:tcPr>
            <w:tcW w:w="0" w:type="auto"/>
            <w:shd w:val="clear" w:color="auto" w:fill="DBE5F1" w:themeFill="accent1" w:themeFillTint="33"/>
          </w:tcPr>
          <w:p w:rsidR="0024547C" w:rsidRPr="00104F4B" w:rsidRDefault="0024547C" w:rsidP="0024547C">
            <w:pPr>
              <w:jc w:val="center"/>
              <w:rPr>
                <w:rFonts w:cs="Arial"/>
                <w:b/>
                <w:sz w:val="16"/>
                <w:szCs w:val="16"/>
              </w:rPr>
            </w:pPr>
            <w:r w:rsidRPr="00104F4B">
              <w:rPr>
                <w:rFonts w:cs="Arial"/>
                <w:b/>
                <w:sz w:val="16"/>
                <w:szCs w:val="16"/>
              </w:rPr>
              <w:t>482</w:t>
            </w:r>
          </w:p>
        </w:tc>
      </w:tr>
    </w:tbl>
    <w:p w:rsidR="0024547C" w:rsidRPr="00104F4B" w:rsidRDefault="0024547C" w:rsidP="0024547C">
      <w:pPr>
        <w:jc w:val="center"/>
        <w:rPr>
          <w:rFonts w:cs="Arial"/>
          <w:sz w:val="16"/>
          <w:szCs w:val="16"/>
        </w:rPr>
      </w:pPr>
      <w:r w:rsidRPr="00104F4B">
        <w:rPr>
          <w:rFonts w:cs="Arial"/>
          <w:sz w:val="16"/>
          <w:szCs w:val="16"/>
        </w:rPr>
        <w:t>DTPS-Tipo de Procesos de Selección Misionales 2018</w:t>
      </w:r>
    </w:p>
    <w:p w:rsidR="0024547C" w:rsidRDefault="0024547C" w:rsidP="0024547C">
      <w:pPr>
        <w:jc w:val="center"/>
        <w:rPr>
          <w:rFonts w:cs="Arial"/>
          <w:sz w:val="16"/>
          <w:szCs w:val="16"/>
        </w:rPr>
      </w:pPr>
    </w:p>
    <w:tbl>
      <w:tblPr>
        <w:tblStyle w:val="Tablaconcuadrcula"/>
        <w:tblW w:w="0" w:type="auto"/>
        <w:tblInd w:w="1555" w:type="dxa"/>
        <w:tblLook w:val="04A0" w:firstRow="1" w:lastRow="0" w:firstColumn="1" w:lastColumn="0" w:noHBand="0" w:noVBand="1"/>
      </w:tblPr>
      <w:tblGrid>
        <w:gridCol w:w="2960"/>
        <w:gridCol w:w="1150"/>
        <w:gridCol w:w="2127"/>
      </w:tblGrid>
      <w:tr w:rsidR="0024547C" w:rsidRPr="00104F4B" w:rsidTr="009A4DDD">
        <w:tc>
          <w:tcPr>
            <w:tcW w:w="2960" w:type="dxa"/>
          </w:tcPr>
          <w:p w:rsidR="0024547C" w:rsidRPr="00104F4B" w:rsidRDefault="0024547C" w:rsidP="0024547C">
            <w:pPr>
              <w:jc w:val="center"/>
              <w:rPr>
                <w:rFonts w:cs="Arial"/>
                <w:b/>
                <w:sz w:val="16"/>
                <w:szCs w:val="16"/>
              </w:rPr>
            </w:pPr>
            <w:r w:rsidRPr="00104F4B">
              <w:rPr>
                <w:rFonts w:cs="Arial"/>
                <w:b/>
                <w:sz w:val="16"/>
                <w:szCs w:val="16"/>
              </w:rPr>
              <w:t>TIPO DE PROCESO</w:t>
            </w:r>
          </w:p>
        </w:tc>
        <w:tc>
          <w:tcPr>
            <w:tcW w:w="1150" w:type="dxa"/>
          </w:tcPr>
          <w:p w:rsidR="0024547C" w:rsidRPr="00104F4B" w:rsidRDefault="0024547C" w:rsidP="0024547C">
            <w:pPr>
              <w:jc w:val="center"/>
              <w:rPr>
                <w:rFonts w:cs="Arial"/>
                <w:b/>
                <w:sz w:val="16"/>
                <w:szCs w:val="16"/>
              </w:rPr>
            </w:pPr>
            <w:r w:rsidRPr="00104F4B">
              <w:rPr>
                <w:rFonts w:cs="Arial"/>
                <w:b/>
                <w:sz w:val="16"/>
                <w:szCs w:val="16"/>
              </w:rPr>
              <w:t>CANTIDAD</w:t>
            </w:r>
          </w:p>
        </w:tc>
        <w:tc>
          <w:tcPr>
            <w:tcW w:w="2127" w:type="dxa"/>
          </w:tcPr>
          <w:p w:rsidR="0024547C" w:rsidRPr="00104F4B" w:rsidRDefault="0024547C" w:rsidP="0024547C">
            <w:pPr>
              <w:jc w:val="center"/>
              <w:rPr>
                <w:rFonts w:cs="Arial"/>
                <w:b/>
                <w:sz w:val="16"/>
                <w:szCs w:val="16"/>
              </w:rPr>
            </w:pPr>
            <w:r w:rsidRPr="00104F4B">
              <w:rPr>
                <w:rFonts w:cs="Arial"/>
                <w:b/>
                <w:sz w:val="16"/>
                <w:szCs w:val="16"/>
              </w:rPr>
              <w:t>No. PROPONENTES</w:t>
            </w:r>
          </w:p>
        </w:tc>
      </w:tr>
      <w:tr w:rsidR="0024547C" w:rsidRPr="00104F4B" w:rsidTr="009A4DDD">
        <w:tc>
          <w:tcPr>
            <w:tcW w:w="2960" w:type="dxa"/>
          </w:tcPr>
          <w:p w:rsidR="0024547C" w:rsidRPr="00104F4B" w:rsidRDefault="0024547C" w:rsidP="0024547C">
            <w:pPr>
              <w:rPr>
                <w:rFonts w:cs="Arial"/>
                <w:sz w:val="16"/>
                <w:szCs w:val="16"/>
              </w:rPr>
            </w:pPr>
            <w:r w:rsidRPr="00104F4B">
              <w:rPr>
                <w:rFonts w:cs="Arial"/>
                <w:sz w:val="16"/>
                <w:szCs w:val="16"/>
              </w:rPr>
              <w:t>CMA</w:t>
            </w:r>
          </w:p>
        </w:tc>
        <w:tc>
          <w:tcPr>
            <w:tcW w:w="1150" w:type="dxa"/>
          </w:tcPr>
          <w:p w:rsidR="0024547C" w:rsidRPr="00104F4B" w:rsidRDefault="0024547C" w:rsidP="0024547C">
            <w:pPr>
              <w:jc w:val="center"/>
              <w:rPr>
                <w:rFonts w:cs="Arial"/>
                <w:sz w:val="16"/>
                <w:szCs w:val="16"/>
              </w:rPr>
            </w:pPr>
            <w:r w:rsidRPr="00104F4B">
              <w:rPr>
                <w:rFonts w:cs="Arial"/>
                <w:sz w:val="16"/>
                <w:szCs w:val="16"/>
              </w:rPr>
              <w:t>2</w:t>
            </w:r>
          </w:p>
        </w:tc>
        <w:tc>
          <w:tcPr>
            <w:tcW w:w="2127" w:type="dxa"/>
          </w:tcPr>
          <w:p w:rsidR="0024547C" w:rsidRPr="00104F4B" w:rsidRDefault="0024547C" w:rsidP="0024547C">
            <w:pPr>
              <w:jc w:val="center"/>
              <w:rPr>
                <w:rFonts w:cs="Arial"/>
                <w:sz w:val="16"/>
                <w:szCs w:val="16"/>
              </w:rPr>
            </w:pPr>
            <w:r w:rsidRPr="00104F4B">
              <w:rPr>
                <w:rFonts w:cs="Arial"/>
                <w:sz w:val="16"/>
                <w:szCs w:val="16"/>
              </w:rPr>
              <w:t>4</w:t>
            </w:r>
          </w:p>
        </w:tc>
      </w:tr>
      <w:tr w:rsidR="0024547C" w:rsidRPr="00104F4B" w:rsidTr="009A4DDD">
        <w:tc>
          <w:tcPr>
            <w:tcW w:w="2960" w:type="dxa"/>
          </w:tcPr>
          <w:p w:rsidR="0024547C" w:rsidRPr="00104F4B" w:rsidRDefault="0024547C" w:rsidP="0024547C">
            <w:pPr>
              <w:rPr>
                <w:rFonts w:cs="Arial"/>
                <w:sz w:val="16"/>
                <w:szCs w:val="16"/>
              </w:rPr>
            </w:pPr>
            <w:r w:rsidRPr="00104F4B">
              <w:rPr>
                <w:rFonts w:cs="Arial"/>
                <w:sz w:val="16"/>
                <w:szCs w:val="16"/>
              </w:rPr>
              <w:t>LP</w:t>
            </w:r>
          </w:p>
        </w:tc>
        <w:tc>
          <w:tcPr>
            <w:tcW w:w="1150" w:type="dxa"/>
          </w:tcPr>
          <w:p w:rsidR="0024547C" w:rsidRPr="00104F4B" w:rsidRDefault="0024547C" w:rsidP="0024547C">
            <w:pPr>
              <w:jc w:val="center"/>
              <w:rPr>
                <w:rFonts w:cs="Arial"/>
                <w:sz w:val="16"/>
                <w:szCs w:val="16"/>
              </w:rPr>
            </w:pPr>
            <w:r w:rsidRPr="00104F4B">
              <w:rPr>
                <w:rFonts w:cs="Arial"/>
                <w:sz w:val="16"/>
                <w:szCs w:val="16"/>
              </w:rPr>
              <w:t>3</w:t>
            </w:r>
          </w:p>
        </w:tc>
        <w:tc>
          <w:tcPr>
            <w:tcW w:w="2127" w:type="dxa"/>
          </w:tcPr>
          <w:p w:rsidR="0024547C" w:rsidRPr="00104F4B" w:rsidRDefault="0024547C" w:rsidP="0024547C">
            <w:pPr>
              <w:jc w:val="center"/>
              <w:rPr>
                <w:rFonts w:cs="Arial"/>
                <w:sz w:val="16"/>
                <w:szCs w:val="16"/>
              </w:rPr>
            </w:pPr>
            <w:r w:rsidRPr="00104F4B">
              <w:rPr>
                <w:rFonts w:cs="Arial"/>
                <w:sz w:val="16"/>
                <w:szCs w:val="16"/>
              </w:rPr>
              <w:t>53</w:t>
            </w:r>
          </w:p>
        </w:tc>
      </w:tr>
      <w:tr w:rsidR="0024547C" w:rsidRPr="00104F4B" w:rsidTr="009A4DDD">
        <w:tc>
          <w:tcPr>
            <w:tcW w:w="2960" w:type="dxa"/>
          </w:tcPr>
          <w:p w:rsidR="0024547C" w:rsidRPr="00104F4B" w:rsidRDefault="0024547C" w:rsidP="0024547C">
            <w:pPr>
              <w:rPr>
                <w:rFonts w:cs="Arial"/>
                <w:sz w:val="16"/>
                <w:szCs w:val="16"/>
              </w:rPr>
            </w:pPr>
            <w:r w:rsidRPr="00104F4B">
              <w:rPr>
                <w:rFonts w:cs="Arial"/>
                <w:sz w:val="16"/>
                <w:szCs w:val="16"/>
              </w:rPr>
              <w:t>MC10%</w:t>
            </w:r>
          </w:p>
        </w:tc>
        <w:tc>
          <w:tcPr>
            <w:tcW w:w="1150" w:type="dxa"/>
          </w:tcPr>
          <w:p w:rsidR="0024547C" w:rsidRPr="00104F4B" w:rsidRDefault="0024547C" w:rsidP="0024547C">
            <w:pPr>
              <w:jc w:val="center"/>
              <w:rPr>
                <w:rFonts w:cs="Arial"/>
                <w:sz w:val="16"/>
                <w:szCs w:val="16"/>
              </w:rPr>
            </w:pPr>
            <w:r w:rsidRPr="00104F4B">
              <w:rPr>
                <w:rFonts w:cs="Arial"/>
                <w:sz w:val="16"/>
                <w:szCs w:val="16"/>
              </w:rPr>
              <w:t>31</w:t>
            </w:r>
          </w:p>
        </w:tc>
        <w:tc>
          <w:tcPr>
            <w:tcW w:w="2127" w:type="dxa"/>
          </w:tcPr>
          <w:p w:rsidR="0024547C" w:rsidRPr="00104F4B" w:rsidRDefault="0024547C" w:rsidP="0024547C">
            <w:pPr>
              <w:jc w:val="center"/>
              <w:rPr>
                <w:rFonts w:cs="Arial"/>
                <w:sz w:val="16"/>
                <w:szCs w:val="16"/>
              </w:rPr>
            </w:pPr>
            <w:r w:rsidRPr="00104F4B">
              <w:rPr>
                <w:rFonts w:cs="Arial"/>
                <w:sz w:val="16"/>
                <w:szCs w:val="16"/>
              </w:rPr>
              <w:t>196</w:t>
            </w:r>
          </w:p>
        </w:tc>
      </w:tr>
      <w:tr w:rsidR="0024547C" w:rsidRPr="00104F4B" w:rsidTr="009A4DDD">
        <w:tc>
          <w:tcPr>
            <w:tcW w:w="2960" w:type="dxa"/>
          </w:tcPr>
          <w:p w:rsidR="0024547C" w:rsidRPr="00104F4B" w:rsidRDefault="0024547C" w:rsidP="0024547C">
            <w:pPr>
              <w:rPr>
                <w:rFonts w:cs="Arial"/>
                <w:sz w:val="16"/>
                <w:szCs w:val="16"/>
              </w:rPr>
            </w:pPr>
            <w:r w:rsidRPr="00104F4B">
              <w:rPr>
                <w:rFonts w:cs="Arial"/>
                <w:sz w:val="16"/>
                <w:szCs w:val="16"/>
              </w:rPr>
              <w:t>SAMC</w:t>
            </w:r>
          </w:p>
        </w:tc>
        <w:tc>
          <w:tcPr>
            <w:tcW w:w="1150" w:type="dxa"/>
          </w:tcPr>
          <w:p w:rsidR="0024547C" w:rsidRPr="00104F4B" w:rsidRDefault="0024547C" w:rsidP="0024547C">
            <w:pPr>
              <w:jc w:val="center"/>
              <w:rPr>
                <w:rFonts w:cs="Arial"/>
                <w:sz w:val="16"/>
                <w:szCs w:val="16"/>
              </w:rPr>
            </w:pPr>
            <w:r w:rsidRPr="00104F4B">
              <w:rPr>
                <w:rFonts w:cs="Arial"/>
                <w:sz w:val="16"/>
                <w:szCs w:val="16"/>
              </w:rPr>
              <w:t>11</w:t>
            </w:r>
          </w:p>
        </w:tc>
        <w:tc>
          <w:tcPr>
            <w:tcW w:w="2127" w:type="dxa"/>
          </w:tcPr>
          <w:p w:rsidR="0024547C" w:rsidRPr="00104F4B" w:rsidRDefault="0024547C" w:rsidP="0024547C">
            <w:pPr>
              <w:jc w:val="center"/>
              <w:rPr>
                <w:rFonts w:cs="Arial"/>
                <w:sz w:val="16"/>
                <w:szCs w:val="16"/>
              </w:rPr>
            </w:pPr>
            <w:r w:rsidRPr="00104F4B">
              <w:rPr>
                <w:rFonts w:cs="Arial"/>
                <w:sz w:val="16"/>
                <w:szCs w:val="16"/>
              </w:rPr>
              <w:t>19</w:t>
            </w:r>
          </w:p>
        </w:tc>
      </w:tr>
      <w:tr w:rsidR="0024547C" w:rsidRPr="00104F4B" w:rsidTr="009A4DDD">
        <w:tc>
          <w:tcPr>
            <w:tcW w:w="2960" w:type="dxa"/>
          </w:tcPr>
          <w:p w:rsidR="0024547C" w:rsidRPr="00104F4B" w:rsidRDefault="0024547C" w:rsidP="0024547C">
            <w:pPr>
              <w:rPr>
                <w:rFonts w:cs="Arial"/>
                <w:sz w:val="16"/>
                <w:szCs w:val="16"/>
              </w:rPr>
            </w:pPr>
            <w:r w:rsidRPr="00104F4B">
              <w:rPr>
                <w:rFonts w:cs="Arial"/>
                <w:sz w:val="16"/>
                <w:szCs w:val="16"/>
              </w:rPr>
              <w:t>SASI</w:t>
            </w:r>
          </w:p>
        </w:tc>
        <w:tc>
          <w:tcPr>
            <w:tcW w:w="1150" w:type="dxa"/>
          </w:tcPr>
          <w:p w:rsidR="0024547C" w:rsidRPr="00104F4B" w:rsidRDefault="0024547C" w:rsidP="0024547C">
            <w:pPr>
              <w:jc w:val="center"/>
              <w:rPr>
                <w:rFonts w:cs="Arial"/>
                <w:sz w:val="16"/>
                <w:szCs w:val="16"/>
              </w:rPr>
            </w:pPr>
            <w:r w:rsidRPr="00104F4B">
              <w:rPr>
                <w:rFonts w:cs="Arial"/>
                <w:sz w:val="16"/>
                <w:szCs w:val="16"/>
              </w:rPr>
              <w:t>14</w:t>
            </w:r>
          </w:p>
        </w:tc>
        <w:tc>
          <w:tcPr>
            <w:tcW w:w="2127" w:type="dxa"/>
          </w:tcPr>
          <w:p w:rsidR="0024547C" w:rsidRPr="00104F4B" w:rsidRDefault="0024547C" w:rsidP="0024547C">
            <w:pPr>
              <w:jc w:val="center"/>
              <w:rPr>
                <w:rFonts w:cs="Arial"/>
                <w:sz w:val="16"/>
                <w:szCs w:val="16"/>
              </w:rPr>
            </w:pPr>
            <w:r w:rsidRPr="00104F4B">
              <w:rPr>
                <w:rFonts w:cs="Arial"/>
                <w:sz w:val="16"/>
                <w:szCs w:val="16"/>
              </w:rPr>
              <w:t>45</w:t>
            </w:r>
          </w:p>
        </w:tc>
      </w:tr>
      <w:tr w:rsidR="0024547C" w:rsidRPr="00104F4B" w:rsidTr="009A4DDD">
        <w:tc>
          <w:tcPr>
            <w:tcW w:w="2960" w:type="dxa"/>
          </w:tcPr>
          <w:p w:rsidR="0024547C" w:rsidRPr="00104F4B" w:rsidRDefault="0024547C" w:rsidP="0024547C">
            <w:pPr>
              <w:rPr>
                <w:rFonts w:cs="Arial"/>
                <w:sz w:val="16"/>
                <w:szCs w:val="16"/>
              </w:rPr>
            </w:pPr>
            <w:r w:rsidRPr="00104F4B">
              <w:rPr>
                <w:rFonts w:cs="Arial"/>
                <w:sz w:val="16"/>
                <w:szCs w:val="16"/>
              </w:rPr>
              <w:t>SA</w:t>
            </w:r>
          </w:p>
        </w:tc>
        <w:tc>
          <w:tcPr>
            <w:tcW w:w="1150" w:type="dxa"/>
          </w:tcPr>
          <w:p w:rsidR="0024547C" w:rsidRPr="00104F4B" w:rsidRDefault="0024547C" w:rsidP="0024547C">
            <w:pPr>
              <w:jc w:val="center"/>
              <w:rPr>
                <w:rFonts w:cs="Arial"/>
                <w:sz w:val="16"/>
                <w:szCs w:val="16"/>
              </w:rPr>
            </w:pPr>
            <w:r w:rsidRPr="00104F4B">
              <w:rPr>
                <w:rFonts w:cs="Arial"/>
                <w:sz w:val="16"/>
                <w:szCs w:val="16"/>
              </w:rPr>
              <w:t>3</w:t>
            </w:r>
          </w:p>
        </w:tc>
        <w:tc>
          <w:tcPr>
            <w:tcW w:w="2127" w:type="dxa"/>
          </w:tcPr>
          <w:p w:rsidR="0024547C" w:rsidRPr="00104F4B" w:rsidRDefault="0024547C" w:rsidP="0024547C">
            <w:pPr>
              <w:jc w:val="center"/>
              <w:rPr>
                <w:rFonts w:cs="Arial"/>
                <w:sz w:val="16"/>
                <w:szCs w:val="16"/>
              </w:rPr>
            </w:pPr>
            <w:r w:rsidRPr="00104F4B">
              <w:rPr>
                <w:rFonts w:cs="Arial"/>
                <w:sz w:val="16"/>
                <w:szCs w:val="16"/>
              </w:rPr>
              <w:t>0</w:t>
            </w:r>
          </w:p>
        </w:tc>
      </w:tr>
      <w:tr w:rsidR="0024547C" w:rsidRPr="00104F4B" w:rsidTr="009A4DDD">
        <w:trPr>
          <w:trHeight w:val="175"/>
        </w:trPr>
        <w:tc>
          <w:tcPr>
            <w:tcW w:w="2960" w:type="dxa"/>
            <w:shd w:val="clear" w:color="auto" w:fill="DBE5F1" w:themeFill="accent1" w:themeFillTint="33"/>
          </w:tcPr>
          <w:p w:rsidR="0024547C" w:rsidRPr="00104F4B" w:rsidRDefault="0024547C" w:rsidP="0024547C">
            <w:pPr>
              <w:jc w:val="center"/>
              <w:rPr>
                <w:rFonts w:cs="Arial"/>
                <w:b/>
                <w:sz w:val="16"/>
                <w:szCs w:val="16"/>
              </w:rPr>
            </w:pPr>
            <w:r w:rsidRPr="00104F4B">
              <w:rPr>
                <w:rFonts w:cs="Arial"/>
                <w:b/>
                <w:sz w:val="16"/>
                <w:szCs w:val="16"/>
              </w:rPr>
              <w:t>TOTAL FUNCIONAMIENTO 2018</w:t>
            </w:r>
          </w:p>
        </w:tc>
        <w:tc>
          <w:tcPr>
            <w:tcW w:w="1150" w:type="dxa"/>
            <w:shd w:val="clear" w:color="auto" w:fill="DBE5F1" w:themeFill="accent1" w:themeFillTint="33"/>
          </w:tcPr>
          <w:p w:rsidR="0024547C" w:rsidRPr="00104F4B" w:rsidRDefault="0024547C" w:rsidP="00107CD4">
            <w:pPr>
              <w:jc w:val="center"/>
              <w:rPr>
                <w:rFonts w:cs="Arial"/>
                <w:b/>
                <w:sz w:val="16"/>
                <w:szCs w:val="16"/>
              </w:rPr>
            </w:pPr>
            <w:r w:rsidRPr="00104F4B">
              <w:rPr>
                <w:rFonts w:cs="Arial"/>
                <w:b/>
                <w:sz w:val="16"/>
                <w:szCs w:val="16"/>
              </w:rPr>
              <w:t>64</w:t>
            </w:r>
          </w:p>
        </w:tc>
        <w:tc>
          <w:tcPr>
            <w:tcW w:w="2127" w:type="dxa"/>
            <w:shd w:val="clear" w:color="auto" w:fill="DBE5F1" w:themeFill="accent1" w:themeFillTint="33"/>
          </w:tcPr>
          <w:p w:rsidR="0024547C" w:rsidRPr="00104F4B" w:rsidRDefault="0024547C" w:rsidP="00107CD4">
            <w:pPr>
              <w:jc w:val="center"/>
              <w:rPr>
                <w:rFonts w:cs="Arial"/>
                <w:b/>
                <w:sz w:val="16"/>
                <w:szCs w:val="16"/>
              </w:rPr>
            </w:pPr>
            <w:r w:rsidRPr="00104F4B">
              <w:rPr>
                <w:rFonts w:cs="Arial"/>
                <w:b/>
                <w:sz w:val="16"/>
                <w:szCs w:val="16"/>
              </w:rPr>
              <w:t>317</w:t>
            </w:r>
          </w:p>
        </w:tc>
      </w:tr>
    </w:tbl>
    <w:p w:rsidR="0024547C" w:rsidRPr="00104F4B" w:rsidRDefault="0024547C" w:rsidP="0024547C">
      <w:pPr>
        <w:spacing w:line="259" w:lineRule="auto"/>
        <w:jc w:val="center"/>
        <w:rPr>
          <w:rFonts w:cs="Arial"/>
          <w:sz w:val="16"/>
          <w:szCs w:val="16"/>
        </w:rPr>
      </w:pPr>
      <w:r w:rsidRPr="00104F4B">
        <w:rPr>
          <w:rFonts w:cs="Arial"/>
          <w:sz w:val="16"/>
          <w:szCs w:val="16"/>
        </w:rPr>
        <w:t>DTPS-Tipo de Procesos de Selección Funcionamiento 2018</w:t>
      </w:r>
    </w:p>
    <w:p w:rsidR="0024547C" w:rsidRPr="00104F4B" w:rsidRDefault="006D18D6" w:rsidP="006D18D6">
      <w:pPr>
        <w:jc w:val="center"/>
        <w:rPr>
          <w:rFonts w:cs="Arial"/>
          <w:b/>
          <w:sz w:val="24"/>
        </w:rPr>
      </w:pPr>
      <w:r w:rsidRPr="006D18D6">
        <w:rPr>
          <w:noProof/>
          <w:lang w:val="es-CO" w:eastAsia="es-CO"/>
        </w:rPr>
        <w:lastRenderedPageBreak/>
        <w:drawing>
          <wp:inline distT="0" distB="0" distL="0" distR="0">
            <wp:extent cx="3427095" cy="2027555"/>
            <wp:effectExtent l="0" t="0" r="1905"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427095" cy="2027555"/>
                    </a:xfrm>
                    <a:prstGeom prst="rect">
                      <a:avLst/>
                    </a:prstGeom>
                    <a:noFill/>
                    <a:ln>
                      <a:noFill/>
                    </a:ln>
                  </pic:spPr>
                </pic:pic>
              </a:graphicData>
            </a:graphic>
          </wp:inline>
        </w:drawing>
      </w:r>
    </w:p>
    <w:p w:rsidR="0024547C" w:rsidRPr="00104F4B" w:rsidRDefault="0024547C" w:rsidP="0024547C">
      <w:pPr>
        <w:pStyle w:val="Prrafodelista"/>
        <w:rPr>
          <w:rFonts w:ascii="Arial" w:hAnsi="Arial" w:cs="Arial"/>
          <w:sz w:val="24"/>
          <w:szCs w:val="24"/>
        </w:rPr>
      </w:pPr>
    </w:p>
    <w:p w:rsidR="0024547C" w:rsidRPr="00104F4B" w:rsidRDefault="0024547C" w:rsidP="00E60777">
      <w:pPr>
        <w:jc w:val="left"/>
        <w:rPr>
          <w:rFonts w:cs="Arial"/>
          <w:sz w:val="16"/>
          <w:szCs w:val="16"/>
        </w:rPr>
      </w:pPr>
      <w:r w:rsidRPr="00104F4B">
        <w:rPr>
          <w:rFonts w:cs="Arial"/>
          <w:sz w:val="16"/>
          <w:szCs w:val="16"/>
        </w:rPr>
        <w:t>DTPS-Tipo de Procesos de Selección Misionales 2018</w:t>
      </w:r>
    </w:p>
    <w:p w:rsidR="0024547C" w:rsidRPr="00104F4B" w:rsidRDefault="006D18D6" w:rsidP="006D18D6">
      <w:pPr>
        <w:pStyle w:val="Prrafodelista"/>
        <w:jc w:val="center"/>
        <w:rPr>
          <w:rFonts w:ascii="Arial" w:hAnsi="Arial" w:cs="Arial"/>
          <w:sz w:val="24"/>
          <w:szCs w:val="24"/>
        </w:rPr>
      </w:pPr>
      <w:r w:rsidRPr="006D18D6">
        <w:rPr>
          <w:noProof/>
        </w:rPr>
        <w:drawing>
          <wp:inline distT="0" distB="0" distL="0" distR="0">
            <wp:extent cx="4349115" cy="1987550"/>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349115" cy="1987550"/>
                    </a:xfrm>
                    <a:prstGeom prst="rect">
                      <a:avLst/>
                    </a:prstGeom>
                    <a:noFill/>
                    <a:ln>
                      <a:noFill/>
                    </a:ln>
                  </pic:spPr>
                </pic:pic>
              </a:graphicData>
            </a:graphic>
          </wp:inline>
        </w:drawing>
      </w:r>
    </w:p>
    <w:p w:rsidR="0024547C" w:rsidRPr="00104F4B" w:rsidRDefault="0024547C" w:rsidP="0024547C">
      <w:pPr>
        <w:jc w:val="center"/>
        <w:rPr>
          <w:rFonts w:cs="Arial"/>
          <w:sz w:val="16"/>
          <w:szCs w:val="16"/>
        </w:rPr>
      </w:pPr>
      <w:r w:rsidRPr="00104F4B">
        <w:rPr>
          <w:rFonts w:cs="Arial"/>
          <w:sz w:val="16"/>
          <w:szCs w:val="16"/>
        </w:rPr>
        <w:t>DTPS-Tipo de Procesos de Selección Funcionamiento 2018</w:t>
      </w:r>
    </w:p>
    <w:p w:rsidR="0024547C" w:rsidRPr="00104F4B" w:rsidRDefault="0024547C" w:rsidP="0024547C">
      <w:pPr>
        <w:rPr>
          <w:rFonts w:cs="Arial"/>
          <w:sz w:val="24"/>
        </w:rPr>
      </w:pPr>
    </w:p>
    <w:tbl>
      <w:tblPr>
        <w:tblStyle w:val="Tablaconcuadrcula"/>
        <w:tblW w:w="0" w:type="auto"/>
        <w:tblLook w:val="04A0" w:firstRow="1" w:lastRow="0" w:firstColumn="1" w:lastColumn="0" w:noHBand="0" w:noVBand="1"/>
      </w:tblPr>
      <w:tblGrid>
        <w:gridCol w:w="5665"/>
        <w:gridCol w:w="3163"/>
      </w:tblGrid>
      <w:tr w:rsidR="0024547C" w:rsidRPr="00104F4B" w:rsidTr="006D18D6">
        <w:tc>
          <w:tcPr>
            <w:tcW w:w="5665" w:type="dxa"/>
          </w:tcPr>
          <w:p w:rsidR="0024547C" w:rsidRPr="00104F4B" w:rsidRDefault="0024547C" w:rsidP="0024547C">
            <w:pPr>
              <w:jc w:val="center"/>
              <w:rPr>
                <w:rFonts w:cs="Arial"/>
                <w:sz w:val="16"/>
                <w:szCs w:val="16"/>
              </w:rPr>
            </w:pPr>
            <w:r w:rsidRPr="00104F4B">
              <w:rPr>
                <w:rFonts w:cs="Arial"/>
                <w:b/>
                <w:bCs/>
                <w:sz w:val="16"/>
                <w:szCs w:val="16"/>
              </w:rPr>
              <w:t>ESTADO</w:t>
            </w:r>
          </w:p>
        </w:tc>
        <w:tc>
          <w:tcPr>
            <w:tcW w:w="3163" w:type="dxa"/>
          </w:tcPr>
          <w:p w:rsidR="0024547C" w:rsidRPr="00104F4B" w:rsidRDefault="0024547C" w:rsidP="0024547C">
            <w:pPr>
              <w:jc w:val="center"/>
              <w:rPr>
                <w:rFonts w:cs="Arial"/>
                <w:sz w:val="16"/>
                <w:szCs w:val="16"/>
              </w:rPr>
            </w:pPr>
            <w:r w:rsidRPr="00104F4B">
              <w:rPr>
                <w:rFonts w:cs="Arial"/>
                <w:b/>
                <w:bCs/>
                <w:sz w:val="16"/>
                <w:szCs w:val="16"/>
              </w:rPr>
              <w:t>CANTIDAD</w:t>
            </w:r>
          </w:p>
        </w:tc>
      </w:tr>
      <w:tr w:rsidR="0024547C" w:rsidRPr="00104F4B" w:rsidTr="006D18D6">
        <w:tc>
          <w:tcPr>
            <w:tcW w:w="5665" w:type="dxa"/>
          </w:tcPr>
          <w:p w:rsidR="0024547C" w:rsidRPr="00104F4B" w:rsidRDefault="0024547C" w:rsidP="0024547C">
            <w:pPr>
              <w:rPr>
                <w:rFonts w:cs="Arial"/>
                <w:sz w:val="16"/>
                <w:szCs w:val="16"/>
              </w:rPr>
            </w:pPr>
            <w:r w:rsidRPr="00104F4B">
              <w:rPr>
                <w:rFonts w:cs="Arial"/>
                <w:sz w:val="16"/>
                <w:szCs w:val="16"/>
              </w:rPr>
              <w:t>Procesos Adjudicados</w:t>
            </w:r>
          </w:p>
        </w:tc>
        <w:tc>
          <w:tcPr>
            <w:tcW w:w="3163" w:type="dxa"/>
          </w:tcPr>
          <w:p w:rsidR="0024547C" w:rsidRPr="00104F4B" w:rsidRDefault="0024547C" w:rsidP="0024547C">
            <w:pPr>
              <w:jc w:val="center"/>
              <w:rPr>
                <w:rFonts w:cs="Arial"/>
                <w:sz w:val="16"/>
                <w:szCs w:val="16"/>
              </w:rPr>
            </w:pPr>
            <w:r w:rsidRPr="00104F4B">
              <w:rPr>
                <w:rFonts w:cs="Arial"/>
                <w:b/>
                <w:bCs/>
                <w:sz w:val="16"/>
                <w:szCs w:val="16"/>
              </w:rPr>
              <w:t>95</w:t>
            </w:r>
          </w:p>
        </w:tc>
      </w:tr>
      <w:tr w:rsidR="0024547C" w:rsidRPr="00104F4B" w:rsidTr="006D18D6">
        <w:tc>
          <w:tcPr>
            <w:tcW w:w="5665" w:type="dxa"/>
          </w:tcPr>
          <w:p w:rsidR="0024547C" w:rsidRPr="00104F4B" w:rsidRDefault="0024547C" w:rsidP="0024547C">
            <w:pPr>
              <w:rPr>
                <w:rFonts w:cs="Arial"/>
                <w:sz w:val="16"/>
                <w:szCs w:val="16"/>
              </w:rPr>
            </w:pPr>
            <w:r w:rsidRPr="00104F4B">
              <w:rPr>
                <w:rFonts w:cs="Arial"/>
                <w:sz w:val="16"/>
                <w:szCs w:val="16"/>
              </w:rPr>
              <w:t>Procesos en Elaboración de proyecto de pliego</w:t>
            </w:r>
          </w:p>
        </w:tc>
        <w:tc>
          <w:tcPr>
            <w:tcW w:w="3163" w:type="dxa"/>
          </w:tcPr>
          <w:p w:rsidR="0024547C" w:rsidRPr="00104F4B" w:rsidRDefault="0024547C" w:rsidP="0024547C">
            <w:pPr>
              <w:jc w:val="center"/>
              <w:rPr>
                <w:rFonts w:cs="Arial"/>
                <w:sz w:val="16"/>
                <w:szCs w:val="16"/>
              </w:rPr>
            </w:pPr>
            <w:r w:rsidRPr="00104F4B">
              <w:rPr>
                <w:rFonts w:cs="Arial"/>
                <w:b/>
                <w:bCs/>
                <w:sz w:val="16"/>
                <w:szCs w:val="16"/>
              </w:rPr>
              <w:t>0</w:t>
            </w:r>
          </w:p>
        </w:tc>
      </w:tr>
      <w:tr w:rsidR="0024547C" w:rsidRPr="00104F4B" w:rsidTr="006D18D6">
        <w:tc>
          <w:tcPr>
            <w:tcW w:w="5665" w:type="dxa"/>
          </w:tcPr>
          <w:p w:rsidR="0024547C" w:rsidRPr="00104F4B" w:rsidRDefault="0024547C" w:rsidP="0024547C">
            <w:pPr>
              <w:rPr>
                <w:rFonts w:cs="Arial"/>
                <w:sz w:val="16"/>
                <w:szCs w:val="16"/>
              </w:rPr>
            </w:pPr>
            <w:r w:rsidRPr="00104F4B">
              <w:rPr>
                <w:rFonts w:cs="Arial"/>
                <w:sz w:val="16"/>
                <w:szCs w:val="16"/>
              </w:rPr>
              <w:t>Procesos en proyecto de pliego</w:t>
            </w:r>
          </w:p>
        </w:tc>
        <w:tc>
          <w:tcPr>
            <w:tcW w:w="3163" w:type="dxa"/>
          </w:tcPr>
          <w:p w:rsidR="0024547C" w:rsidRPr="00104F4B" w:rsidRDefault="0024547C" w:rsidP="0024547C">
            <w:pPr>
              <w:jc w:val="center"/>
              <w:rPr>
                <w:rFonts w:cs="Arial"/>
                <w:sz w:val="16"/>
                <w:szCs w:val="16"/>
              </w:rPr>
            </w:pPr>
            <w:r w:rsidRPr="00104F4B">
              <w:rPr>
                <w:rFonts w:cs="Arial"/>
                <w:b/>
                <w:bCs/>
                <w:sz w:val="16"/>
                <w:szCs w:val="16"/>
              </w:rPr>
              <w:t>0</w:t>
            </w:r>
          </w:p>
        </w:tc>
      </w:tr>
      <w:tr w:rsidR="0024547C" w:rsidRPr="00104F4B" w:rsidTr="006D18D6">
        <w:tc>
          <w:tcPr>
            <w:tcW w:w="5665" w:type="dxa"/>
          </w:tcPr>
          <w:p w:rsidR="0024547C" w:rsidRPr="00104F4B" w:rsidRDefault="0024547C" w:rsidP="0024547C">
            <w:pPr>
              <w:rPr>
                <w:rFonts w:cs="Arial"/>
                <w:sz w:val="16"/>
                <w:szCs w:val="16"/>
              </w:rPr>
            </w:pPr>
            <w:r w:rsidRPr="00104F4B">
              <w:rPr>
                <w:rFonts w:cs="Arial"/>
                <w:sz w:val="16"/>
                <w:szCs w:val="16"/>
              </w:rPr>
              <w:t>Procesos en Pliego Definitivo</w:t>
            </w:r>
          </w:p>
        </w:tc>
        <w:tc>
          <w:tcPr>
            <w:tcW w:w="3163" w:type="dxa"/>
          </w:tcPr>
          <w:p w:rsidR="0024547C" w:rsidRPr="00104F4B" w:rsidRDefault="0024547C" w:rsidP="0024547C">
            <w:pPr>
              <w:jc w:val="center"/>
              <w:rPr>
                <w:rFonts w:cs="Arial"/>
                <w:sz w:val="16"/>
                <w:szCs w:val="16"/>
              </w:rPr>
            </w:pPr>
            <w:r w:rsidRPr="00104F4B">
              <w:rPr>
                <w:rFonts w:cs="Arial"/>
                <w:b/>
                <w:bCs/>
                <w:sz w:val="16"/>
                <w:szCs w:val="16"/>
              </w:rPr>
              <w:t>5</w:t>
            </w:r>
          </w:p>
        </w:tc>
      </w:tr>
      <w:tr w:rsidR="0024547C" w:rsidRPr="00104F4B" w:rsidTr="006D18D6">
        <w:tc>
          <w:tcPr>
            <w:tcW w:w="5665" w:type="dxa"/>
          </w:tcPr>
          <w:p w:rsidR="0024547C" w:rsidRPr="00104F4B" w:rsidRDefault="0024547C" w:rsidP="0024547C">
            <w:pPr>
              <w:rPr>
                <w:rFonts w:cs="Arial"/>
                <w:sz w:val="16"/>
                <w:szCs w:val="16"/>
              </w:rPr>
            </w:pPr>
            <w:r w:rsidRPr="00104F4B">
              <w:rPr>
                <w:rFonts w:cs="Arial"/>
                <w:sz w:val="16"/>
                <w:szCs w:val="16"/>
              </w:rPr>
              <w:t>Procesos en Evaluación</w:t>
            </w:r>
          </w:p>
        </w:tc>
        <w:tc>
          <w:tcPr>
            <w:tcW w:w="3163" w:type="dxa"/>
          </w:tcPr>
          <w:p w:rsidR="0024547C" w:rsidRPr="00104F4B" w:rsidRDefault="0024547C" w:rsidP="0024547C">
            <w:pPr>
              <w:jc w:val="center"/>
              <w:rPr>
                <w:rFonts w:cs="Arial"/>
                <w:sz w:val="16"/>
                <w:szCs w:val="16"/>
              </w:rPr>
            </w:pPr>
            <w:r w:rsidRPr="00104F4B">
              <w:rPr>
                <w:rFonts w:cs="Arial"/>
                <w:b/>
                <w:bCs/>
                <w:sz w:val="16"/>
                <w:szCs w:val="16"/>
              </w:rPr>
              <w:t>0</w:t>
            </w:r>
          </w:p>
        </w:tc>
      </w:tr>
      <w:tr w:rsidR="0024547C" w:rsidRPr="00104F4B" w:rsidTr="006D18D6">
        <w:tc>
          <w:tcPr>
            <w:tcW w:w="5665" w:type="dxa"/>
          </w:tcPr>
          <w:p w:rsidR="0024547C" w:rsidRPr="00104F4B" w:rsidRDefault="0024547C" w:rsidP="0024547C">
            <w:pPr>
              <w:rPr>
                <w:rFonts w:cs="Arial"/>
                <w:sz w:val="16"/>
                <w:szCs w:val="16"/>
              </w:rPr>
            </w:pPr>
            <w:r w:rsidRPr="00104F4B">
              <w:rPr>
                <w:rFonts w:cs="Arial"/>
                <w:sz w:val="16"/>
                <w:szCs w:val="16"/>
              </w:rPr>
              <w:t>Procesos en Revisión de Antecedentes</w:t>
            </w:r>
          </w:p>
        </w:tc>
        <w:tc>
          <w:tcPr>
            <w:tcW w:w="3163" w:type="dxa"/>
          </w:tcPr>
          <w:p w:rsidR="0024547C" w:rsidRPr="00104F4B" w:rsidRDefault="0024547C" w:rsidP="0024547C">
            <w:pPr>
              <w:jc w:val="center"/>
              <w:rPr>
                <w:rFonts w:cs="Arial"/>
                <w:sz w:val="16"/>
                <w:szCs w:val="16"/>
              </w:rPr>
            </w:pPr>
            <w:r w:rsidRPr="00104F4B">
              <w:rPr>
                <w:rFonts w:cs="Arial"/>
                <w:b/>
                <w:bCs/>
                <w:sz w:val="16"/>
                <w:szCs w:val="16"/>
              </w:rPr>
              <w:t>1</w:t>
            </w:r>
          </w:p>
        </w:tc>
      </w:tr>
      <w:tr w:rsidR="0024547C" w:rsidRPr="00104F4B" w:rsidTr="006D18D6">
        <w:tc>
          <w:tcPr>
            <w:tcW w:w="5665" w:type="dxa"/>
          </w:tcPr>
          <w:p w:rsidR="0024547C" w:rsidRPr="00104F4B" w:rsidRDefault="0024547C" w:rsidP="0024547C">
            <w:pPr>
              <w:rPr>
                <w:rFonts w:cs="Arial"/>
                <w:sz w:val="16"/>
                <w:szCs w:val="16"/>
              </w:rPr>
            </w:pPr>
            <w:r w:rsidRPr="00104F4B">
              <w:rPr>
                <w:rFonts w:cs="Arial"/>
                <w:sz w:val="16"/>
                <w:szCs w:val="16"/>
              </w:rPr>
              <w:t xml:space="preserve">Procesos en Espera de Ajustes por parte del Área Ordenadora </w:t>
            </w:r>
          </w:p>
        </w:tc>
        <w:tc>
          <w:tcPr>
            <w:tcW w:w="3163" w:type="dxa"/>
          </w:tcPr>
          <w:p w:rsidR="0024547C" w:rsidRPr="00104F4B" w:rsidRDefault="0024547C" w:rsidP="0024547C">
            <w:pPr>
              <w:jc w:val="center"/>
              <w:rPr>
                <w:rFonts w:cs="Arial"/>
                <w:sz w:val="16"/>
                <w:szCs w:val="16"/>
              </w:rPr>
            </w:pPr>
            <w:r w:rsidRPr="00104F4B">
              <w:rPr>
                <w:rFonts w:cs="Arial"/>
                <w:b/>
                <w:bCs/>
                <w:sz w:val="16"/>
                <w:szCs w:val="16"/>
              </w:rPr>
              <w:t>1</w:t>
            </w:r>
          </w:p>
        </w:tc>
      </w:tr>
      <w:tr w:rsidR="0024547C" w:rsidRPr="00104F4B" w:rsidTr="006D18D6">
        <w:tc>
          <w:tcPr>
            <w:tcW w:w="5665" w:type="dxa"/>
          </w:tcPr>
          <w:p w:rsidR="0024547C" w:rsidRPr="00104F4B" w:rsidRDefault="0024547C" w:rsidP="0024547C">
            <w:pPr>
              <w:rPr>
                <w:rFonts w:cs="Arial"/>
                <w:sz w:val="16"/>
                <w:szCs w:val="16"/>
              </w:rPr>
            </w:pPr>
            <w:r w:rsidRPr="00104F4B">
              <w:rPr>
                <w:rFonts w:cs="Arial"/>
                <w:sz w:val="16"/>
                <w:szCs w:val="16"/>
              </w:rPr>
              <w:t>Procesos en Revisión de Ajustes</w:t>
            </w:r>
          </w:p>
        </w:tc>
        <w:tc>
          <w:tcPr>
            <w:tcW w:w="3163" w:type="dxa"/>
          </w:tcPr>
          <w:p w:rsidR="0024547C" w:rsidRPr="00104F4B" w:rsidRDefault="0024547C" w:rsidP="0024547C">
            <w:pPr>
              <w:jc w:val="center"/>
              <w:rPr>
                <w:rFonts w:cs="Arial"/>
                <w:sz w:val="16"/>
                <w:szCs w:val="16"/>
              </w:rPr>
            </w:pPr>
            <w:r w:rsidRPr="00104F4B">
              <w:rPr>
                <w:rFonts w:cs="Arial"/>
                <w:b/>
                <w:bCs/>
                <w:sz w:val="16"/>
                <w:szCs w:val="16"/>
              </w:rPr>
              <w:t>0</w:t>
            </w:r>
          </w:p>
        </w:tc>
      </w:tr>
      <w:tr w:rsidR="0024547C" w:rsidRPr="00104F4B" w:rsidTr="006D18D6">
        <w:tc>
          <w:tcPr>
            <w:tcW w:w="5665" w:type="dxa"/>
          </w:tcPr>
          <w:p w:rsidR="0024547C" w:rsidRPr="00104F4B" w:rsidRDefault="0024547C" w:rsidP="0024547C">
            <w:pPr>
              <w:rPr>
                <w:rFonts w:cs="Arial"/>
                <w:sz w:val="16"/>
                <w:szCs w:val="16"/>
              </w:rPr>
            </w:pPr>
            <w:r w:rsidRPr="00104F4B">
              <w:rPr>
                <w:rFonts w:cs="Arial"/>
                <w:sz w:val="16"/>
                <w:szCs w:val="16"/>
              </w:rPr>
              <w:t>Procesos Suspendidos</w:t>
            </w:r>
          </w:p>
        </w:tc>
        <w:tc>
          <w:tcPr>
            <w:tcW w:w="3163" w:type="dxa"/>
          </w:tcPr>
          <w:p w:rsidR="0024547C" w:rsidRPr="00104F4B" w:rsidRDefault="0024547C" w:rsidP="0024547C">
            <w:pPr>
              <w:jc w:val="center"/>
              <w:rPr>
                <w:rFonts w:cs="Arial"/>
                <w:sz w:val="16"/>
                <w:szCs w:val="16"/>
              </w:rPr>
            </w:pPr>
            <w:r w:rsidRPr="00104F4B">
              <w:rPr>
                <w:rFonts w:cs="Arial"/>
                <w:b/>
                <w:bCs/>
                <w:sz w:val="16"/>
                <w:szCs w:val="16"/>
              </w:rPr>
              <w:t>1</w:t>
            </w:r>
          </w:p>
        </w:tc>
      </w:tr>
      <w:tr w:rsidR="0024547C" w:rsidRPr="00104F4B" w:rsidTr="006D18D6">
        <w:tc>
          <w:tcPr>
            <w:tcW w:w="5665" w:type="dxa"/>
          </w:tcPr>
          <w:p w:rsidR="0024547C" w:rsidRPr="00104F4B" w:rsidRDefault="0024547C" w:rsidP="0024547C">
            <w:pPr>
              <w:rPr>
                <w:rFonts w:cs="Arial"/>
                <w:sz w:val="16"/>
                <w:szCs w:val="16"/>
              </w:rPr>
            </w:pPr>
            <w:r w:rsidRPr="00104F4B">
              <w:rPr>
                <w:rFonts w:cs="Arial"/>
                <w:sz w:val="16"/>
                <w:szCs w:val="16"/>
              </w:rPr>
              <w:t>Procesos Desiertos y/o Revocados</w:t>
            </w:r>
          </w:p>
        </w:tc>
        <w:tc>
          <w:tcPr>
            <w:tcW w:w="3163" w:type="dxa"/>
          </w:tcPr>
          <w:p w:rsidR="0024547C" w:rsidRPr="00104F4B" w:rsidRDefault="0024547C" w:rsidP="0024547C">
            <w:pPr>
              <w:jc w:val="center"/>
              <w:rPr>
                <w:rFonts w:cs="Arial"/>
                <w:sz w:val="16"/>
                <w:szCs w:val="16"/>
              </w:rPr>
            </w:pPr>
            <w:r w:rsidRPr="00104F4B">
              <w:rPr>
                <w:rFonts w:cs="Arial"/>
                <w:b/>
                <w:bCs/>
                <w:sz w:val="16"/>
                <w:szCs w:val="16"/>
              </w:rPr>
              <w:t>12</w:t>
            </w:r>
          </w:p>
        </w:tc>
      </w:tr>
      <w:tr w:rsidR="0024547C" w:rsidRPr="00104F4B" w:rsidTr="006D18D6">
        <w:tc>
          <w:tcPr>
            <w:tcW w:w="5665" w:type="dxa"/>
          </w:tcPr>
          <w:p w:rsidR="0024547C" w:rsidRPr="00104F4B" w:rsidRDefault="0024547C" w:rsidP="0024547C">
            <w:pPr>
              <w:rPr>
                <w:rFonts w:cs="Arial"/>
                <w:sz w:val="16"/>
                <w:szCs w:val="16"/>
              </w:rPr>
            </w:pPr>
            <w:r w:rsidRPr="00104F4B">
              <w:rPr>
                <w:rFonts w:cs="Arial"/>
                <w:sz w:val="16"/>
                <w:szCs w:val="16"/>
              </w:rPr>
              <w:t>Procesos Devueltos</w:t>
            </w:r>
          </w:p>
        </w:tc>
        <w:tc>
          <w:tcPr>
            <w:tcW w:w="3163" w:type="dxa"/>
          </w:tcPr>
          <w:p w:rsidR="0024547C" w:rsidRPr="00104F4B" w:rsidRDefault="0024547C" w:rsidP="0024547C">
            <w:pPr>
              <w:jc w:val="center"/>
              <w:rPr>
                <w:rFonts w:cs="Arial"/>
                <w:sz w:val="16"/>
                <w:szCs w:val="16"/>
              </w:rPr>
            </w:pPr>
            <w:r w:rsidRPr="00104F4B">
              <w:rPr>
                <w:rFonts w:cs="Arial"/>
                <w:b/>
                <w:bCs/>
                <w:sz w:val="16"/>
                <w:szCs w:val="16"/>
              </w:rPr>
              <w:t>13</w:t>
            </w:r>
          </w:p>
        </w:tc>
      </w:tr>
      <w:tr w:rsidR="0024547C" w:rsidRPr="00104F4B" w:rsidTr="006D18D6">
        <w:tc>
          <w:tcPr>
            <w:tcW w:w="5665" w:type="dxa"/>
          </w:tcPr>
          <w:p w:rsidR="0024547C" w:rsidRPr="00104F4B" w:rsidRDefault="0024547C" w:rsidP="0024547C">
            <w:pPr>
              <w:jc w:val="center"/>
              <w:rPr>
                <w:rFonts w:cs="Arial"/>
                <w:sz w:val="16"/>
                <w:szCs w:val="16"/>
              </w:rPr>
            </w:pPr>
            <w:r w:rsidRPr="00104F4B">
              <w:rPr>
                <w:rFonts w:cs="Arial"/>
                <w:sz w:val="16"/>
                <w:szCs w:val="16"/>
              </w:rPr>
              <w:t>Total</w:t>
            </w:r>
          </w:p>
        </w:tc>
        <w:tc>
          <w:tcPr>
            <w:tcW w:w="3163" w:type="dxa"/>
          </w:tcPr>
          <w:p w:rsidR="0024547C" w:rsidRPr="00104F4B" w:rsidRDefault="0024547C" w:rsidP="0024547C">
            <w:pPr>
              <w:jc w:val="center"/>
              <w:rPr>
                <w:rFonts w:cs="Arial"/>
                <w:sz w:val="16"/>
                <w:szCs w:val="16"/>
              </w:rPr>
            </w:pPr>
            <w:r w:rsidRPr="00104F4B">
              <w:rPr>
                <w:rFonts w:cs="Arial"/>
                <w:bCs/>
                <w:sz w:val="16"/>
                <w:szCs w:val="16"/>
              </w:rPr>
              <w:t>126</w:t>
            </w:r>
          </w:p>
        </w:tc>
      </w:tr>
    </w:tbl>
    <w:p w:rsidR="0024547C" w:rsidRPr="00104F4B" w:rsidRDefault="0024547C" w:rsidP="0024547C">
      <w:pPr>
        <w:jc w:val="center"/>
        <w:rPr>
          <w:rFonts w:cs="Arial"/>
          <w:sz w:val="16"/>
          <w:szCs w:val="16"/>
        </w:rPr>
      </w:pPr>
      <w:r w:rsidRPr="00104F4B">
        <w:rPr>
          <w:rFonts w:cs="Arial"/>
          <w:sz w:val="16"/>
          <w:szCs w:val="16"/>
        </w:rPr>
        <w:t>DTPS-Estado de Procesos de Selección 2018</w:t>
      </w:r>
    </w:p>
    <w:p w:rsidR="0024547C" w:rsidRPr="00104F4B" w:rsidRDefault="0024547C" w:rsidP="0024547C">
      <w:pPr>
        <w:rPr>
          <w:rFonts w:cs="Arial"/>
          <w:sz w:val="24"/>
        </w:rPr>
      </w:pPr>
    </w:p>
    <w:p w:rsidR="0024547C" w:rsidRPr="00104F4B" w:rsidRDefault="00107CD4" w:rsidP="0024547C">
      <w:pPr>
        <w:jc w:val="left"/>
        <w:rPr>
          <w:rFonts w:cs="Arial"/>
          <w:b/>
          <w:szCs w:val="22"/>
        </w:rPr>
      </w:pPr>
      <w:r w:rsidRPr="00104F4B">
        <w:rPr>
          <w:rFonts w:cs="Arial"/>
          <w:b/>
          <w:szCs w:val="22"/>
        </w:rPr>
        <w:t>Gestión Contractual</w:t>
      </w:r>
    </w:p>
    <w:p w:rsidR="0024547C" w:rsidRPr="00104F4B" w:rsidRDefault="0024547C" w:rsidP="0024547C">
      <w:pPr>
        <w:rPr>
          <w:rFonts w:cs="Arial"/>
          <w:b/>
          <w:szCs w:val="22"/>
        </w:rPr>
      </w:pPr>
      <w:r w:rsidRPr="00104F4B">
        <w:rPr>
          <w:rFonts w:cs="Arial"/>
          <w:b/>
          <w:szCs w:val="22"/>
        </w:rPr>
        <w:t>Elaboración de Contratos y Convenios</w:t>
      </w:r>
    </w:p>
    <w:p w:rsidR="0024547C" w:rsidRPr="00104F4B" w:rsidRDefault="0024547C" w:rsidP="0024547C">
      <w:pPr>
        <w:rPr>
          <w:rFonts w:cs="Arial"/>
          <w:szCs w:val="22"/>
        </w:rPr>
      </w:pPr>
      <w:r w:rsidRPr="00104F4B">
        <w:rPr>
          <w:rFonts w:cs="Arial"/>
          <w:szCs w:val="22"/>
        </w:rPr>
        <w:t>Teniendo en cuenta la importancia que reviste para el Instituto de Desarrollo Urbano – IDU- el cumplimiento de los objetivos y metas institucionales y que estos se materializan a través de la contratación en las diferentes modalidades, para la vigencia 2018, se elaboraron 1.584 contratos, discriminados así:</w:t>
      </w:r>
    </w:p>
    <w:p w:rsidR="0024547C" w:rsidRPr="00104F4B" w:rsidRDefault="0024547C" w:rsidP="0024547C">
      <w:pPr>
        <w:rPr>
          <w:rFonts w:cs="Arial"/>
          <w:sz w:val="24"/>
        </w:rPr>
      </w:pPr>
    </w:p>
    <w:tbl>
      <w:tblPr>
        <w:tblW w:w="10212" w:type="dxa"/>
        <w:jc w:val="center"/>
        <w:tblLayout w:type="fixed"/>
        <w:tblCellMar>
          <w:left w:w="70" w:type="dxa"/>
          <w:right w:w="70" w:type="dxa"/>
        </w:tblCellMar>
        <w:tblLook w:val="04A0" w:firstRow="1" w:lastRow="0" w:firstColumn="1" w:lastColumn="0" w:noHBand="0" w:noVBand="1"/>
      </w:tblPr>
      <w:tblGrid>
        <w:gridCol w:w="2405"/>
        <w:gridCol w:w="567"/>
        <w:gridCol w:w="709"/>
        <w:gridCol w:w="567"/>
        <w:gridCol w:w="567"/>
        <w:gridCol w:w="567"/>
        <w:gridCol w:w="567"/>
        <w:gridCol w:w="567"/>
        <w:gridCol w:w="567"/>
        <w:gridCol w:w="567"/>
        <w:gridCol w:w="567"/>
        <w:gridCol w:w="709"/>
        <w:gridCol w:w="577"/>
        <w:gridCol w:w="709"/>
      </w:tblGrid>
      <w:tr w:rsidR="0024547C" w:rsidRPr="00104F4B" w:rsidTr="0024547C">
        <w:trPr>
          <w:trHeight w:val="315"/>
          <w:jc w:val="center"/>
        </w:trPr>
        <w:tc>
          <w:tcPr>
            <w:tcW w:w="24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4547C" w:rsidRPr="00104F4B" w:rsidRDefault="0024547C" w:rsidP="0024547C">
            <w:pPr>
              <w:jc w:val="center"/>
              <w:rPr>
                <w:rFonts w:cs="Arial"/>
                <w:b/>
                <w:bCs/>
                <w:color w:val="000000"/>
                <w:sz w:val="16"/>
                <w:szCs w:val="16"/>
                <w:lang w:eastAsia="es-CO"/>
              </w:rPr>
            </w:pPr>
            <w:r w:rsidRPr="00104F4B">
              <w:rPr>
                <w:rFonts w:cs="Arial"/>
                <w:b/>
                <w:bCs/>
                <w:color w:val="000000"/>
                <w:sz w:val="16"/>
                <w:szCs w:val="16"/>
                <w:lang w:eastAsia="es-CO"/>
              </w:rPr>
              <w:t>TIPOLOGÍA</w:t>
            </w:r>
          </w:p>
        </w:tc>
        <w:tc>
          <w:tcPr>
            <w:tcW w:w="567" w:type="dxa"/>
            <w:tcBorders>
              <w:top w:val="single" w:sz="8" w:space="0" w:color="auto"/>
              <w:left w:val="nil"/>
              <w:bottom w:val="single" w:sz="8" w:space="0" w:color="auto"/>
              <w:right w:val="single" w:sz="8" w:space="0" w:color="auto"/>
            </w:tcBorders>
            <w:shd w:val="clear" w:color="auto" w:fill="auto"/>
            <w:noWrap/>
            <w:vAlign w:val="center"/>
            <w:hideMark/>
          </w:tcPr>
          <w:p w:rsidR="0024547C" w:rsidRPr="00104F4B" w:rsidRDefault="0024547C" w:rsidP="0024547C">
            <w:pPr>
              <w:jc w:val="center"/>
              <w:rPr>
                <w:rFonts w:cs="Arial"/>
                <w:b/>
                <w:bCs/>
                <w:color w:val="000000"/>
                <w:sz w:val="16"/>
                <w:szCs w:val="16"/>
                <w:lang w:eastAsia="es-CO"/>
              </w:rPr>
            </w:pPr>
            <w:r w:rsidRPr="00104F4B">
              <w:rPr>
                <w:rFonts w:cs="Arial"/>
                <w:b/>
                <w:bCs/>
                <w:color w:val="000000"/>
                <w:sz w:val="16"/>
                <w:szCs w:val="16"/>
                <w:lang w:eastAsia="es-CO"/>
              </w:rPr>
              <w:t>ENE</w:t>
            </w:r>
          </w:p>
        </w:tc>
        <w:tc>
          <w:tcPr>
            <w:tcW w:w="709" w:type="dxa"/>
            <w:tcBorders>
              <w:top w:val="single" w:sz="8" w:space="0" w:color="auto"/>
              <w:left w:val="nil"/>
              <w:bottom w:val="single" w:sz="8" w:space="0" w:color="auto"/>
              <w:right w:val="single" w:sz="8" w:space="0" w:color="auto"/>
            </w:tcBorders>
            <w:shd w:val="clear" w:color="auto" w:fill="auto"/>
            <w:noWrap/>
            <w:vAlign w:val="center"/>
            <w:hideMark/>
          </w:tcPr>
          <w:p w:rsidR="0024547C" w:rsidRPr="00104F4B" w:rsidRDefault="0024547C" w:rsidP="0024547C">
            <w:pPr>
              <w:jc w:val="center"/>
              <w:rPr>
                <w:rFonts w:cs="Arial"/>
                <w:b/>
                <w:bCs/>
                <w:color w:val="000000"/>
                <w:sz w:val="16"/>
                <w:szCs w:val="16"/>
                <w:lang w:eastAsia="es-CO"/>
              </w:rPr>
            </w:pPr>
            <w:r w:rsidRPr="00104F4B">
              <w:rPr>
                <w:rFonts w:cs="Arial"/>
                <w:b/>
                <w:bCs/>
                <w:color w:val="000000"/>
                <w:sz w:val="16"/>
                <w:szCs w:val="16"/>
                <w:lang w:eastAsia="es-CO"/>
              </w:rPr>
              <w:t>FEB</w:t>
            </w:r>
          </w:p>
        </w:tc>
        <w:tc>
          <w:tcPr>
            <w:tcW w:w="567" w:type="dxa"/>
            <w:tcBorders>
              <w:top w:val="single" w:sz="8" w:space="0" w:color="auto"/>
              <w:left w:val="nil"/>
              <w:bottom w:val="single" w:sz="8" w:space="0" w:color="auto"/>
              <w:right w:val="single" w:sz="8" w:space="0" w:color="auto"/>
            </w:tcBorders>
            <w:shd w:val="clear" w:color="auto" w:fill="auto"/>
            <w:noWrap/>
            <w:vAlign w:val="center"/>
            <w:hideMark/>
          </w:tcPr>
          <w:p w:rsidR="0024547C" w:rsidRPr="00104F4B" w:rsidRDefault="0024547C" w:rsidP="0024547C">
            <w:pPr>
              <w:jc w:val="center"/>
              <w:rPr>
                <w:rFonts w:cs="Arial"/>
                <w:b/>
                <w:bCs/>
                <w:color w:val="000000"/>
                <w:sz w:val="16"/>
                <w:szCs w:val="16"/>
                <w:lang w:eastAsia="es-CO"/>
              </w:rPr>
            </w:pPr>
            <w:r w:rsidRPr="00104F4B">
              <w:rPr>
                <w:rFonts w:cs="Arial"/>
                <w:b/>
                <w:bCs/>
                <w:color w:val="000000"/>
                <w:sz w:val="16"/>
                <w:szCs w:val="16"/>
                <w:lang w:eastAsia="es-CO"/>
              </w:rPr>
              <w:t>MAR</w:t>
            </w:r>
          </w:p>
        </w:tc>
        <w:tc>
          <w:tcPr>
            <w:tcW w:w="567" w:type="dxa"/>
            <w:tcBorders>
              <w:top w:val="single" w:sz="8" w:space="0" w:color="auto"/>
              <w:left w:val="nil"/>
              <w:bottom w:val="single" w:sz="8" w:space="0" w:color="auto"/>
              <w:right w:val="single" w:sz="8" w:space="0" w:color="auto"/>
            </w:tcBorders>
            <w:shd w:val="clear" w:color="auto" w:fill="auto"/>
            <w:noWrap/>
            <w:vAlign w:val="center"/>
            <w:hideMark/>
          </w:tcPr>
          <w:p w:rsidR="0024547C" w:rsidRPr="00104F4B" w:rsidRDefault="0024547C" w:rsidP="0024547C">
            <w:pPr>
              <w:jc w:val="center"/>
              <w:rPr>
                <w:rFonts w:cs="Arial"/>
                <w:b/>
                <w:bCs/>
                <w:color w:val="000000"/>
                <w:sz w:val="16"/>
                <w:szCs w:val="16"/>
                <w:lang w:eastAsia="es-CO"/>
              </w:rPr>
            </w:pPr>
            <w:r w:rsidRPr="00104F4B">
              <w:rPr>
                <w:rFonts w:cs="Arial"/>
                <w:b/>
                <w:bCs/>
                <w:color w:val="000000"/>
                <w:sz w:val="16"/>
                <w:szCs w:val="16"/>
                <w:lang w:eastAsia="es-CO"/>
              </w:rPr>
              <w:t>ABR</w:t>
            </w:r>
          </w:p>
        </w:tc>
        <w:tc>
          <w:tcPr>
            <w:tcW w:w="567" w:type="dxa"/>
            <w:tcBorders>
              <w:top w:val="single" w:sz="8" w:space="0" w:color="auto"/>
              <w:left w:val="nil"/>
              <w:bottom w:val="single" w:sz="8" w:space="0" w:color="auto"/>
              <w:right w:val="single" w:sz="8" w:space="0" w:color="auto"/>
            </w:tcBorders>
            <w:shd w:val="clear" w:color="auto" w:fill="auto"/>
            <w:noWrap/>
            <w:vAlign w:val="center"/>
            <w:hideMark/>
          </w:tcPr>
          <w:p w:rsidR="0024547C" w:rsidRPr="00104F4B" w:rsidRDefault="0024547C" w:rsidP="0024547C">
            <w:pPr>
              <w:jc w:val="center"/>
              <w:rPr>
                <w:rFonts w:cs="Arial"/>
                <w:b/>
                <w:bCs/>
                <w:color w:val="000000"/>
                <w:sz w:val="16"/>
                <w:szCs w:val="16"/>
                <w:lang w:eastAsia="es-CO"/>
              </w:rPr>
            </w:pPr>
            <w:r w:rsidRPr="00104F4B">
              <w:rPr>
                <w:rFonts w:cs="Arial"/>
                <w:b/>
                <w:bCs/>
                <w:color w:val="000000"/>
                <w:sz w:val="16"/>
                <w:szCs w:val="16"/>
                <w:lang w:eastAsia="es-CO"/>
              </w:rPr>
              <w:t>MAY</w:t>
            </w:r>
          </w:p>
        </w:tc>
        <w:tc>
          <w:tcPr>
            <w:tcW w:w="567" w:type="dxa"/>
            <w:tcBorders>
              <w:top w:val="single" w:sz="8" w:space="0" w:color="auto"/>
              <w:left w:val="nil"/>
              <w:bottom w:val="single" w:sz="8" w:space="0" w:color="auto"/>
              <w:right w:val="single" w:sz="8" w:space="0" w:color="auto"/>
            </w:tcBorders>
            <w:shd w:val="clear" w:color="auto" w:fill="auto"/>
            <w:noWrap/>
            <w:vAlign w:val="center"/>
            <w:hideMark/>
          </w:tcPr>
          <w:p w:rsidR="0024547C" w:rsidRPr="00104F4B" w:rsidRDefault="0024547C" w:rsidP="0024547C">
            <w:pPr>
              <w:jc w:val="center"/>
              <w:rPr>
                <w:rFonts w:cs="Arial"/>
                <w:b/>
                <w:bCs/>
                <w:color w:val="000000"/>
                <w:sz w:val="16"/>
                <w:szCs w:val="16"/>
                <w:lang w:eastAsia="es-CO"/>
              </w:rPr>
            </w:pPr>
            <w:r w:rsidRPr="00104F4B">
              <w:rPr>
                <w:rFonts w:cs="Arial"/>
                <w:b/>
                <w:bCs/>
                <w:color w:val="000000"/>
                <w:sz w:val="16"/>
                <w:szCs w:val="16"/>
                <w:lang w:eastAsia="es-CO"/>
              </w:rPr>
              <w:t>JUN</w:t>
            </w:r>
          </w:p>
        </w:tc>
        <w:tc>
          <w:tcPr>
            <w:tcW w:w="567" w:type="dxa"/>
            <w:tcBorders>
              <w:top w:val="single" w:sz="8" w:space="0" w:color="auto"/>
              <w:left w:val="nil"/>
              <w:bottom w:val="single" w:sz="8" w:space="0" w:color="auto"/>
              <w:right w:val="single" w:sz="8" w:space="0" w:color="auto"/>
            </w:tcBorders>
            <w:shd w:val="clear" w:color="auto" w:fill="auto"/>
            <w:noWrap/>
            <w:vAlign w:val="center"/>
            <w:hideMark/>
          </w:tcPr>
          <w:p w:rsidR="0024547C" w:rsidRPr="00104F4B" w:rsidRDefault="0024547C" w:rsidP="0024547C">
            <w:pPr>
              <w:jc w:val="center"/>
              <w:rPr>
                <w:rFonts w:cs="Arial"/>
                <w:b/>
                <w:bCs/>
                <w:color w:val="000000"/>
                <w:sz w:val="16"/>
                <w:szCs w:val="16"/>
                <w:lang w:eastAsia="es-CO"/>
              </w:rPr>
            </w:pPr>
            <w:r w:rsidRPr="00104F4B">
              <w:rPr>
                <w:rFonts w:cs="Arial"/>
                <w:b/>
                <w:bCs/>
                <w:color w:val="000000"/>
                <w:sz w:val="16"/>
                <w:szCs w:val="16"/>
                <w:lang w:eastAsia="es-CO"/>
              </w:rPr>
              <w:t>JUL</w:t>
            </w:r>
          </w:p>
        </w:tc>
        <w:tc>
          <w:tcPr>
            <w:tcW w:w="567" w:type="dxa"/>
            <w:tcBorders>
              <w:top w:val="single" w:sz="8" w:space="0" w:color="auto"/>
              <w:left w:val="nil"/>
              <w:bottom w:val="single" w:sz="8" w:space="0" w:color="auto"/>
              <w:right w:val="single" w:sz="8" w:space="0" w:color="auto"/>
            </w:tcBorders>
            <w:shd w:val="clear" w:color="auto" w:fill="auto"/>
            <w:noWrap/>
            <w:vAlign w:val="center"/>
            <w:hideMark/>
          </w:tcPr>
          <w:p w:rsidR="0024547C" w:rsidRPr="00104F4B" w:rsidRDefault="0024547C" w:rsidP="0024547C">
            <w:pPr>
              <w:jc w:val="center"/>
              <w:rPr>
                <w:rFonts w:cs="Arial"/>
                <w:b/>
                <w:bCs/>
                <w:color w:val="000000"/>
                <w:sz w:val="16"/>
                <w:szCs w:val="16"/>
                <w:lang w:eastAsia="es-CO"/>
              </w:rPr>
            </w:pPr>
            <w:r w:rsidRPr="00104F4B">
              <w:rPr>
                <w:rFonts w:cs="Arial"/>
                <w:b/>
                <w:bCs/>
                <w:color w:val="000000"/>
                <w:sz w:val="16"/>
                <w:szCs w:val="16"/>
                <w:lang w:eastAsia="es-CO"/>
              </w:rPr>
              <w:t>AGO</w:t>
            </w:r>
          </w:p>
        </w:tc>
        <w:tc>
          <w:tcPr>
            <w:tcW w:w="567" w:type="dxa"/>
            <w:tcBorders>
              <w:top w:val="single" w:sz="8" w:space="0" w:color="auto"/>
              <w:left w:val="nil"/>
              <w:bottom w:val="single" w:sz="8" w:space="0" w:color="auto"/>
              <w:right w:val="single" w:sz="8" w:space="0" w:color="auto"/>
            </w:tcBorders>
            <w:shd w:val="clear" w:color="auto" w:fill="auto"/>
            <w:noWrap/>
            <w:vAlign w:val="center"/>
            <w:hideMark/>
          </w:tcPr>
          <w:p w:rsidR="0024547C" w:rsidRPr="00104F4B" w:rsidRDefault="0024547C" w:rsidP="0024547C">
            <w:pPr>
              <w:jc w:val="center"/>
              <w:rPr>
                <w:rFonts w:cs="Arial"/>
                <w:b/>
                <w:bCs/>
                <w:color w:val="000000"/>
                <w:sz w:val="16"/>
                <w:szCs w:val="16"/>
                <w:lang w:eastAsia="es-CO"/>
              </w:rPr>
            </w:pPr>
            <w:r w:rsidRPr="00104F4B">
              <w:rPr>
                <w:rFonts w:cs="Arial"/>
                <w:b/>
                <w:bCs/>
                <w:color w:val="000000"/>
                <w:sz w:val="16"/>
                <w:szCs w:val="16"/>
                <w:lang w:eastAsia="es-CO"/>
              </w:rPr>
              <w:t>SEPT</w:t>
            </w:r>
          </w:p>
        </w:tc>
        <w:tc>
          <w:tcPr>
            <w:tcW w:w="567" w:type="dxa"/>
            <w:tcBorders>
              <w:top w:val="single" w:sz="8" w:space="0" w:color="auto"/>
              <w:left w:val="nil"/>
              <w:bottom w:val="single" w:sz="8" w:space="0" w:color="auto"/>
              <w:right w:val="single" w:sz="8" w:space="0" w:color="auto"/>
            </w:tcBorders>
            <w:shd w:val="clear" w:color="auto" w:fill="auto"/>
            <w:noWrap/>
            <w:vAlign w:val="center"/>
            <w:hideMark/>
          </w:tcPr>
          <w:p w:rsidR="0024547C" w:rsidRPr="00104F4B" w:rsidRDefault="0024547C" w:rsidP="0024547C">
            <w:pPr>
              <w:jc w:val="center"/>
              <w:rPr>
                <w:rFonts w:cs="Arial"/>
                <w:b/>
                <w:bCs/>
                <w:color w:val="000000"/>
                <w:sz w:val="16"/>
                <w:szCs w:val="16"/>
                <w:lang w:eastAsia="es-CO"/>
              </w:rPr>
            </w:pPr>
            <w:r w:rsidRPr="00104F4B">
              <w:rPr>
                <w:rFonts w:cs="Arial"/>
                <w:b/>
                <w:bCs/>
                <w:color w:val="000000"/>
                <w:sz w:val="16"/>
                <w:szCs w:val="16"/>
                <w:lang w:eastAsia="es-CO"/>
              </w:rPr>
              <w:t>OCT</w:t>
            </w:r>
          </w:p>
        </w:tc>
        <w:tc>
          <w:tcPr>
            <w:tcW w:w="709" w:type="dxa"/>
            <w:tcBorders>
              <w:top w:val="single" w:sz="8" w:space="0" w:color="auto"/>
              <w:left w:val="nil"/>
              <w:bottom w:val="single" w:sz="8" w:space="0" w:color="auto"/>
              <w:right w:val="single" w:sz="8" w:space="0" w:color="auto"/>
            </w:tcBorders>
            <w:shd w:val="clear" w:color="auto" w:fill="auto"/>
            <w:noWrap/>
            <w:vAlign w:val="center"/>
            <w:hideMark/>
          </w:tcPr>
          <w:p w:rsidR="0024547C" w:rsidRPr="00104F4B" w:rsidRDefault="0024547C" w:rsidP="0024547C">
            <w:pPr>
              <w:jc w:val="center"/>
              <w:rPr>
                <w:rFonts w:cs="Arial"/>
                <w:b/>
                <w:bCs/>
                <w:color w:val="000000"/>
                <w:sz w:val="16"/>
                <w:szCs w:val="16"/>
                <w:lang w:eastAsia="es-CO"/>
              </w:rPr>
            </w:pPr>
            <w:r w:rsidRPr="00104F4B">
              <w:rPr>
                <w:rFonts w:cs="Arial"/>
                <w:b/>
                <w:bCs/>
                <w:color w:val="000000"/>
                <w:sz w:val="16"/>
                <w:szCs w:val="16"/>
                <w:lang w:eastAsia="es-CO"/>
              </w:rPr>
              <w:t>NOV</w:t>
            </w:r>
          </w:p>
        </w:tc>
        <w:tc>
          <w:tcPr>
            <w:tcW w:w="577" w:type="dxa"/>
            <w:tcBorders>
              <w:top w:val="single" w:sz="8" w:space="0" w:color="auto"/>
              <w:left w:val="nil"/>
              <w:bottom w:val="single" w:sz="8" w:space="0" w:color="auto"/>
              <w:right w:val="single" w:sz="8" w:space="0" w:color="auto"/>
            </w:tcBorders>
            <w:shd w:val="clear" w:color="auto" w:fill="auto"/>
            <w:noWrap/>
            <w:vAlign w:val="center"/>
            <w:hideMark/>
          </w:tcPr>
          <w:p w:rsidR="0024547C" w:rsidRPr="00104F4B" w:rsidRDefault="0024547C" w:rsidP="0024547C">
            <w:pPr>
              <w:jc w:val="center"/>
              <w:rPr>
                <w:rFonts w:cs="Arial"/>
                <w:b/>
                <w:bCs/>
                <w:color w:val="000000"/>
                <w:sz w:val="16"/>
                <w:szCs w:val="16"/>
                <w:lang w:eastAsia="es-CO"/>
              </w:rPr>
            </w:pPr>
            <w:r w:rsidRPr="00104F4B">
              <w:rPr>
                <w:rFonts w:cs="Arial"/>
                <w:b/>
                <w:bCs/>
                <w:color w:val="000000"/>
                <w:sz w:val="16"/>
                <w:szCs w:val="16"/>
                <w:lang w:eastAsia="es-CO"/>
              </w:rPr>
              <w:t>DIC</w:t>
            </w:r>
          </w:p>
        </w:tc>
        <w:tc>
          <w:tcPr>
            <w:tcW w:w="709" w:type="dxa"/>
            <w:tcBorders>
              <w:top w:val="single" w:sz="8" w:space="0" w:color="auto"/>
              <w:left w:val="nil"/>
              <w:bottom w:val="single" w:sz="8" w:space="0" w:color="auto"/>
              <w:right w:val="single" w:sz="8" w:space="0" w:color="auto"/>
            </w:tcBorders>
            <w:shd w:val="clear" w:color="auto" w:fill="auto"/>
            <w:noWrap/>
            <w:vAlign w:val="center"/>
            <w:hideMark/>
          </w:tcPr>
          <w:p w:rsidR="0024547C" w:rsidRPr="00104F4B" w:rsidRDefault="0024547C" w:rsidP="0024547C">
            <w:pPr>
              <w:jc w:val="center"/>
              <w:rPr>
                <w:rFonts w:cs="Arial"/>
                <w:b/>
                <w:bCs/>
                <w:color w:val="000000"/>
                <w:sz w:val="16"/>
                <w:szCs w:val="16"/>
                <w:lang w:eastAsia="es-CO"/>
              </w:rPr>
            </w:pPr>
            <w:r w:rsidRPr="00104F4B">
              <w:rPr>
                <w:rFonts w:cs="Arial"/>
                <w:b/>
                <w:bCs/>
                <w:color w:val="000000"/>
                <w:sz w:val="16"/>
                <w:szCs w:val="16"/>
                <w:lang w:eastAsia="es-CO"/>
              </w:rPr>
              <w:t>TOTAL</w:t>
            </w:r>
          </w:p>
        </w:tc>
      </w:tr>
      <w:tr w:rsidR="0024547C" w:rsidRPr="00104F4B" w:rsidTr="0024547C">
        <w:trPr>
          <w:trHeight w:val="315"/>
          <w:jc w:val="center"/>
        </w:trPr>
        <w:tc>
          <w:tcPr>
            <w:tcW w:w="2405" w:type="dxa"/>
            <w:tcBorders>
              <w:top w:val="nil"/>
              <w:left w:val="single" w:sz="4" w:space="0" w:color="auto"/>
              <w:bottom w:val="single" w:sz="4" w:space="0" w:color="auto"/>
              <w:right w:val="single" w:sz="4" w:space="0" w:color="auto"/>
            </w:tcBorders>
            <w:shd w:val="clear" w:color="auto" w:fill="auto"/>
            <w:vAlign w:val="center"/>
            <w:hideMark/>
          </w:tcPr>
          <w:p w:rsidR="0024547C" w:rsidRPr="00104F4B" w:rsidRDefault="0024547C" w:rsidP="0024547C">
            <w:pPr>
              <w:rPr>
                <w:rFonts w:cs="Arial"/>
                <w:bCs/>
                <w:color w:val="000000"/>
                <w:sz w:val="16"/>
                <w:szCs w:val="16"/>
                <w:lang w:eastAsia="es-CO"/>
              </w:rPr>
            </w:pPr>
            <w:r w:rsidRPr="00104F4B">
              <w:rPr>
                <w:rFonts w:cs="Arial"/>
                <w:bCs/>
                <w:color w:val="000000"/>
                <w:sz w:val="16"/>
                <w:szCs w:val="16"/>
                <w:lang w:eastAsia="es-CO"/>
              </w:rPr>
              <w:t>ACUERDO MARCO</w:t>
            </w:r>
          </w:p>
        </w:tc>
        <w:tc>
          <w:tcPr>
            <w:tcW w:w="567" w:type="dxa"/>
            <w:tcBorders>
              <w:top w:val="nil"/>
              <w:left w:val="nil"/>
              <w:bottom w:val="single" w:sz="8" w:space="0" w:color="auto"/>
              <w:right w:val="single" w:sz="8" w:space="0" w:color="auto"/>
            </w:tcBorders>
            <w:shd w:val="clear" w:color="auto" w:fill="auto"/>
            <w:noWrap/>
            <w:vAlign w:val="center"/>
          </w:tcPr>
          <w:p w:rsidR="0024547C" w:rsidRPr="00104F4B" w:rsidRDefault="0024547C" w:rsidP="0024547C">
            <w:pPr>
              <w:jc w:val="center"/>
              <w:rPr>
                <w:rFonts w:cs="Arial"/>
                <w:color w:val="000000"/>
                <w:sz w:val="16"/>
                <w:szCs w:val="16"/>
                <w:lang w:eastAsia="es-CO"/>
              </w:rPr>
            </w:pPr>
            <w:r w:rsidRPr="00104F4B">
              <w:rPr>
                <w:rFonts w:cs="Arial"/>
                <w:color w:val="000000"/>
                <w:sz w:val="16"/>
                <w:szCs w:val="16"/>
                <w:lang w:eastAsia="es-CO"/>
              </w:rPr>
              <w:t>3</w:t>
            </w:r>
          </w:p>
        </w:tc>
        <w:tc>
          <w:tcPr>
            <w:tcW w:w="709" w:type="dxa"/>
            <w:tcBorders>
              <w:top w:val="nil"/>
              <w:left w:val="nil"/>
              <w:bottom w:val="single" w:sz="8" w:space="0" w:color="auto"/>
              <w:right w:val="single" w:sz="8" w:space="0" w:color="auto"/>
            </w:tcBorders>
            <w:shd w:val="clear" w:color="auto" w:fill="auto"/>
            <w:noWrap/>
            <w:vAlign w:val="center"/>
          </w:tcPr>
          <w:p w:rsidR="0024547C" w:rsidRPr="00104F4B" w:rsidRDefault="0024547C" w:rsidP="0024547C">
            <w:pPr>
              <w:jc w:val="center"/>
              <w:rPr>
                <w:rFonts w:cs="Arial"/>
                <w:color w:val="000000"/>
                <w:sz w:val="16"/>
                <w:szCs w:val="16"/>
                <w:lang w:eastAsia="es-CO"/>
              </w:rPr>
            </w:pPr>
            <w:r w:rsidRPr="00104F4B">
              <w:rPr>
                <w:rFonts w:cs="Arial"/>
                <w:color w:val="000000"/>
                <w:sz w:val="16"/>
                <w:szCs w:val="16"/>
                <w:lang w:eastAsia="es-CO"/>
              </w:rPr>
              <w:t>2</w:t>
            </w:r>
          </w:p>
        </w:tc>
        <w:tc>
          <w:tcPr>
            <w:tcW w:w="567" w:type="dxa"/>
            <w:tcBorders>
              <w:top w:val="nil"/>
              <w:left w:val="nil"/>
              <w:bottom w:val="single" w:sz="8" w:space="0" w:color="auto"/>
              <w:right w:val="single" w:sz="8" w:space="0" w:color="auto"/>
            </w:tcBorders>
            <w:shd w:val="clear" w:color="auto" w:fill="auto"/>
            <w:noWrap/>
            <w:vAlign w:val="center"/>
          </w:tcPr>
          <w:p w:rsidR="0024547C" w:rsidRPr="00104F4B" w:rsidRDefault="0024547C" w:rsidP="0024547C">
            <w:pPr>
              <w:jc w:val="center"/>
              <w:rPr>
                <w:rFonts w:cs="Arial"/>
                <w:color w:val="000000"/>
                <w:sz w:val="16"/>
                <w:szCs w:val="16"/>
                <w:lang w:eastAsia="es-CO"/>
              </w:rPr>
            </w:pPr>
            <w:r w:rsidRPr="00104F4B">
              <w:rPr>
                <w:rFonts w:cs="Arial"/>
                <w:color w:val="000000"/>
                <w:sz w:val="16"/>
                <w:szCs w:val="16"/>
                <w:lang w:eastAsia="es-CO"/>
              </w:rPr>
              <w:t>3</w:t>
            </w:r>
          </w:p>
        </w:tc>
        <w:tc>
          <w:tcPr>
            <w:tcW w:w="567" w:type="dxa"/>
            <w:tcBorders>
              <w:top w:val="nil"/>
              <w:left w:val="nil"/>
              <w:bottom w:val="single" w:sz="8" w:space="0" w:color="auto"/>
              <w:right w:val="single" w:sz="8" w:space="0" w:color="auto"/>
            </w:tcBorders>
            <w:shd w:val="clear" w:color="auto" w:fill="auto"/>
            <w:noWrap/>
            <w:vAlign w:val="center"/>
          </w:tcPr>
          <w:p w:rsidR="0024547C" w:rsidRPr="00104F4B" w:rsidRDefault="0024547C" w:rsidP="0024547C">
            <w:pPr>
              <w:jc w:val="center"/>
              <w:rPr>
                <w:rFonts w:cs="Arial"/>
                <w:color w:val="000000"/>
                <w:sz w:val="16"/>
                <w:szCs w:val="16"/>
                <w:lang w:eastAsia="es-CO"/>
              </w:rPr>
            </w:pPr>
            <w:r w:rsidRPr="00104F4B">
              <w:rPr>
                <w:rFonts w:cs="Arial"/>
                <w:color w:val="000000"/>
                <w:sz w:val="16"/>
                <w:szCs w:val="16"/>
                <w:lang w:eastAsia="es-CO"/>
              </w:rPr>
              <w:t>1</w:t>
            </w:r>
          </w:p>
        </w:tc>
        <w:tc>
          <w:tcPr>
            <w:tcW w:w="567" w:type="dxa"/>
            <w:tcBorders>
              <w:top w:val="nil"/>
              <w:left w:val="nil"/>
              <w:bottom w:val="single" w:sz="8" w:space="0" w:color="auto"/>
              <w:right w:val="single" w:sz="8" w:space="0" w:color="auto"/>
            </w:tcBorders>
            <w:shd w:val="clear" w:color="auto" w:fill="auto"/>
            <w:noWrap/>
            <w:vAlign w:val="center"/>
          </w:tcPr>
          <w:p w:rsidR="0024547C" w:rsidRPr="00104F4B" w:rsidRDefault="0024547C" w:rsidP="0024547C">
            <w:pPr>
              <w:jc w:val="center"/>
              <w:rPr>
                <w:rFonts w:cs="Arial"/>
                <w:color w:val="000000"/>
                <w:sz w:val="16"/>
                <w:szCs w:val="16"/>
                <w:lang w:eastAsia="es-CO"/>
              </w:rPr>
            </w:pPr>
            <w:r w:rsidRPr="00104F4B">
              <w:rPr>
                <w:rFonts w:cs="Arial"/>
                <w:color w:val="000000"/>
                <w:sz w:val="16"/>
                <w:szCs w:val="16"/>
                <w:lang w:eastAsia="es-CO"/>
              </w:rPr>
              <w:t>1</w:t>
            </w:r>
          </w:p>
        </w:tc>
        <w:tc>
          <w:tcPr>
            <w:tcW w:w="567" w:type="dxa"/>
            <w:tcBorders>
              <w:top w:val="nil"/>
              <w:left w:val="nil"/>
              <w:bottom w:val="single" w:sz="8" w:space="0" w:color="auto"/>
              <w:right w:val="single" w:sz="8" w:space="0" w:color="auto"/>
            </w:tcBorders>
            <w:shd w:val="clear" w:color="auto" w:fill="auto"/>
            <w:noWrap/>
            <w:vAlign w:val="center"/>
          </w:tcPr>
          <w:p w:rsidR="0024547C" w:rsidRPr="00104F4B" w:rsidRDefault="0024547C" w:rsidP="0024547C">
            <w:pPr>
              <w:jc w:val="center"/>
              <w:rPr>
                <w:rFonts w:cs="Arial"/>
                <w:color w:val="000000"/>
                <w:sz w:val="16"/>
                <w:szCs w:val="16"/>
                <w:lang w:eastAsia="es-CO"/>
              </w:rPr>
            </w:pPr>
            <w:r w:rsidRPr="00104F4B">
              <w:rPr>
                <w:rFonts w:cs="Arial"/>
                <w:color w:val="000000"/>
                <w:sz w:val="16"/>
                <w:szCs w:val="16"/>
                <w:lang w:eastAsia="es-CO"/>
              </w:rPr>
              <w:t>1</w:t>
            </w:r>
          </w:p>
        </w:tc>
        <w:tc>
          <w:tcPr>
            <w:tcW w:w="567" w:type="dxa"/>
            <w:tcBorders>
              <w:top w:val="nil"/>
              <w:left w:val="nil"/>
              <w:bottom w:val="single" w:sz="8" w:space="0" w:color="auto"/>
              <w:right w:val="single" w:sz="8" w:space="0" w:color="auto"/>
            </w:tcBorders>
            <w:shd w:val="clear" w:color="auto" w:fill="auto"/>
            <w:noWrap/>
            <w:vAlign w:val="center"/>
          </w:tcPr>
          <w:p w:rsidR="0024547C" w:rsidRPr="00104F4B" w:rsidRDefault="0024547C" w:rsidP="0024547C">
            <w:pPr>
              <w:jc w:val="center"/>
              <w:rPr>
                <w:rFonts w:cs="Arial"/>
                <w:color w:val="000000"/>
                <w:sz w:val="16"/>
                <w:szCs w:val="16"/>
                <w:lang w:eastAsia="es-CO"/>
              </w:rPr>
            </w:pPr>
            <w:r w:rsidRPr="00104F4B">
              <w:rPr>
                <w:rFonts w:cs="Arial"/>
                <w:color w:val="000000"/>
                <w:sz w:val="16"/>
                <w:szCs w:val="16"/>
                <w:lang w:eastAsia="es-CO"/>
              </w:rPr>
              <w:t>2</w:t>
            </w:r>
          </w:p>
        </w:tc>
        <w:tc>
          <w:tcPr>
            <w:tcW w:w="567" w:type="dxa"/>
            <w:tcBorders>
              <w:top w:val="nil"/>
              <w:left w:val="nil"/>
              <w:bottom w:val="single" w:sz="8" w:space="0" w:color="auto"/>
              <w:right w:val="single" w:sz="8" w:space="0" w:color="auto"/>
            </w:tcBorders>
            <w:shd w:val="clear" w:color="auto" w:fill="auto"/>
            <w:noWrap/>
            <w:vAlign w:val="center"/>
          </w:tcPr>
          <w:p w:rsidR="0024547C" w:rsidRPr="00104F4B" w:rsidRDefault="0024547C" w:rsidP="0024547C">
            <w:pPr>
              <w:jc w:val="center"/>
              <w:rPr>
                <w:rFonts w:cs="Arial"/>
                <w:color w:val="000000"/>
                <w:sz w:val="16"/>
                <w:szCs w:val="16"/>
                <w:lang w:eastAsia="es-CO"/>
              </w:rPr>
            </w:pPr>
            <w:r w:rsidRPr="00104F4B">
              <w:rPr>
                <w:rFonts w:cs="Arial"/>
                <w:color w:val="000000"/>
                <w:sz w:val="16"/>
                <w:szCs w:val="16"/>
                <w:lang w:eastAsia="es-CO"/>
              </w:rPr>
              <w:t>4</w:t>
            </w:r>
          </w:p>
        </w:tc>
        <w:tc>
          <w:tcPr>
            <w:tcW w:w="567" w:type="dxa"/>
            <w:tcBorders>
              <w:top w:val="nil"/>
              <w:left w:val="nil"/>
              <w:bottom w:val="single" w:sz="8" w:space="0" w:color="auto"/>
              <w:right w:val="single" w:sz="8" w:space="0" w:color="auto"/>
            </w:tcBorders>
            <w:shd w:val="clear" w:color="auto" w:fill="auto"/>
            <w:noWrap/>
            <w:vAlign w:val="center"/>
          </w:tcPr>
          <w:p w:rsidR="0024547C" w:rsidRPr="00104F4B" w:rsidRDefault="0024547C" w:rsidP="0024547C">
            <w:pPr>
              <w:jc w:val="center"/>
              <w:rPr>
                <w:rFonts w:cs="Arial"/>
                <w:color w:val="000000"/>
                <w:sz w:val="16"/>
                <w:szCs w:val="16"/>
                <w:lang w:eastAsia="es-CO"/>
              </w:rPr>
            </w:pPr>
          </w:p>
        </w:tc>
        <w:tc>
          <w:tcPr>
            <w:tcW w:w="567" w:type="dxa"/>
            <w:tcBorders>
              <w:top w:val="nil"/>
              <w:left w:val="nil"/>
              <w:bottom w:val="single" w:sz="8" w:space="0" w:color="auto"/>
              <w:right w:val="single" w:sz="8" w:space="0" w:color="auto"/>
            </w:tcBorders>
            <w:shd w:val="clear" w:color="auto" w:fill="auto"/>
            <w:noWrap/>
            <w:vAlign w:val="center"/>
          </w:tcPr>
          <w:p w:rsidR="0024547C" w:rsidRPr="00104F4B" w:rsidRDefault="0024547C" w:rsidP="0024547C">
            <w:pPr>
              <w:jc w:val="center"/>
              <w:rPr>
                <w:rFonts w:cs="Arial"/>
                <w:color w:val="000000"/>
                <w:sz w:val="16"/>
                <w:szCs w:val="16"/>
                <w:lang w:eastAsia="es-CO"/>
              </w:rPr>
            </w:pPr>
            <w:r w:rsidRPr="00104F4B">
              <w:rPr>
                <w:rFonts w:cs="Arial"/>
                <w:color w:val="000000"/>
                <w:sz w:val="16"/>
                <w:szCs w:val="16"/>
                <w:lang w:eastAsia="es-CO"/>
              </w:rPr>
              <w:t>2</w:t>
            </w:r>
          </w:p>
        </w:tc>
        <w:tc>
          <w:tcPr>
            <w:tcW w:w="709" w:type="dxa"/>
            <w:tcBorders>
              <w:top w:val="nil"/>
              <w:left w:val="nil"/>
              <w:bottom w:val="single" w:sz="8" w:space="0" w:color="auto"/>
              <w:right w:val="single" w:sz="8" w:space="0" w:color="auto"/>
            </w:tcBorders>
            <w:shd w:val="clear" w:color="auto" w:fill="auto"/>
            <w:noWrap/>
            <w:vAlign w:val="center"/>
          </w:tcPr>
          <w:p w:rsidR="0024547C" w:rsidRPr="00104F4B" w:rsidRDefault="0024547C" w:rsidP="0024547C">
            <w:pPr>
              <w:jc w:val="center"/>
              <w:rPr>
                <w:rFonts w:cs="Arial"/>
                <w:color w:val="000000"/>
                <w:sz w:val="16"/>
                <w:szCs w:val="16"/>
                <w:lang w:eastAsia="es-CO"/>
              </w:rPr>
            </w:pPr>
            <w:r w:rsidRPr="00104F4B">
              <w:rPr>
                <w:rFonts w:cs="Arial"/>
                <w:color w:val="000000"/>
                <w:sz w:val="16"/>
                <w:szCs w:val="16"/>
                <w:lang w:eastAsia="es-CO"/>
              </w:rPr>
              <w:t>3</w:t>
            </w:r>
          </w:p>
        </w:tc>
        <w:tc>
          <w:tcPr>
            <w:tcW w:w="577" w:type="dxa"/>
            <w:tcBorders>
              <w:top w:val="nil"/>
              <w:left w:val="nil"/>
              <w:bottom w:val="single" w:sz="8" w:space="0" w:color="auto"/>
              <w:right w:val="single" w:sz="8" w:space="0" w:color="auto"/>
            </w:tcBorders>
            <w:shd w:val="clear" w:color="auto" w:fill="auto"/>
            <w:noWrap/>
            <w:vAlign w:val="center"/>
          </w:tcPr>
          <w:p w:rsidR="0024547C" w:rsidRPr="00104F4B" w:rsidRDefault="0024547C" w:rsidP="0024547C">
            <w:pPr>
              <w:jc w:val="center"/>
              <w:rPr>
                <w:rFonts w:cs="Arial"/>
                <w:color w:val="000000"/>
                <w:sz w:val="16"/>
                <w:szCs w:val="16"/>
                <w:lang w:eastAsia="es-CO"/>
              </w:rPr>
            </w:pPr>
            <w:r w:rsidRPr="00104F4B">
              <w:rPr>
                <w:rFonts w:cs="Arial"/>
                <w:color w:val="000000"/>
                <w:sz w:val="16"/>
                <w:szCs w:val="16"/>
                <w:lang w:eastAsia="es-CO"/>
              </w:rPr>
              <w:t>1</w:t>
            </w:r>
          </w:p>
        </w:tc>
        <w:tc>
          <w:tcPr>
            <w:tcW w:w="709" w:type="dxa"/>
            <w:tcBorders>
              <w:top w:val="nil"/>
              <w:left w:val="nil"/>
              <w:bottom w:val="single" w:sz="8" w:space="0" w:color="auto"/>
              <w:right w:val="single" w:sz="8" w:space="0" w:color="auto"/>
            </w:tcBorders>
            <w:shd w:val="clear" w:color="auto" w:fill="auto"/>
            <w:noWrap/>
            <w:vAlign w:val="center"/>
          </w:tcPr>
          <w:p w:rsidR="0024547C" w:rsidRPr="00104F4B" w:rsidRDefault="0024547C" w:rsidP="0024547C">
            <w:pPr>
              <w:jc w:val="center"/>
              <w:rPr>
                <w:rFonts w:cs="Arial"/>
                <w:color w:val="000000"/>
                <w:sz w:val="16"/>
                <w:szCs w:val="16"/>
                <w:lang w:eastAsia="es-CO"/>
              </w:rPr>
            </w:pPr>
            <w:r w:rsidRPr="00104F4B">
              <w:rPr>
                <w:rFonts w:cs="Arial"/>
                <w:color w:val="000000"/>
                <w:sz w:val="16"/>
                <w:szCs w:val="16"/>
                <w:lang w:eastAsia="es-CO"/>
              </w:rPr>
              <w:t>23</w:t>
            </w:r>
          </w:p>
        </w:tc>
      </w:tr>
      <w:tr w:rsidR="0024547C" w:rsidRPr="00104F4B" w:rsidTr="0024547C">
        <w:trPr>
          <w:trHeight w:val="315"/>
          <w:jc w:val="center"/>
        </w:trPr>
        <w:tc>
          <w:tcPr>
            <w:tcW w:w="2405" w:type="dxa"/>
            <w:tcBorders>
              <w:top w:val="nil"/>
              <w:left w:val="single" w:sz="4" w:space="0" w:color="auto"/>
              <w:bottom w:val="single" w:sz="4" w:space="0" w:color="auto"/>
              <w:right w:val="single" w:sz="4" w:space="0" w:color="auto"/>
            </w:tcBorders>
            <w:shd w:val="clear" w:color="auto" w:fill="auto"/>
            <w:vAlign w:val="center"/>
            <w:hideMark/>
          </w:tcPr>
          <w:p w:rsidR="0024547C" w:rsidRPr="00104F4B" w:rsidRDefault="0024547C" w:rsidP="0024547C">
            <w:pPr>
              <w:rPr>
                <w:rFonts w:cs="Arial"/>
                <w:bCs/>
                <w:color w:val="000000"/>
                <w:sz w:val="16"/>
                <w:szCs w:val="16"/>
                <w:lang w:eastAsia="es-CO"/>
              </w:rPr>
            </w:pPr>
            <w:r w:rsidRPr="00104F4B">
              <w:rPr>
                <w:rFonts w:cs="Arial"/>
                <w:bCs/>
                <w:color w:val="000000"/>
                <w:sz w:val="16"/>
                <w:szCs w:val="16"/>
                <w:lang w:eastAsia="es-CO"/>
              </w:rPr>
              <w:t>ARRENDAMIENTO</w:t>
            </w:r>
          </w:p>
        </w:tc>
        <w:tc>
          <w:tcPr>
            <w:tcW w:w="567" w:type="dxa"/>
            <w:tcBorders>
              <w:top w:val="nil"/>
              <w:left w:val="nil"/>
              <w:bottom w:val="single" w:sz="8" w:space="0" w:color="auto"/>
              <w:right w:val="single" w:sz="8" w:space="0" w:color="auto"/>
            </w:tcBorders>
            <w:shd w:val="clear" w:color="auto" w:fill="auto"/>
            <w:noWrap/>
            <w:vAlign w:val="center"/>
          </w:tcPr>
          <w:p w:rsidR="0024547C" w:rsidRPr="00104F4B" w:rsidRDefault="0024547C" w:rsidP="0024547C">
            <w:pPr>
              <w:jc w:val="center"/>
              <w:rPr>
                <w:rFonts w:cs="Arial"/>
                <w:color w:val="000000"/>
                <w:sz w:val="16"/>
                <w:szCs w:val="16"/>
                <w:lang w:eastAsia="es-CO"/>
              </w:rPr>
            </w:pPr>
            <w:r w:rsidRPr="00104F4B">
              <w:rPr>
                <w:rFonts w:cs="Arial"/>
                <w:color w:val="000000"/>
                <w:sz w:val="16"/>
                <w:szCs w:val="16"/>
                <w:lang w:eastAsia="es-CO"/>
              </w:rPr>
              <w:t>1</w:t>
            </w:r>
          </w:p>
        </w:tc>
        <w:tc>
          <w:tcPr>
            <w:tcW w:w="709" w:type="dxa"/>
            <w:tcBorders>
              <w:top w:val="nil"/>
              <w:left w:val="nil"/>
              <w:bottom w:val="single" w:sz="8" w:space="0" w:color="auto"/>
              <w:right w:val="single" w:sz="8" w:space="0" w:color="auto"/>
            </w:tcBorders>
            <w:shd w:val="clear" w:color="auto" w:fill="auto"/>
            <w:noWrap/>
            <w:vAlign w:val="center"/>
          </w:tcPr>
          <w:p w:rsidR="0024547C" w:rsidRPr="00104F4B" w:rsidRDefault="0024547C" w:rsidP="0024547C">
            <w:pPr>
              <w:jc w:val="center"/>
              <w:rPr>
                <w:rFonts w:cs="Arial"/>
                <w:color w:val="000000"/>
                <w:sz w:val="16"/>
                <w:szCs w:val="16"/>
                <w:lang w:eastAsia="es-CO"/>
              </w:rPr>
            </w:pPr>
          </w:p>
        </w:tc>
        <w:tc>
          <w:tcPr>
            <w:tcW w:w="567" w:type="dxa"/>
            <w:tcBorders>
              <w:top w:val="nil"/>
              <w:left w:val="nil"/>
              <w:bottom w:val="single" w:sz="8" w:space="0" w:color="auto"/>
              <w:right w:val="single" w:sz="8" w:space="0" w:color="auto"/>
            </w:tcBorders>
            <w:shd w:val="clear" w:color="auto" w:fill="auto"/>
            <w:noWrap/>
            <w:vAlign w:val="center"/>
          </w:tcPr>
          <w:p w:rsidR="0024547C" w:rsidRPr="00104F4B" w:rsidRDefault="0024547C" w:rsidP="0024547C">
            <w:pPr>
              <w:jc w:val="center"/>
              <w:rPr>
                <w:rFonts w:cs="Arial"/>
                <w:color w:val="000000"/>
                <w:sz w:val="16"/>
                <w:szCs w:val="16"/>
                <w:lang w:eastAsia="es-CO"/>
              </w:rPr>
            </w:pPr>
          </w:p>
        </w:tc>
        <w:tc>
          <w:tcPr>
            <w:tcW w:w="567" w:type="dxa"/>
            <w:tcBorders>
              <w:top w:val="nil"/>
              <w:left w:val="nil"/>
              <w:bottom w:val="single" w:sz="8" w:space="0" w:color="auto"/>
              <w:right w:val="single" w:sz="8" w:space="0" w:color="auto"/>
            </w:tcBorders>
            <w:shd w:val="clear" w:color="auto" w:fill="auto"/>
            <w:noWrap/>
            <w:vAlign w:val="center"/>
          </w:tcPr>
          <w:p w:rsidR="0024547C" w:rsidRPr="00104F4B" w:rsidRDefault="0024547C" w:rsidP="0024547C">
            <w:pPr>
              <w:jc w:val="center"/>
              <w:rPr>
                <w:rFonts w:cs="Arial"/>
                <w:color w:val="000000"/>
                <w:sz w:val="16"/>
                <w:szCs w:val="16"/>
                <w:lang w:eastAsia="es-CO"/>
              </w:rPr>
            </w:pPr>
          </w:p>
        </w:tc>
        <w:tc>
          <w:tcPr>
            <w:tcW w:w="567" w:type="dxa"/>
            <w:tcBorders>
              <w:top w:val="nil"/>
              <w:left w:val="nil"/>
              <w:bottom w:val="single" w:sz="8" w:space="0" w:color="auto"/>
              <w:right w:val="single" w:sz="8" w:space="0" w:color="auto"/>
            </w:tcBorders>
            <w:shd w:val="clear" w:color="auto" w:fill="auto"/>
            <w:noWrap/>
            <w:vAlign w:val="center"/>
          </w:tcPr>
          <w:p w:rsidR="0024547C" w:rsidRPr="00104F4B" w:rsidRDefault="0024547C" w:rsidP="0024547C">
            <w:pPr>
              <w:jc w:val="center"/>
              <w:rPr>
                <w:rFonts w:cs="Arial"/>
                <w:color w:val="000000"/>
                <w:sz w:val="16"/>
                <w:szCs w:val="16"/>
                <w:lang w:eastAsia="es-CO"/>
              </w:rPr>
            </w:pPr>
          </w:p>
        </w:tc>
        <w:tc>
          <w:tcPr>
            <w:tcW w:w="567" w:type="dxa"/>
            <w:tcBorders>
              <w:top w:val="nil"/>
              <w:left w:val="nil"/>
              <w:bottom w:val="single" w:sz="8" w:space="0" w:color="auto"/>
              <w:right w:val="single" w:sz="8" w:space="0" w:color="auto"/>
            </w:tcBorders>
            <w:shd w:val="clear" w:color="auto" w:fill="auto"/>
            <w:noWrap/>
            <w:vAlign w:val="center"/>
          </w:tcPr>
          <w:p w:rsidR="0024547C" w:rsidRPr="00104F4B" w:rsidRDefault="0024547C" w:rsidP="0024547C">
            <w:pPr>
              <w:jc w:val="center"/>
              <w:rPr>
                <w:rFonts w:cs="Arial"/>
                <w:color w:val="000000"/>
                <w:sz w:val="16"/>
                <w:szCs w:val="16"/>
                <w:lang w:eastAsia="es-CO"/>
              </w:rPr>
            </w:pPr>
          </w:p>
        </w:tc>
        <w:tc>
          <w:tcPr>
            <w:tcW w:w="567" w:type="dxa"/>
            <w:tcBorders>
              <w:top w:val="nil"/>
              <w:left w:val="nil"/>
              <w:bottom w:val="single" w:sz="8" w:space="0" w:color="auto"/>
              <w:right w:val="single" w:sz="8" w:space="0" w:color="auto"/>
            </w:tcBorders>
            <w:shd w:val="clear" w:color="auto" w:fill="auto"/>
            <w:noWrap/>
            <w:vAlign w:val="center"/>
          </w:tcPr>
          <w:p w:rsidR="0024547C" w:rsidRPr="00104F4B" w:rsidRDefault="0024547C" w:rsidP="0024547C">
            <w:pPr>
              <w:jc w:val="center"/>
              <w:rPr>
                <w:rFonts w:cs="Arial"/>
                <w:color w:val="000000"/>
                <w:sz w:val="16"/>
                <w:szCs w:val="16"/>
                <w:lang w:eastAsia="es-CO"/>
              </w:rPr>
            </w:pPr>
          </w:p>
        </w:tc>
        <w:tc>
          <w:tcPr>
            <w:tcW w:w="567" w:type="dxa"/>
            <w:tcBorders>
              <w:top w:val="nil"/>
              <w:left w:val="nil"/>
              <w:bottom w:val="single" w:sz="8" w:space="0" w:color="auto"/>
              <w:right w:val="single" w:sz="8" w:space="0" w:color="auto"/>
            </w:tcBorders>
            <w:shd w:val="clear" w:color="auto" w:fill="auto"/>
            <w:noWrap/>
            <w:vAlign w:val="center"/>
          </w:tcPr>
          <w:p w:rsidR="0024547C" w:rsidRPr="00104F4B" w:rsidRDefault="0024547C" w:rsidP="0024547C">
            <w:pPr>
              <w:jc w:val="center"/>
              <w:rPr>
                <w:rFonts w:cs="Arial"/>
                <w:color w:val="000000"/>
                <w:sz w:val="16"/>
                <w:szCs w:val="16"/>
                <w:lang w:eastAsia="es-CO"/>
              </w:rPr>
            </w:pPr>
          </w:p>
        </w:tc>
        <w:tc>
          <w:tcPr>
            <w:tcW w:w="567" w:type="dxa"/>
            <w:tcBorders>
              <w:top w:val="nil"/>
              <w:left w:val="nil"/>
              <w:bottom w:val="single" w:sz="8" w:space="0" w:color="auto"/>
              <w:right w:val="single" w:sz="8" w:space="0" w:color="auto"/>
            </w:tcBorders>
            <w:shd w:val="clear" w:color="auto" w:fill="auto"/>
            <w:noWrap/>
            <w:vAlign w:val="center"/>
          </w:tcPr>
          <w:p w:rsidR="0024547C" w:rsidRPr="00104F4B" w:rsidRDefault="0024547C" w:rsidP="0024547C">
            <w:pPr>
              <w:jc w:val="center"/>
              <w:rPr>
                <w:rFonts w:cs="Arial"/>
                <w:color w:val="000000"/>
                <w:sz w:val="16"/>
                <w:szCs w:val="16"/>
                <w:lang w:eastAsia="es-CO"/>
              </w:rPr>
            </w:pPr>
            <w:r w:rsidRPr="00104F4B">
              <w:rPr>
                <w:rFonts w:cs="Arial"/>
                <w:color w:val="000000"/>
                <w:sz w:val="16"/>
                <w:szCs w:val="16"/>
                <w:lang w:eastAsia="es-CO"/>
              </w:rPr>
              <w:t>1</w:t>
            </w:r>
          </w:p>
        </w:tc>
        <w:tc>
          <w:tcPr>
            <w:tcW w:w="567" w:type="dxa"/>
            <w:tcBorders>
              <w:top w:val="nil"/>
              <w:left w:val="nil"/>
              <w:bottom w:val="single" w:sz="8" w:space="0" w:color="auto"/>
              <w:right w:val="single" w:sz="8" w:space="0" w:color="auto"/>
            </w:tcBorders>
            <w:shd w:val="clear" w:color="auto" w:fill="auto"/>
            <w:noWrap/>
            <w:vAlign w:val="center"/>
          </w:tcPr>
          <w:p w:rsidR="0024547C" w:rsidRPr="00104F4B" w:rsidRDefault="0024547C" w:rsidP="0024547C">
            <w:pPr>
              <w:jc w:val="center"/>
              <w:rPr>
                <w:rFonts w:cs="Arial"/>
                <w:color w:val="000000"/>
                <w:sz w:val="16"/>
                <w:szCs w:val="16"/>
                <w:lang w:eastAsia="es-CO"/>
              </w:rPr>
            </w:pPr>
          </w:p>
        </w:tc>
        <w:tc>
          <w:tcPr>
            <w:tcW w:w="709" w:type="dxa"/>
            <w:tcBorders>
              <w:top w:val="nil"/>
              <w:left w:val="nil"/>
              <w:bottom w:val="single" w:sz="8" w:space="0" w:color="auto"/>
              <w:right w:val="single" w:sz="8" w:space="0" w:color="auto"/>
            </w:tcBorders>
            <w:shd w:val="clear" w:color="auto" w:fill="auto"/>
            <w:noWrap/>
            <w:vAlign w:val="center"/>
          </w:tcPr>
          <w:p w:rsidR="0024547C" w:rsidRPr="00104F4B" w:rsidRDefault="0024547C" w:rsidP="0024547C">
            <w:pPr>
              <w:jc w:val="center"/>
              <w:rPr>
                <w:rFonts w:cs="Arial"/>
                <w:color w:val="000000"/>
                <w:sz w:val="16"/>
                <w:szCs w:val="16"/>
                <w:lang w:eastAsia="es-CO"/>
              </w:rPr>
            </w:pPr>
          </w:p>
        </w:tc>
        <w:tc>
          <w:tcPr>
            <w:tcW w:w="577" w:type="dxa"/>
            <w:tcBorders>
              <w:top w:val="nil"/>
              <w:left w:val="nil"/>
              <w:bottom w:val="single" w:sz="8" w:space="0" w:color="auto"/>
              <w:right w:val="single" w:sz="8" w:space="0" w:color="auto"/>
            </w:tcBorders>
            <w:shd w:val="clear" w:color="auto" w:fill="auto"/>
            <w:noWrap/>
            <w:vAlign w:val="center"/>
          </w:tcPr>
          <w:p w:rsidR="0024547C" w:rsidRPr="00104F4B" w:rsidRDefault="0024547C" w:rsidP="0024547C">
            <w:pPr>
              <w:jc w:val="center"/>
              <w:rPr>
                <w:rFonts w:cs="Arial"/>
                <w:color w:val="000000"/>
                <w:sz w:val="16"/>
                <w:szCs w:val="16"/>
                <w:lang w:eastAsia="es-CO"/>
              </w:rPr>
            </w:pPr>
          </w:p>
        </w:tc>
        <w:tc>
          <w:tcPr>
            <w:tcW w:w="709" w:type="dxa"/>
            <w:tcBorders>
              <w:top w:val="nil"/>
              <w:left w:val="nil"/>
              <w:bottom w:val="single" w:sz="8" w:space="0" w:color="auto"/>
              <w:right w:val="single" w:sz="8" w:space="0" w:color="auto"/>
            </w:tcBorders>
            <w:shd w:val="clear" w:color="auto" w:fill="auto"/>
            <w:noWrap/>
            <w:vAlign w:val="center"/>
          </w:tcPr>
          <w:p w:rsidR="0024547C" w:rsidRPr="00104F4B" w:rsidRDefault="0024547C" w:rsidP="0024547C">
            <w:pPr>
              <w:jc w:val="center"/>
              <w:rPr>
                <w:rFonts w:cs="Arial"/>
                <w:color w:val="000000"/>
                <w:sz w:val="16"/>
                <w:szCs w:val="16"/>
                <w:lang w:eastAsia="es-CO"/>
              </w:rPr>
            </w:pPr>
            <w:r w:rsidRPr="00104F4B">
              <w:rPr>
                <w:rFonts w:cs="Arial"/>
                <w:color w:val="000000"/>
                <w:sz w:val="16"/>
                <w:szCs w:val="16"/>
                <w:lang w:eastAsia="es-CO"/>
              </w:rPr>
              <w:t>2</w:t>
            </w:r>
          </w:p>
        </w:tc>
      </w:tr>
      <w:tr w:rsidR="0024547C" w:rsidRPr="00104F4B" w:rsidTr="0024547C">
        <w:trPr>
          <w:trHeight w:val="315"/>
          <w:jc w:val="center"/>
        </w:trPr>
        <w:tc>
          <w:tcPr>
            <w:tcW w:w="2405" w:type="dxa"/>
            <w:tcBorders>
              <w:top w:val="nil"/>
              <w:left w:val="single" w:sz="4" w:space="0" w:color="auto"/>
              <w:bottom w:val="single" w:sz="4" w:space="0" w:color="auto"/>
              <w:right w:val="single" w:sz="4" w:space="0" w:color="auto"/>
            </w:tcBorders>
            <w:shd w:val="clear" w:color="auto" w:fill="auto"/>
            <w:vAlign w:val="center"/>
            <w:hideMark/>
          </w:tcPr>
          <w:p w:rsidR="0024547C" w:rsidRPr="00104F4B" w:rsidRDefault="0024547C" w:rsidP="0024547C">
            <w:pPr>
              <w:rPr>
                <w:rFonts w:cs="Arial"/>
                <w:bCs/>
                <w:color w:val="000000"/>
                <w:sz w:val="16"/>
                <w:szCs w:val="16"/>
                <w:lang w:eastAsia="es-CO"/>
              </w:rPr>
            </w:pPr>
            <w:r w:rsidRPr="00104F4B">
              <w:rPr>
                <w:rFonts w:cs="Arial"/>
                <w:bCs/>
                <w:color w:val="000000"/>
                <w:sz w:val="16"/>
                <w:szCs w:val="16"/>
                <w:lang w:eastAsia="es-CO"/>
              </w:rPr>
              <w:t>COMPRAVENTA</w:t>
            </w:r>
          </w:p>
        </w:tc>
        <w:tc>
          <w:tcPr>
            <w:tcW w:w="567" w:type="dxa"/>
            <w:tcBorders>
              <w:top w:val="nil"/>
              <w:left w:val="nil"/>
              <w:bottom w:val="single" w:sz="8" w:space="0" w:color="auto"/>
              <w:right w:val="single" w:sz="8" w:space="0" w:color="auto"/>
            </w:tcBorders>
            <w:shd w:val="clear" w:color="auto" w:fill="auto"/>
            <w:noWrap/>
            <w:vAlign w:val="center"/>
          </w:tcPr>
          <w:p w:rsidR="0024547C" w:rsidRPr="00104F4B" w:rsidRDefault="0024547C" w:rsidP="0024547C">
            <w:pPr>
              <w:jc w:val="center"/>
              <w:rPr>
                <w:rFonts w:cs="Arial"/>
                <w:color w:val="000000"/>
                <w:sz w:val="16"/>
                <w:szCs w:val="16"/>
                <w:lang w:eastAsia="es-CO"/>
              </w:rPr>
            </w:pPr>
          </w:p>
        </w:tc>
        <w:tc>
          <w:tcPr>
            <w:tcW w:w="709" w:type="dxa"/>
            <w:tcBorders>
              <w:top w:val="nil"/>
              <w:left w:val="nil"/>
              <w:bottom w:val="single" w:sz="8" w:space="0" w:color="auto"/>
              <w:right w:val="single" w:sz="8" w:space="0" w:color="auto"/>
            </w:tcBorders>
            <w:shd w:val="clear" w:color="auto" w:fill="auto"/>
            <w:noWrap/>
            <w:vAlign w:val="center"/>
          </w:tcPr>
          <w:p w:rsidR="0024547C" w:rsidRPr="00104F4B" w:rsidRDefault="0024547C" w:rsidP="0024547C">
            <w:pPr>
              <w:jc w:val="center"/>
              <w:rPr>
                <w:rFonts w:cs="Arial"/>
                <w:color w:val="000000"/>
                <w:sz w:val="16"/>
                <w:szCs w:val="16"/>
                <w:lang w:eastAsia="es-CO"/>
              </w:rPr>
            </w:pPr>
          </w:p>
        </w:tc>
        <w:tc>
          <w:tcPr>
            <w:tcW w:w="567" w:type="dxa"/>
            <w:tcBorders>
              <w:top w:val="nil"/>
              <w:left w:val="nil"/>
              <w:bottom w:val="single" w:sz="8" w:space="0" w:color="auto"/>
              <w:right w:val="single" w:sz="8" w:space="0" w:color="auto"/>
            </w:tcBorders>
            <w:shd w:val="clear" w:color="auto" w:fill="auto"/>
            <w:noWrap/>
            <w:vAlign w:val="center"/>
          </w:tcPr>
          <w:p w:rsidR="0024547C" w:rsidRPr="00104F4B" w:rsidRDefault="0024547C" w:rsidP="0024547C">
            <w:pPr>
              <w:jc w:val="center"/>
              <w:rPr>
                <w:rFonts w:cs="Arial"/>
                <w:color w:val="000000"/>
                <w:sz w:val="16"/>
                <w:szCs w:val="16"/>
                <w:lang w:eastAsia="es-CO"/>
              </w:rPr>
            </w:pPr>
            <w:r w:rsidRPr="00104F4B">
              <w:rPr>
                <w:rFonts w:cs="Arial"/>
                <w:color w:val="000000"/>
                <w:sz w:val="16"/>
                <w:szCs w:val="16"/>
                <w:lang w:eastAsia="es-CO"/>
              </w:rPr>
              <w:t>1</w:t>
            </w:r>
          </w:p>
        </w:tc>
        <w:tc>
          <w:tcPr>
            <w:tcW w:w="567" w:type="dxa"/>
            <w:tcBorders>
              <w:top w:val="nil"/>
              <w:left w:val="nil"/>
              <w:bottom w:val="single" w:sz="8" w:space="0" w:color="auto"/>
              <w:right w:val="single" w:sz="8" w:space="0" w:color="auto"/>
            </w:tcBorders>
            <w:shd w:val="clear" w:color="auto" w:fill="auto"/>
            <w:noWrap/>
            <w:vAlign w:val="center"/>
          </w:tcPr>
          <w:p w:rsidR="0024547C" w:rsidRPr="00104F4B" w:rsidRDefault="0024547C" w:rsidP="0024547C">
            <w:pPr>
              <w:jc w:val="center"/>
              <w:rPr>
                <w:rFonts w:cs="Arial"/>
                <w:color w:val="000000"/>
                <w:sz w:val="16"/>
                <w:szCs w:val="16"/>
                <w:lang w:eastAsia="es-CO"/>
              </w:rPr>
            </w:pPr>
            <w:r w:rsidRPr="00104F4B">
              <w:rPr>
                <w:rFonts w:cs="Arial"/>
                <w:color w:val="000000"/>
                <w:sz w:val="16"/>
                <w:szCs w:val="16"/>
                <w:lang w:eastAsia="es-CO"/>
              </w:rPr>
              <w:t>1</w:t>
            </w:r>
          </w:p>
        </w:tc>
        <w:tc>
          <w:tcPr>
            <w:tcW w:w="567" w:type="dxa"/>
            <w:tcBorders>
              <w:top w:val="nil"/>
              <w:left w:val="nil"/>
              <w:bottom w:val="single" w:sz="8" w:space="0" w:color="auto"/>
              <w:right w:val="single" w:sz="8" w:space="0" w:color="auto"/>
            </w:tcBorders>
            <w:shd w:val="clear" w:color="auto" w:fill="auto"/>
            <w:noWrap/>
            <w:vAlign w:val="center"/>
          </w:tcPr>
          <w:p w:rsidR="0024547C" w:rsidRPr="00104F4B" w:rsidRDefault="0024547C" w:rsidP="0024547C">
            <w:pPr>
              <w:jc w:val="center"/>
              <w:rPr>
                <w:rFonts w:cs="Arial"/>
                <w:color w:val="000000"/>
                <w:sz w:val="16"/>
                <w:szCs w:val="16"/>
                <w:lang w:eastAsia="es-CO"/>
              </w:rPr>
            </w:pPr>
          </w:p>
        </w:tc>
        <w:tc>
          <w:tcPr>
            <w:tcW w:w="567" w:type="dxa"/>
            <w:tcBorders>
              <w:top w:val="nil"/>
              <w:left w:val="nil"/>
              <w:bottom w:val="single" w:sz="8" w:space="0" w:color="auto"/>
              <w:right w:val="single" w:sz="8" w:space="0" w:color="auto"/>
            </w:tcBorders>
            <w:shd w:val="clear" w:color="auto" w:fill="auto"/>
            <w:noWrap/>
            <w:vAlign w:val="center"/>
          </w:tcPr>
          <w:p w:rsidR="0024547C" w:rsidRPr="00104F4B" w:rsidRDefault="0024547C" w:rsidP="0024547C">
            <w:pPr>
              <w:jc w:val="center"/>
              <w:rPr>
                <w:rFonts w:cs="Arial"/>
                <w:color w:val="000000"/>
                <w:sz w:val="16"/>
                <w:szCs w:val="16"/>
                <w:lang w:eastAsia="es-CO"/>
              </w:rPr>
            </w:pPr>
            <w:r w:rsidRPr="00104F4B">
              <w:rPr>
                <w:rFonts w:cs="Arial"/>
                <w:color w:val="000000"/>
                <w:sz w:val="16"/>
                <w:szCs w:val="16"/>
                <w:lang w:eastAsia="es-CO"/>
              </w:rPr>
              <w:t>1</w:t>
            </w:r>
          </w:p>
        </w:tc>
        <w:tc>
          <w:tcPr>
            <w:tcW w:w="567" w:type="dxa"/>
            <w:tcBorders>
              <w:top w:val="nil"/>
              <w:left w:val="nil"/>
              <w:bottom w:val="single" w:sz="8" w:space="0" w:color="auto"/>
              <w:right w:val="single" w:sz="8" w:space="0" w:color="auto"/>
            </w:tcBorders>
            <w:shd w:val="clear" w:color="auto" w:fill="auto"/>
            <w:noWrap/>
            <w:vAlign w:val="center"/>
          </w:tcPr>
          <w:p w:rsidR="0024547C" w:rsidRPr="00104F4B" w:rsidRDefault="0024547C" w:rsidP="0024547C">
            <w:pPr>
              <w:jc w:val="center"/>
              <w:rPr>
                <w:rFonts w:cs="Arial"/>
                <w:color w:val="000000"/>
                <w:sz w:val="16"/>
                <w:szCs w:val="16"/>
                <w:lang w:eastAsia="es-CO"/>
              </w:rPr>
            </w:pPr>
            <w:r w:rsidRPr="00104F4B">
              <w:rPr>
                <w:rFonts w:cs="Arial"/>
                <w:color w:val="000000"/>
                <w:sz w:val="16"/>
                <w:szCs w:val="16"/>
                <w:lang w:eastAsia="es-CO"/>
              </w:rPr>
              <w:t>2</w:t>
            </w:r>
          </w:p>
        </w:tc>
        <w:tc>
          <w:tcPr>
            <w:tcW w:w="567" w:type="dxa"/>
            <w:tcBorders>
              <w:top w:val="nil"/>
              <w:left w:val="nil"/>
              <w:bottom w:val="single" w:sz="8" w:space="0" w:color="auto"/>
              <w:right w:val="single" w:sz="8" w:space="0" w:color="auto"/>
            </w:tcBorders>
            <w:shd w:val="clear" w:color="auto" w:fill="auto"/>
            <w:noWrap/>
            <w:vAlign w:val="center"/>
          </w:tcPr>
          <w:p w:rsidR="0024547C" w:rsidRPr="00104F4B" w:rsidRDefault="0024547C" w:rsidP="0024547C">
            <w:pPr>
              <w:jc w:val="center"/>
              <w:rPr>
                <w:rFonts w:cs="Arial"/>
                <w:color w:val="000000"/>
                <w:sz w:val="16"/>
                <w:szCs w:val="16"/>
                <w:lang w:eastAsia="es-CO"/>
              </w:rPr>
            </w:pPr>
            <w:r w:rsidRPr="00104F4B">
              <w:rPr>
                <w:rFonts w:cs="Arial"/>
                <w:color w:val="000000"/>
                <w:sz w:val="16"/>
                <w:szCs w:val="16"/>
                <w:lang w:eastAsia="es-CO"/>
              </w:rPr>
              <w:t>2</w:t>
            </w:r>
          </w:p>
        </w:tc>
        <w:tc>
          <w:tcPr>
            <w:tcW w:w="567" w:type="dxa"/>
            <w:tcBorders>
              <w:top w:val="nil"/>
              <w:left w:val="nil"/>
              <w:bottom w:val="single" w:sz="8" w:space="0" w:color="auto"/>
              <w:right w:val="single" w:sz="8" w:space="0" w:color="auto"/>
            </w:tcBorders>
            <w:shd w:val="clear" w:color="auto" w:fill="auto"/>
            <w:noWrap/>
            <w:vAlign w:val="center"/>
          </w:tcPr>
          <w:p w:rsidR="0024547C" w:rsidRPr="00104F4B" w:rsidRDefault="0024547C" w:rsidP="0024547C">
            <w:pPr>
              <w:jc w:val="center"/>
              <w:rPr>
                <w:rFonts w:cs="Arial"/>
                <w:color w:val="000000"/>
                <w:sz w:val="16"/>
                <w:szCs w:val="16"/>
                <w:lang w:eastAsia="es-CO"/>
              </w:rPr>
            </w:pPr>
            <w:r w:rsidRPr="00104F4B">
              <w:rPr>
                <w:rFonts w:cs="Arial"/>
                <w:color w:val="000000"/>
                <w:sz w:val="16"/>
                <w:szCs w:val="16"/>
                <w:lang w:eastAsia="es-CO"/>
              </w:rPr>
              <w:t>1</w:t>
            </w:r>
          </w:p>
        </w:tc>
        <w:tc>
          <w:tcPr>
            <w:tcW w:w="567" w:type="dxa"/>
            <w:tcBorders>
              <w:top w:val="nil"/>
              <w:left w:val="nil"/>
              <w:bottom w:val="single" w:sz="8" w:space="0" w:color="auto"/>
              <w:right w:val="single" w:sz="8" w:space="0" w:color="auto"/>
            </w:tcBorders>
            <w:shd w:val="clear" w:color="auto" w:fill="auto"/>
            <w:noWrap/>
            <w:vAlign w:val="center"/>
          </w:tcPr>
          <w:p w:rsidR="0024547C" w:rsidRPr="00104F4B" w:rsidRDefault="0024547C" w:rsidP="0024547C">
            <w:pPr>
              <w:jc w:val="center"/>
              <w:rPr>
                <w:rFonts w:cs="Arial"/>
                <w:color w:val="000000"/>
                <w:sz w:val="16"/>
                <w:szCs w:val="16"/>
                <w:lang w:eastAsia="es-CO"/>
              </w:rPr>
            </w:pPr>
            <w:r w:rsidRPr="00104F4B">
              <w:rPr>
                <w:rFonts w:cs="Arial"/>
                <w:color w:val="000000"/>
                <w:sz w:val="16"/>
                <w:szCs w:val="16"/>
                <w:lang w:eastAsia="es-CO"/>
              </w:rPr>
              <w:t>1</w:t>
            </w:r>
          </w:p>
        </w:tc>
        <w:tc>
          <w:tcPr>
            <w:tcW w:w="709" w:type="dxa"/>
            <w:tcBorders>
              <w:top w:val="nil"/>
              <w:left w:val="nil"/>
              <w:bottom w:val="single" w:sz="8" w:space="0" w:color="auto"/>
              <w:right w:val="single" w:sz="8" w:space="0" w:color="auto"/>
            </w:tcBorders>
            <w:shd w:val="clear" w:color="auto" w:fill="auto"/>
            <w:noWrap/>
            <w:vAlign w:val="center"/>
          </w:tcPr>
          <w:p w:rsidR="0024547C" w:rsidRPr="00104F4B" w:rsidRDefault="0024547C" w:rsidP="0024547C">
            <w:pPr>
              <w:jc w:val="center"/>
              <w:rPr>
                <w:rFonts w:cs="Arial"/>
                <w:color w:val="000000"/>
                <w:sz w:val="16"/>
                <w:szCs w:val="16"/>
                <w:lang w:eastAsia="es-CO"/>
              </w:rPr>
            </w:pPr>
            <w:r w:rsidRPr="00104F4B">
              <w:rPr>
                <w:rFonts w:cs="Arial"/>
                <w:color w:val="000000"/>
                <w:sz w:val="16"/>
                <w:szCs w:val="16"/>
                <w:lang w:eastAsia="es-CO"/>
              </w:rPr>
              <w:t>1</w:t>
            </w:r>
          </w:p>
        </w:tc>
        <w:tc>
          <w:tcPr>
            <w:tcW w:w="577" w:type="dxa"/>
            <w:tcBorders>
              <w:top w:val="nil"/>
              <w:left w:val="nil"/>
              <w:bottom w:val="single" w:sz="8" w:space="0" w:color="auto"/>
              <w:right w:val="single" w:sz="8" w:space="0" w:color="auto"/>
            </w:tcBorders>
            <w:shd w:val="clear" w:color="auto" w:fill="auto"/>
            <w:noWrap/>
            <w:vAlign w:val="center"/>
          </w:tcPr>
          <w:p w:rsidR="0024547C" w:rsidRPr="00104F4B" w:rsidRDefault="0024547C" w:rsidP="0024547C">
            <w:pPr>
              <w:jc w:val="center"/>
              <w:rPr>
                <w:rFonts w:cs="Arial"/>
                <w:color w:val="000000"/>
                <w:sz w:val="16"/>
                <w:szCs w:val="16"/>
                <w:lang w:eastAsia="es-CO"/>
              </w:rPr>
            </w:pPr>
            <w:r w:rsidRPr="00104F4B">
              <w:rPr>
                <w:rFonts w:cs="Arial"/>
                <w:color w:val="000000"/>
                <w:sz w:val="16"/>
                <w:szCs w:val="16"/>
                <w:lang w:eastAsia="es-CO"/>
              </w:rPr>
              <w:t>2</w:t>
            </w:r>
          </w:p>
        </w:tc>
        <w:tc>
          <w:tcPr>
            <w:tcW w:w="709" w:type="dxa"/>
            <w:tcBorders>
              <w:top w:val="nil"/>
              <w:left w:val="nil"/>
              <w:bottom w:val="single" w:sz="8" w:space="0" w:color="auto"/>
              <w:right w:val="single" w:sz="8" w:space="0" w:color="auto"/>
            </w:tcBorders>
            <w:shd w:val="clear" w:color="auto" w:fill="auto"/>
            <w:noWrap/>
            <w:vAlign w:val="center"/>
          </w:tcPr>
          <w:p w:rsidR="0024547C" w:rsidRPr="00104F4B" w:rsidRDefault="0024547C" w:rsidP="0024547C">
            <w:pPr>
              <w:jc w:val="center"/>
              <w:rPr>
                <w:rFonts w:cs="Arial"/>
                <w:color w:val="000000"/>
                <w:sz w:val="16"/>
                <w:szCs w:val="16"/>
                <w:lang w:eastAsia="es-CO"/>
              </w:rPr>
            </w:pPr>
            <w:r w:rsidRPr="00104F4B">
              <w:rPr>
                <w:rFonts w:cs="Arial"/>
                <w:color w:val="000000"/>
                <w:sz w:val="16"/>
                <w:szCs w:val="16"/>
                <w:lang w:eastAsia="es-CO"/>
              </w:rPr>
              <w:t>12</w:t>
            </w:r>
          </w:p>
        </w:tc>
      </w:tr>
      <w:tr w:rsidR="0024547C" w:rsidRPr="00104F4B" w:rsidTr="0024547C">
        <w:trPr>
          <w:trHeight w:val="347"/>
          <w:jc w:val="center"/>
        </w:trPr>
        <w:tc>
          <w:tcPr>
            <w:tcW w:w="2405" w:type="dxa"/>
            <w:tcBorders>
              <w:top w:val="nil"/>
              <w:left w:val="single" w:sz="4" w:space="0" w:color="auto"/>
              <w:bottom w:val="single" w:sz="4" w:space="0" w:color="auto"/>
              <w:right w:val="single" w:sz="4" w:space="0" w:color="auto"/>
            </w:tcBorders>
            <w:shd w:val="clear" w:color="auto" w:fill="auto"/>
            <w:vAlign w:val="center"/>
            <w:hideMark/>
          </w:tcPr>
          <w:p w:rsidR="0024547C" w:rsidRPr="00104F4B" w:rsidRDefault="0024547C" w:rsidP="0024547C">
            <w:pPr>
              <w:rPr>
                <w:rFonts w:cs="Arial"/>
                <w:bCs/>
                <w:color w:val="000000"/>
                <w:sz w:val="16"/>
                <w:szCs w:val="16"/>
                <w:lang w:eastAsia="es-CO"/>
              </w:rPr>
            </w:pPr>
            <w:r w:rsidRPr="00104F4B">
              <w:rPr>
                <w:rFonts w:cs="Arial"/>
                <w:bCs/>
                <w:color w:val="000000"/>
                <w:sz w:val="16"/>
                <w:szCs w:val="16"/>
                <w:lang w:eastAsia="es-CO"/>
              </w:rPr>
              <w:t>CONSULTORIA</w:t>
            </w:r>
          </w:p>
        </w:tc>
        <w:tc>
          <w:tcPr>
            <w:tcW w:w="567" w:type="dxa"/>
            <w:tcBorders>
              <w:top w:val="nil"/>
              <w:left w:val="nil"/>
              <w:bottom w:val="single" w:sz="8" w:space="0" w:color="auto"/>
              <w:right w:val="single" w:sz="8" w:space="0" w:color="auto"/>
            </w:tcBorders>
            <w:shd w:val="clear" w:color="auto" w:fill="auto"/>
            <w:noWrap/>
            <w:vAlign w:val="center"/>
          </w:tcPr>
          <w:p w:rsidR="0024547C" w:rsidRPr="00104F4B" w:rsidRDefault="0024547C" w:rsidP="0024547C">
            <w:pPr>
              <w:jc w:val="center"/>
              <w:rPr>
                <w:rFonts w:cs="Arial"/>
                <w:color w:val="000000"/>
                <w:sz w:val="16"/>
                <w:szCs w:val="16"/>
                <w:lang w:eastAsia="es-CO"/>
              </w:rPr>
            </w:pPr>
          </w:p>
        </w:tc>
        <w:tc>
          <w:tcPr>
            <w:tcW w:w="709" w:type="dxa"/>
            <w:tcBorders>
              <w:top w:val="nil"/>
              <w:left w:val="nil"/>
              <w:bottom w:val="single" w:sz="8" w:space="0" w:color="auto"/>
              <w:right w:val="single" w:sz="8" w:space="0" w:color="auto"/>
            </w:tcBorders>
            <w:shd w:val="clear" w:color="auto" w:fill="auto"/>
            <w:noWrap/>
            <w:vAlign w:val="center"/>
          </w:tcPr>
          <w:p w:rsidR="0024547C" w:rsidRPr="00104F4B" w:rsidRDefault="0024547C" w:rsidP="0024547C">
            <w:pPr>
              <w:jc w:val="center"/>
              <w:rPr>
                <w:rFonts w:cs="Arial"/>
                <w:color w:val="000000"/>
                <w:sz w:val="16"/>
                <w:szCs w:val="16"/>
                <w:lang w:eastAsia="es-CO"/>
              </w:rPr>
            </w:pPr>
          </w:p>
        </w:tc>
        <w:tc>
          <w:tcPr>
            <w:tcW w:w="567" w:type="dxa"/>
            <w:tcBorders>
              <w:top w:val="nil"/>
              <w:left w:val="nil"/>
              <w:bottom w:val="single" w:sz="8" w:space="0" w:color="auto"/>
              <w:right w:val="single" w:sz="8" w:space="0" w:color="auto"/>
            </w:tcBorders>
            <w:shd w:val="clear" w:color="auto" w:fill="auto"/>
            <w:noWrap/>
            <w:vAlign w:val="center"/>
          </w:tcPr>
          <w:p w:rsidR="0024547C" w:rsidRPr="00104F4B" w:rsidRDefault="0024547C" w:rsidP="0024547C">
            <w:pPr>
              <w:jc w:val="center"/>
              <w:rPr>
                <w:rFonts w:cs="Arial"/>
                <w:color w:val="000000"/>
                <w:sz w:val="16"/>
                <w:szCs w:val="16"/>
                <w:lang w:eastAsia="es-CO"/>
              </w:rPr>
            </w:pPr>
          </w:p>
        </w:tc>
        <w:tc>
          <w:tcPr>
            <w:tcW w:w="567" w:type="dxa"/>
            <w:tcBorders>
              <w:top w:val="nil"/>
              <w:left w:val="nil"/>
              <w:bottom w:val="single" w:sz="8" w:space="0" w:color="auto"/>
              <w:right w:val="single" w:sz="8" w:space="0" w:color="auto"/>
            </w:tcBorders>
            <w:shd w:val="clear" w:color="auto" w:fill="auto"/>
            <w:noWrap/>
            <w:vAlign w:val="center"/>
          </w:tcPr>
          <w:p w:rsidR="0024547C" w:rsidRPr="00104F4B" w:rsidRDefault="0024547C" w:rsidP="0024547C">
            <w:pPr>
              <w:jc w:val="center"/>
              <w:rPr>
                <w:rFonts w:cs="Arial"/>
                <w:color w:val="000000"/>
                <w:sz w:val="16"/>
                <w:szCs w:val="16"/>
                <w:lang w:eastAsia="es-CO"/>
              </w:rPr>
            </w:pPr>
          </w:p>
        </w:tc>
        <w:tc>
          <w:tcPr>
            <w:tcW w:w="567" w:type="dxa"/>
            <w:tcBorders>
              <w:top w:val="nil"/>
              <w:left w:val="nil"/>
              <w:bottom w:val="single" w:sz="8" w:space="0" w:color="auto"/>
              <w:right w:val="single" w:sz="8" w:space="0" w:color="auto"/>
            </w:tcBorders>
            <w:shd w:val="clear" w:color="auto" w:fill="auto"/>
            <w:noWrap/>
            <w:vAlign w:val="center"/>
          </w:tcPr>
          <w:p w:rsidR="0024547C" w:rsidRPr="00104F4B" w:rsidRDefault="0024547C" w:rsidP="0024547C">
            <w:pPr>
              <w:jc w:val="center"/>
              <w:rPr>
                <w:rFonts w:cs="Arial"/>
                <w:color w:val="000000"/>
                <w:sz w:val="16"/>
                <w:szCs w:val="16"/>
                <w:lang w:eastAsia="es-CO"/>
              </w:rPr>
            </w:pPr>
          </w:p>
        </w:tc>
        <w:tc>
          <w:tcPr>
            <w:tcW w:w="567" w:type="dxa"/>
            <w:tcBorders>
              <w:top w:val="nil"/>
              <w:left w:val="nil"/>
              <w:bottom w:val="single" w:sz="8" w:space="0" w:color="auto"/>
              <w:right w:val="single" w:sz="8" w:space="0" w:color="auto"/>
            </w:tcBorders>
            <w:shd w:val="clear" w:color="auto" w:fill="auto"/>
            <w:noWrap/>
            <w:vAlign w:val="center"/>
          </w:tcPr>
          <w:p w:rsidR="0024547C" w:rsidRPr="00104F4B" w:rsidRDefault="0024547C" w:rsidP="0024547C">
            <w:pPr>
              <w:jc w:val="center"/>
              <w:rPr>
                <w:rFonts w:cs="Arial"/>
                <w:color w:val="000000"/>
                <w:sz w:val="16"/>
                <w:szCs w:val="16"/>
                <w:lang w:eastAsia="es-CO"/>
              </w:rPr>
            </w:pPr>
          </w:p>
        </w:tc>
        <w:tc>
          <w:tcPr>
            <w:tcW w:w="567" w:type="dxa"/>
            <w:tcBorders>
              <w:top w:val="nil"/>
              <w:left w:val="nil"/>
              <w:bottom w:val="single" w:sz="8" w:space="0" w:color="auto"/>
              <w:right w:val="single" w:sz="8" w:space="0" w:color="auto"/>
            </w:tcBorders>
            <w:shd w:val="clear" w:color="auto" w:fill="auto"/>
            <w:noWrap/>
            <w:vAlign w:val="center"/>
          </w:tcPr>
          <w:p w:rsidR="0024547C" w:rsidRPr="00104F4B" w:rsidRDefault="0024547C" w:rsidP="0024547C">
            <w:pPr>
              <w:jc w:val="center"/>
              <w:rPr>
                <w:rFonts w:cs="Arial"/>
                <w:color w:val="000000"/>
                <w:sz w:val="16"/>
                <w:szCs w:val="16"/>
                <w:lang w:eastAsia="es-CO"/>
              </w:rPr>
            </w:pPr>
          </w:p>
        </w:tc>
        <w:tc>
          <w:tcPr>
            <w:tcW w:w="567" w:type="dxa"/>
            <w:tcBorders>
              <w:top w:val="nil"/>
              <w:left w:val="nil"/>
              <w:bottom w:val="single" w:sz="8" w:space="0" w:color="auto"/>
              <w:right w:val="single" w:sz="8" w:space="0" w:color="auto"/>
            </w:tcBorders>
            <w:shd w:val="clear" w:color="auto" w:fill="auto"/>
            <w:noWrap/>
            <w:vAlign w:val="center"/>
          </w:tcPr>
          <w:p w:rsidR="0024547C" w:rsidRPr="00104F4B" w:rsidRDefault="0024547C" w:rsidP="0024547C">
            <w:pPr>
              <w:jc w:val="center"/>
              <w:rPr>
                <w:rFonts w:cs="Arial"/>
                <w:color w:val="000000"/>
                <w:sz w:val="16"/>
                <w:szCs w:val="16"/>
                <w:lang w:eastAsia="es-CO"/>
              </w:rPr>
            </w:pPr>
          </w:p>
        </w:tc>
        <w:tc>
          <w:tcPr>
            <w:tcW w:w="567" w:type="dxa"/>
            <w:tcBorders>
              <w:top w:val="nil"/>
              <w:left w:val="nil"/>
              <w:bottom w:val="single" w:sz="8" w:space="0" w:color="auto"/>
              <w:right w:val="single" w:sz="8" w:space="0" w:color="auto"/>
            </w:tcBorders>
            <w:shd w:val="clear" w:color="auto" w:fill="auto"/>
            <w:noWrap/>
            <w:vAlign w:val="center"/>
          </w:tcPr>
          <w:p w:rsidR="0024547C" w:rsidRPr="00104F4B" w:rsidRDefault="0024547C" w:rsidP="0024547C">
            <w:pPr>
              <w:jc w:val="center"/>
              <w:rPr>
                <w:rFonts w:cs="Arial"/>
                <w:color w:val="000000"/>
                <w:sz w:val="16"/>
                <w:szCs w:val="16"/>
                <w:lang w:eastAsia="es-CO"/>
              </w:rPr>
            </w:pPr>
          </w:p>
        </w:tc>
        <w:tc>
          <w:tcPr>
            <w:tcW w:w="567" w:type="dxa"/>
            <w:tcBorders>
              <w:top w:val="nil"/>
              <w:left w:val="nil"/>
              <w:bottom w:val="single" w:sz="8" w:space="0" w:color="auto"/>
              <w:right w:val="single" w:sz="8" w:space="0" w:color="auto"/>
            </w:tcBorders>
            <w:shd w:val="clear" w:color="auto" w:fill="auto"/>
            <w:noWrap/>
            <w:vAlign w:val="center"/>
          </w:tcPr>
          <w:p w:rsidR="0024547C" w:rsidRPr="00104F4B" w:rsidRDefault="0024547C" w:rsidP="0024547C">
            <w:pPr>
              <w:jc w:val="center"/>
              <w:rPr>
                <w:rFonts w:cs="Arial"/>
                <w:color w:val="000000"/>
                <w:sz w:val="16"/>
                <w:szCs w:val="16"/>
                <w:lang w:eastAsia="es-CO"/>
              </w:rPr>
            </w:pPr>
            <w:r w:rsidRPr="00104F4B">
              <w:rPr>
                <w:rFonts w:cs="Arial"/>
                <w:color w:val="000000"/>
                <w:sz w:val="16"/>
                <w:szCs w:val="16"/>
                <w:lang w:eastAsia="es-CO"/>
              </w:rPr>
              <w:t>6</w:t>
            </w:r>
          </w:p>
        </w:tc>
        <w:tc>
          <w:tcPr>
            <w:tcW w:w="709" w:type="dxa"/>
            <w:tcBorders>
              <w:top w:val="nil"/>
              <w:left w:val="nil"/>
              <w:bottom w:val="single" w:sz="8" w:space="0" w:color="auto"/>
              <w:right w:val="single" w:sz="8" w:space="0" w:color="auto"/>
            </w:tcBorders>
            <w:shd w:val="clear" w:color="auto" w:fill="auto"/>
            <w:noWrap/>
            <w:vAlign w:val="center"/>
          </w:tcPr>
          <w:p w:rsidR="0024547C" w:rsidRPr="00104F4B" w:rsidRDefault="0024547C" w:rsidP="0024547C">
            <w:pPr>
              <w:jc w:val="center"/>
              <w:rPr>
                <w:rFonts w:cs="Arial"/>
                <w:color w:val="000000"/>
                <w:sz w:val="16"/>
                <w:szCs w:val="16"/>
                <w:lang w:eastAsia="es-CO"/>
              </w:rPr>
            </w:pPr>
            <w:r w:rsidRPr="00104F4B">
              <w:rPr>
                <w:rFonts w:cs="Arial"/>
                <w:color w:val="000000"/>
                <w:sz w:val="16"/>
                <w:szCs w:val="16"/>
                <w:lang w:eastAsia="es-CO"/>
              </w:rPr>
              <w:t>1</w:t>
            </w:r>
          </w:p>
        </w:tc>
        <w:tc>
          <w:tcPr>
            <w:tcW w:w="577" w:type="dxa"/>
            <w:tcBorders>
              <w:top w:val="nil"/>
              <w:left w:val="nil"/>
              <w:bottom w:val="single" w:sz="8" w:space="0" w:color="auto"/>
              <w:right w:val="single" w:sz="8" w:space="0" w:color="auto"/>
            </w:tcBorders>
            <w:shd w:val="clear" w:color="auto" w:fill="auto"/>
            <w:noWrap/>
            <w:vAlign w:val="center"/>
          </w:tcPr>
          <w:p w:rsidR="0024547C" w:rsidRPr="00104F4B" w:rsidRDefault="0024547C" w:rsidP="0024547C">
            <w:pPr>
              <w:jc w:val="center"/>
              <w:rPr>
                <w:rFonts w:cs="Arial"/>
                <w:color w:val="000000"/>
                <w:sz w:val="16"/>
                <w:szCs w:val="16"/>
                <w:lang w:eastAsia="es-CO"/>
              </w:rPr>
            </w:pPr>
            <w:r w:rsidRPr="00104F4B">
              <w:rPr>
                <w:rFonts w:cs="Arial"/>
                <w:color w:val="000000"/>
                <w:sz w:val="16"/>
                <w:szCs w:val="16"/>
                <w:lang w:eastAsia="es-CO"/>
              </w:rPr>
              <w:t>3</w:t>
            </w:r>
          </w:p>
        </w:tc>
        <w:tc>
          <w:tcPr>
            <w:tcW w:w="709" w:type="dxa"/>
            <w:tcBorders>
              <w:top w:val="nil"/>
              <w:left w:val="nil"/>
              <w:bottom w:val="single" w:sz="8" w:space="0" w:color="auto"/>
              <w:right w:val="single" w:sz="8" w:space="0" w:color="auto"/>
            </w:tcBorders>
            <w:shd w:val="clear" w:color="auto" w:fill="auto"/>
            <w:noWrap/>
            <w:vAlign w:val="center"/>
          </w:tcPr>
          <w:p w:rsidR="0024547C" w:rsidRPr="00104F4B" w:rsidRDefault="0024547C" w:rsidP="0024547C">
            <w:pPr>
              <w:jc w:val="center"/>
              <w:rPr>
                <w:rFonts w:cs="Arial"/>
                <w:color w:val="000000"/>
                <w:sz w:val="16"/>
                <w:szCs w:val="16"/>
                <w:lang w:eastAsia="es-CO"/>
              </w:rPr>
            </w:pPr>
            <w:r w:rsidRPr="00104F4B">
              <w:rPr>
                <w:rFonts w:cs="Arial"/>
                <w:color w:val="000000"/>
                <w:sz w:val="16"/>
                <w:szCs w:val="16"/>
                <w:lang w:eastAsia="es-CO"/>
              </w:rPr>
              <w:t>10</w:t>
            </w:r>
          </w:p>
        </w:tc>
      </w:tr>
      <w:tr w:rsidR="0024547C" w:rsidRPr="00104F4B" w:rsidTr="0024547C">
        <w:trPr>
          <w:trHeight w:val="315"/>
          <w:jc w:val="center"/>
        </w:trPr>
        <w:tc>
          <w:tcPr>
            <w:tcW w:w="2405" w:type="dxa"/>
            <w:tcBorders>
              <w:top w:val="nil"/>
              <w:left w:val="single" w:sz="4" w:space="0" w:color="auto"/>
              <w:bottom w:val="single" w:sz="4" w:space="0" w:color="auto"/>
              <w:right w:val="single" w:sz="4" w:space="0" w:color="auto"/>
            </w:tcBorders>
            <w:shd w:val="clear" w:color="auto" w:fill="auto"/>
            <w:vAlign w:val="center"/>
            <w:hideMark/>
          </w:tcPr>
          <w:p w:rsidR="0024547C" w:rsidRPr="00104F4B" w:rsidRDefault="0024547C" w:rsidP="0024547C">
            <w:pPr>
              <w:rPr>
                <w:rFonts w:cs="Arial"/>
                <w:bCs/>
                <w:color w:val="000000"/>
                <w:sz w:val="16"/>
                <w:szCs w:val="16"/>
                <w:lang w:eastAsia="es-CO"/>
              </w:rPr>
            </w:pPr>
            <w:r w:rsidRPr="00104F4B">
              <w:rPr>
                <w:rFonts w:cs="Arial"/>
                <w:bCs/>
                <w:color w:val="000000"/>
                <w:sz w:val="16"/>
                <w:szCs w:val="16"/>
                <w:lang w:eastAsia="es-CO"/>
              </w:rPr>
              <w:t>CONTRATO INTERADMINISTRATIVO</w:t>
            </w:r>
          </w:p>
        </w:tc>
        <w:tc>
          <w:tcPr>
            <w:tcW w:w="567" w:type="dxa"/>
            <w:tcBorders>
              <w:top w:val="nil"/>
              <w:left w:val="nil"/>
              <w:bottom w:val="single" w:sz="8" w:space="0" w:color="auto"/>
              <w:right w:val="single" w:sz="8" w:space="0" w:color="auto"/>
            </w:tcBorders>
            <w:shd w:val="clear" w:color="auto" w:fill="auto"/>
            <w:noWrap/>
            <w:vAlign w:val="center"/>
          </w:tcPr>
          <w:p w:rsidR="0024547C" w:rsidRPr="00104F4B" w:rsidRDefault="0024547C" w:rsidP="0024547C">
            <w:pPr>
              <w:jc w:val="center"/>
              <w:rPr>
                <w:rFonts w:cs="Arial"/>
                <w:color w:val="000000"/>
                <w:sz w:val="16"/>
                <w:szCs w:val="16"/>
                <w:lang w:eastAsia="es-CO"/>
              </w:rPr>
            </w:pPr>
          </w:p>
        </w:tc>
        <w:tc>
          <w:tcPr>
            <w:tcW w:w="709" w:type="dxa"/>
            <w:tcBorders>
              <w:top w:val="nil"/>
              <w:left w:val="nil"/>
              <w:bottom w:val="single" w:sz="8" w:space="0" w:color="auto"/>
              <w:right w:val="single" w:sz="8" w:space="0" w:color="auto"/>
            </w:tcBorders>
            <w:shd w:val="clear" w:color="auto" w:fill="auto"/>
            <w:noWrap/>
            <w:vAlign w:val="center"/>
          </w:tcPr>
          <w:p w:rsidR="0024547C" w:rsidRPr="00104F4B" w:rsidRDefault="0024547C" w:rsidP="0024547C">
            <w:pPr>
              <w:jc w:val="center"/>
              <w:rPr>
                <w:rFonts w:cs="Arial"/>
                <w:color w:val="000000"/>
                <w:sz w:val="16"/>
                <w:szCs w:val="16"/>
                <w:lang w:eastAsia="es-CO"/>
              </w:rPr>
            </w:pPr>
          </w:p>
        </w:tc>
        <w:tc>
          <w:tcPr>
            <w:tcW w:w="567" w:type="dxa"/>
            <w:tcBorders>
              <w:top w:val="nil"/>
              <w:left w:val="nil"/>
              <w:bottom w:val="single" w:sz="8" w:space="0" w:color="auto"/>
              <w:right w:val="single" w:sz="8" w:space="0" w:color="auto"/>
            </w:tcBorders>
            <w:shd w:val="clear" w:color="auto" w:fill="auto"/>
            <w:noWrap/>
            <w:vAlign w:val="center"/>
          </w:tcPr>
          <w:p w:rsidR="0024547C" w:rsidRPr="00104F4B" w:rsidRDefault="0024547C" w:rsidP="0024547C">
            <w:pPr>
              <w:jc w:val="center"/>
              <w:rPr>
                <w:rFonts w:cs="Arial"/>
                <w:color w:val="000000"/>
                <w:sz w:val="16"/>
                <w:szCs w:val="16"/>
                <w:lang w:eastAsia="es-CO"/>
              </w:rPr>
            </w:pPr>
          </w:p>
        </w:tc>
        <w:tc>
          <w:tcPr>
            <w:tcW w:w="567" w:type="dxa"/>
            <w:tcBorders>
              <w:top w:val="nil"/>
              <w:left w:val="nil"/>
              <w:bottom w:val="single" w:sz="8" w:space="0" w:color="auto"/>
              <w:right w:val="single" w:sz="8" w:space="0" w:color="auto"/>
            </w:tcBorders>
            <w:shd w:val="clear" w:color="auto" w:fill="auto"/>
            <w:noWrap/>
            <w:vAlign w:val="center"/>
          </w:tcPr>
          <w:p w:rsidR="0024547C" w:rsidRPr="00104F4B" w:rsidRDefault="0024547C" w:rsidP="0024547C">
            <w:pPr>
              <w:jc w:val="center"/>
              <w:rPr>
                <w:rFonts w:cs="Arial"/>
                <w:color w:val="000000"/>
                <w:sz w:val="16"/>
                <w:szCs w:val="16"/>
                <w:lang w:eastAsia="es-CO"/>
              </w:rPr>
            </w:pPr>
          </w:p>
        </w:tc>
        <w:tc>
          <w:tcPr>
            <w:tcW w:w="567" w:type="dxa"/>
            <w:tcBorders>
              <w:top w:val="nil"/>
              <w:left w:val="nil"/>
              <w:bottom w:val="single" w:sz="8" w:space="0" w:color="auto"/>
              <w:right w:val="single" w:sz="8" w:space="0" w:color="auto"/>
            </w:tcBorders>
            <w:shd w:val="clear" w:color="auto" w:fill="auto"/>
            <w:noWrap/>
            <w:vAlign w:val="center"/>
          </w:tcPr>
          <w:p w:rsidR="0024547C" w:rsidRPr="00104F4B" w:rsidRDefault="0024547C" w:rsidP="0024547C">
            <w:pPr>
              <w:jc w:val="center"/>
              <w:rPr>
                <w:rFonts w:cs="Arial"/>
                <w:color w:val="000000"/>
                <w:sz w:val="16"/>
                <w:szCs w:val="16"/>
                <w:lang w:eastAsia="es-CO"/>
              </w:rPr>
            </w:pPr>
          </w:p>
        </w:tc>
        <w:tc>
          <w:tcPr>
            <w:tcW w:w="567" w:type="dxa"/>
            <w:tcBorders>
              <w:top w:val="nil"/>
              <w:left w:val="nil"/>
              <w:bottom w:val="single" w:sz="8" w:space="0" w:color="auto"/>
              <w:right w:val="single" w:sz="8" w:space="0" w:color="auto"/>
            </w:tcBorders>
            <w:shd w:val="clear" w:color="auto" w:fill="auto"/>
            <w:noWrap/>
            <w:vAlign w:val="center"/>
          </w:tcPr>
          <w:p w:rsidR="0024547C" w:rsidRPr="00104F4B" w:rsidRDefault="0024547C" w:rsidP="0024547C">
            <w:pPr>
              <w:jc w:val="center"/>
              <w:rPr>
                <w:rFonts w:cs="Arial"/>
                <w:color w:val="000000"/>
                <w:sz w:val="16"/>
                <w:szCs w:val="16"/>
                <w:lang w:eastAsia="es-CO"/>
              </w:rPr>
            </w:pPr>
          </w:p>
        </w:tc>
        <w:tc>
          <w:tcPr>
            <w:tcW w:w="567" w:type="dxa"/>
            <w:tcBorders>
              <w:top w:val="nil"/>
              <w:left w:val="nil"/>
              <w:bottom w:val="single" w:sz="8" w:space="0" w:color="auto"/>
              <w:right w:val="single" w:sz="8" w:space="0" w:color="auto"/>
            </w:tcBorders>
            <w:shd w:val="clear" w:color="auto" w:fill="auto"/>
            <w:noWrap/>
            <w:vAlign w:val="center"/>
          </w:tcPr>
          <w:p w:rsidR="0024547C" w:rsidRPr="00104F4B" w:rsidRDefault="0024547C" w:rsidP="0024547C">
            <w:pPr>
              <w:jc w:val="center"/>
              <w:rPr>
                <w:rFonts w:cs="Arial"/>
                <w:color w:val="000000"/>
                <w:sz w:val="16"/>
                <w:szCs w:val="16"/>
                <w:lang w:eastAsia="es-CO"/>
              </w:rPr>
            </w:pPr>
          </w:p>
        </w:tc>
        <w:tc>
          <w:tcPr>
            <w:tcW w:w="567" w:type="dxa"/>
            <w:tcBorders>
              <w:top w:val="nil"/>
              <w:left w:val="nil"/>
              <w:bottom w:val="single" w:sz="8" w:space="0" w:color="auto"/>
              <w:right w:val="single" w:sz="8" w:space="0" w:color="auto"/>
            </w:tcBorders>
            <w:shd w:val="clear" w:color="auto" w:fill="auto"/>
            <w:noWrap/>
            <w:vAlign w:val="center"/>
          </w:tcPr>
          <w:p w:rsidR="0024547C" w:rsidRPr="00104F4B" w:rsidRDefault="0024547C" w:rsidP="0024547C">
            <w:pPr>
              <w:jc w:val="center"/>
              <w:rPr>
                <w:rFonts w:cs="Arial"/>
                <w:color w:val="000000"/>
                <w:sz w:val="16"/>
                <w:szCs w:val="16"/>
                <w:lang w:eastAsia="es-CO"/>
              </w:rPr>
            </w:pPr>
            <w:r w:rsidRPr="00104F4B">
              <w:rPr>
                <w:rFonts w:cs="Arial"/>
                <w:color w:val="000000"/>
                <w:sz w:val="16"/>
                <w:szCs w:val="16"/>
                <w:lang w:eastAsia="es-CO"/>
              </w:rPr>
              <w:t>1</w:t>
            </w:r>
          </w:p>
        </w:tc>
        <w:tc>
          <w:tcPr>
            <w:tcW w:w="567" w:type="dxa"/>
            <w:tcBorders>
              <w:top w:val="nil"/>
              <w:left w:val="nil"/>
              <w:bottom w:val="single" w:sz="8" w:space="0" w:color="auto"/>
              <w:right w:val="single" w:sz="8" w:space="0" w:color="auto"/>
            </w:tcBorders>
            <w:shd w:val="clear" w:color="auto" w:fill="auto"/>
            <w:noWrap/>
            <w:vAlign w:val="center"/>
          </w:tcPr>
          <w:p w:rsidR="0024547C" w:rsidRPr="00104F4B" w:rsidRDefault="0024547C" w:rsidP="0024547C">
            <w:pPr>
              <w:jc w:val="center"/>
              <w:rPr>
                <w:rFonts w:cs="Arial"/>
                <w:color w:val="000000"/>
                <w:sz w:val="16"/>
                <w:szCs w:val="16"/>
                <w:lang w:eastAsia="es-CO"/>
              </w:rPr>
            </w:pPr>
            <w:r w:rsidRPr="00104F4B">
              <w:rPr>
                <w:rFonts w:cs="Arial"/>
                <w:color w:val="000000"/>
                <w:sz w:val="16"/>
                <w:szCs w:val="16"/>
                <w:lang w:eastAsia="es-CO"/>
              </w:rPr>
              <w:t>1</w:t>
            </w:r>
          </w:p>
        </w:tc>
        <w:tc>
          <w:tcPr>
            <w:tcW w:w="567" w:type="dxa"/>
            <w:tcBorders>
              <w:top w:val="nil"/>
              <w:left w:val="nil"/>
              <w:bottom w:val="single" w:sz="8" w:space="0" w:color="auto"/>
              <w:right w:val="single" w:sz="8" w:space="0" w:color="auto"/>
            </w:tcBorders>
            <w:shd w:val="clear" w:color="auto" w:fill="auto"/>
            <w:noWrap/>
            <w:vAlign w:val="center"/>
          </w:tcPr>
          <w:p w:rsidR="0024547C" w:rsidRPr="00104F4B" w:rsidRDefault="0024547C" w:rsidP="0024547C">
            <w:pPr>
              <w:jc w:val="center"/>
              <w:rPr>
                <w:rFonts w:cs="Arial"/>
                <w:color w:val="000000"/>
                <w:sz w:val="16"/>
                <w:szCs w:val="16"/>
                <w:lang w:eastAsia="es-CO"/>
              </w:rPr>
            </w:pPr>
          </w:p>
        </w:tc>
        <w:tc>
          <w:tcPr>
            <w:tcW w:w="709" w:type="dxa"/>
            <w:tcBorders>
              <w:top w:val="nil"/>
              <w:left w:val="nil"/>
              <w:bottom w:val="single" w:sz="8" w:space="0" w:color="auto"/>
              <w:right w:val="single" w:sz="8" w:space="0" w:color="auto"/>
            </w:tcBorders>
            <w:shd w:val="clear" w:color="auto" w:fill="auto"/>
            <w:noWrap/>
            <w:vAlign w:val="center"/>
          </w:tcPr>
          <w:p w:rsidR="0024547C" w:rsidRPr="00104F4B" w:rsidRDefault="0024547C" w:rsidP="0024547C">
            <w:pPr>
              <w:jc w:val="center"/>
              <w:rPr>
                <w:rFonts w:cs="Arial"/>
                <w:color w:val="000000"/>
                <w:sz w:val="16"/>
                <w:szCs w:val="16"/>
                <w:lang w:eastAsia="es-CO"/>
              </w:rPr>
            </w:pPr>
          </w:p>
        </w:tc>
        <w:tc>
          <w:tcPr>
            <w:tcW w:w="577" w:type="dxa"/>
            <w:tcBorders>
              <w:top w:val="nil"/>
              <w:left w:val="nil"/>
              <w:bottom w:val="single" w:sz="8" w:space="0" w:color="auto"/>
              <w:right w:val="single" w:sz="8" w:space="0" w:color="auto"/>
            </w:tcBorders>
            <w:shd w:val="clear" w:color="auto" w:fill="auto"/>
            <w:noWrap/>
            <w:vAlign w:val="center"/>
          </w:tcPr>
          <w:p w:rsidR="0024547C" w:rsidRPr="00104F4B" w:rsidRDefault="0024547C" w:rsidP="0024547C">
            <w:pPr>
              <w:jc w:val="center"/>
              <w:rPr>
                <w:rFonts w:cs="Arial"/>
                <w:color w:val="000000"/>
                <w:sz w:val="16"/>
                <w:szCs w:val="16"/>
                <w:lang w:eastAsia="es-CO"/>
              </w:rPr>
            </w:pPr>
            <w:r w:rsidRPr="00104F4B">
              <w:rPr>
                <w:rFonts w:cs="Arial"/>
                <w:color w:val="000000"/>
                <w:sz w:val="16"/>
                <w:szCs w:val="16"/>
                <w:lang w:eastAsia="es-CO"/>
              </w:rPr>
              <w:t>7</w:t>
            </w:r>
          </w:p>
        </w:tc>
        <w:tc>
          <w:tcPr>
            <w:tcW w:w="709" w:type="dxa"/>
            <w:tcBorders>
              <w:top w:val="nil"/>
              <w:left w:val="nil"/>
              <w:bottom w:val="single" w:sz="8" w:space="0" w:color="auto"/>
              <w:right w:val="single" w:sz="8" w:space="0" w:color="auto"/>
            </w:tcBorders>
            <w:shd w:val="clear" w:color="auto" w:fill="auto"/>
            <w:noWrap/>
            <w:vAlign w:val="center"/>
          </w:tcPr>
          <w:p w:rsidR="0024547C" w:rsidRPr="00104F4B" w:rsidRDefault="0024547C" w:rsidP="0024547C">
            <w:pPr>
              <w:jc w:val="center"/>
              <w:rPr>
                <w:rFonts w:cs="Arial"/>
                <w:color w:val="000000"/>
                <w:sz w:val="16"/>
                <w:szCs w:val="16"/>
                <w:lang w:eastAsia="es-CO"/>
              </w:rPr>
            </w:pPr>
            <w:r w:rsidRPr="00104F4B">
              <w:rPr>
                <w:rFonts w:cs="Arial"/>
                <w:color w:val="000000"/>
                <w:sz w:val="16"/>
                <w:szCs w:val="16"/>
                <w:lang w:eastAsia="es-CO"/>
              </w:rPr>
              <w:t>9</w:t>
            </w:r>
          </w:p>
        </w:tc>
      </w:tr>
      <w:tr w:rsidR="0024547C" w:rsidRPr="00104F4B" w:rsidTr="0024547C">
        <w:trPr>
          <w:trHeight w:val="315"/>
          <w:jc w:val="center"/>
        </w:trPr>
        <w:tc>
          <w:tcPr>
            <w:tcW w:w="2405" w:type="dxa"/>
            <w:tcBorders>
              <w:top w:val="nil"/>
              <w:left w:val="single" w:sz="4" w:space="0" w:color="auto"/>
              <w:bottom w:val="single" w:sz="4" w:space="0" w:color="auto"/>
              <w:right w:val="single" w:sz="4" w:space="0" w:color="auto"/>
            </w:tcBorders>
            <w:shd w:val="clear" w:color="auto" w:fill="auto"/>
            <w:vAlign w:val="center"/>
            <w:hideMark/>
          </w:tcPr>
          <w:p w:rsidR="0024547C" w:rsidRPr="00104F4B" w:rsidRDefault="0024547C" w:rsidP="0024547C">
            <w:pPr>
              <w:rPr>
                <w:rFonts w:cs="Arial"/>
                <w:bCs/>
                <w:color w:val="000000"/>
                <w:sz w:val="16"/>
                <w:szCs w:val="16"/>
                <w:lang w:eastAsia="es-CO"/>
              </w:rPr>
            </w:pPr>
            <w:r w:rsidRPr="00104F4B">
              <w:rPr>
                <w:rFonts w:cs="Arial"/>
                <w:bCs/>
                <w:color w:val="000000"/>
                <w:sz w:val="16"/>
                <w:szCs w:val="16"/>
                <w:lang w:eastAsia="es-CO"/>
              </w:rPr>
              <w:t>CONVENIO</w:t>
            </w:r>
          </w:p>
        </w:tc>
        <w:tc>
          <w:tcPr>
            <w:tcW w:w="567" w:type="dxa"/>
            <w:tcBorders>
              <w:top w:val="nil"/>
              <w:left w:val="nil"/>
              <w:bottom w:val="single" w:sz="8" w:space="0" w:color="auto"/>
              <w:right w:val="single" w:sz="8" w:space="0" w:color="auto"/>
            </w:tcBorders>
            <w:shd w:val="clear" w:color="auto" w:fill="auto"/>
            <w:noWrap/>
            <w:vAlign w:val="center"/>
          </w:tcPr>
          <w:p w:rsidR="0024547C" w:rsidRPr="00104F4B" w:rsidRDefault="0024547C" w:rsidP="0024547C">
            <w:pPr>
              <w:jc w:val="center"/>
              <w:rPr>
                <w:rFonts w:cs="Arial"/>
                <w:color w:val="000000"/>
                <w:sz w:val="16"/>
                <w:szCs w:val="16"/>
                <w:lang w:eastAsia="es-CO"/>
              </w:rPr>
            </w:pPr>
          </w:p>
        </w:tc>
        <w:tc>
          <w:tcPr>
            <w:tcW w:w="709" w:type="dxa"/>
            <w:tcBorders>
              <w:top w:val="nil"/>
              <w:left w:val="nil"/>
              <w:bottom w:val="single" w:sz="8" w:space="0" w:color="auto"/>
              <w:right w:val="single" w:sz="8" w:space="0" w:color="auto"/>
            </w:tcBorders>
            <w:shd w:val="clear" w:color="auto" w:fill="auto"/>
            <w:noWrap/>
            <w:vAlign w:val="center"/>
          </w:tcPr>
          <w:p w:rsidR="0024547C" w:rsidRPr="00104F4B" w:rsidRDefault="0024547C" w:rsidP="0024547C">
            <w:pPr>
              <w:jc w:val="center"/>
              <w:rPr>
                <w:rFonts w:cs="Arial"/>
                <w:color w:val="000000"/>
                <w:sz w:val="16"/>
                <w:szCs w:val="16"/>
                <w:lang w:eastAsia="es-CO"/>
              </w:rPr>
            </w:pPr>
            <w:r w:rsidRPr="00104F4B">
              <w:rPr>
                <w:rFonts w:cs="Arial"/>
                <w:color w:val="000000"/>
                <w:sz w:val="16"/>
                <w:szCs w:val="16"/>
                <w:lang w:eastAsia="es-CO"/>
              </w:rPr>
              <w:t>1</w:t>
            </w:r>
          </w:p>
        </w:tc>
        <w:tc>
          <w:tcPr>
            <w:tcW w:w="567" w:type="dxa"/>
            <w:tcBorders>
              <w:top w:val="nil"/>
              <w:left w:val="nil"/>
              <w:bottom w:val="single" w:sz="8" w:space="0" w:color="auto"/>
              <w:right w:val="single" w:sz="8" w:space="0" w:color="auto"/>
            </w:tcBorders>
            <w:shd w:val="clear" w:color="auto" w:fill="auto"/>
            <w:noWrap/>
            <w:vAlign w:val="center"/>
          </w:tcPr>
          <w:p w:rsidR="0024547C" w:rsidRPr="00104F4B" w:rsidRDefault="0024547C" w:rsidP="0024547C">
            <w:pPr>
              <w:jc w:val="center"/>
              <w:rPr>
                <w:rFonts w:cs="Arial"/>
                <w:color w:val="000000"/>
                <w:sz w:val="16"/>
                <w:szCs w:val="16"/>
                <w:lang w:eastAsia="es-CO"/>
              </w:rPr>
            </w:pPr>
          </w:p>
        </w:tc>
        <w:tc>
          <w:tcPr>
            <w:tcW w:w="567" w:type="dxa"/>
            <w:tcBorders>
              <w:top w:val="nil"/>
              <w:left w:val="nil"/>
              <w:bottom w:val="single" w:sz="8" w:space="0" w:color="auto"/>
              <w:right w:val="single" w:sz="8" w:space="0" w:color="auto"/>
            </w:tcBorders>
            <w:shd w:val="clear" w:color="auto" w:fill="auto"/>
            <w:noWrap/>
            <w:vAlign w:val="center"/>
          </w:tcPr>
          <w:p w:rsidR="0024547C" w:rsidRPr="00104F4B" w:rsidRDefault="0024547C" w:rsidP="0024547C">
            <w:pPr>
              <w:jc w:val="center"/>
              <w:rPr>
                <w:rFonts w:cs="Arial"/>
                <w:color w:val="000000"/>
                <w:sz w:val="16"/>
                <w:szCs w:val="16"/>
                <w:lang w:eastAsia="es-CO"/>
              </w:rPr>
            </w:pPr>
          </w:p>
        </w:tc>
        <w:tc>
          <w:tcPr>
            <w:tcW w:w="567" w:type="dxa"/>
            <w:tcBorders>
              <w:top w:val="nil"/>
              <w:left w:val="nil"/>
              <w:bottom w:val="single" w:sz="8" w:space="0" w:color="auto"/>
              <w:right w:val="single" w:sz="8" w:space="0" w:color="auto"/>
            </w:tcBorders>
            <w:shd w:val="clear" w:color="auto" w:fill="auto"/>
            <w:noWrap/>
            <w:vAlign w:val="center"/>
          </w:tcPr>
          <w:p w:rsidR="0024547C" w:rsidRPr="00104F4B" w:rsidRDefault="0024547C" w:rsidP="0024547C">
            <w:pPr>
              <w:jc w:val="center"/>
              <w:rPr>
                <w:rFonts w:cs="Arial"/>
                <w:color w:val="000000"/>
                <w:sz w:val="16"/>
                <w:szCs w:val="16"/>
                <w:lang w:eastAsia="es-CO"/>
              </w:rPr>
            </w:pPr>
          </w:p>
        </w:tc>
        <w:tc>
          <w:tcPr>
            <w:tcW w:w="567" w:type="dxa"/>
            <w:tcBorders>
              <w:top w:val="nil"/>
              <w:left w:val="nil"/>
              <w:bottom w:val="single" w:sz="8" w:space="0" w:color="auto"/>
              <w:right w:val="single" w:sz="8" w:space="0" w:color="auto"/>
            </w:tcBorders>
            <w:shd w:val="clear" w:color="auto" w:fill="auto"/>
            <w:noWrap/>
            <w:vAlign w:val="center"/>
          </w:tcPr>
          <w:p w:rsidR="0024547C" w:rsidRPr="00104F4B" w:rsidRDefault="0024547C" w:rsidP="0024547C">
            <w:pPr>
              <w:jc w:val="center"/>
              <w:rPr>
                <w:rFonts w:cs="Arial"/>
                <w:color w:val="000000"/>
                <w:sz w:val="16"/>
                <w:szCs w:val="16"/>
                <w:lang w:eastAsia="es-CO"/>
              </w:rPr>
            </w:pPr>
          </w:p>
        </w:tc>
        <w:tc>
          <w:tcPr>
            <w:tcW w:w="567" w:type="dxa"/>
            <w:tcBorders>
              <w:top w:val="nil"/>
              <w:left w:val="nil"/>
              <w:bottom w:val="single" w:sz="8" w:space="0" w:color="auto"/>
              <w:right w:val="single" w:sz="8" w:space="0" w:color="auto"/>
            </w:tcBorders>
            <w:shd w:val="clear" w:color="auto" w:fill="auto"/>
            <w:noWrap/>
            <w:vAlign w:val="center"/>
          </w:tcPr>
          <w:p w:rsidR="0024547C" w:rsidRPr="00104F4B" w:rsidRDefault="0024547C" w:rsidP="0024547C">
            <w:pPr>
              <w:jc w:val="center"/>
              <w:rPr>
                <w:rFonts w:cs="Arial"/>
                <w:color w:val="000000"/>
                <w:sz w:val="16"/>
                <w:szCs w:val="16"/>
                <w:lang w:eastAsia="es-CO"/>
              </w:rPr>
            </w:pPr>
            <w:r w:rsidRPr="00104F4B">
              <w:rPr>
                <w:rFonts w:cs="Arial"/>
                <w:color w:val="000000"/>
                <w:sz w:val="16"/>
                <w:szCs w:val="16"/>
                <w:lang w:eastAsia="es-CO"/>
              </w:rPr>
              <w:t>1</w:t>
            </w:r>
          </w:p>
        </w:tc>
        <w:tc>
          <w:tcPr>
            <w:tcW w:w="567" w:type="dxa"/>
            <w:tcBorders>
              <w:top w:val="nil"/>
              <w:left w:val="nil"/>
              <w:bottom w:val="single" w:sz="8" w:space="0" w:color="auto"/>
              <w:right w:val="single" w:sz="8" w:space="0" w:color="auto"/>
            </w:tcBorders>
            <w:shd w:val="clear" w:color="auto" w:fill="auto"/>
            <w:noWrap/>
            <w:vAlign w:val="center"/>
          </w:tcPr>
          <w:p w:rsidR="0024547C" w:rsidRPr="00104F4B" w:rsidRDefault="0024547C" w:rsidP="0024547C">
            <w:pPr>
              <w:jc w:val="center"/>
              <w:rPr>
                <w:rFonts w:cs="Arial"/>
                <w:color w:val="000000"/>
                <w:sz w:val="16"/>
                <w:szCs w:val="16"/>
                <w:lang w:eastAsia="es-CO"/>
              </w:rPr>
            </w:pPr>
            <w:r w:rsidRPr="00104F4B">
              <w:rPr>
                <w:rFonts w:cs="Arial"/>
                <w:color w:val="000000"/>
                <w:sz w:val="16"/>
                <w:szCs w:val="16"/>
                <w:lang w:eastAsia="es-CO"/>
              </w:rPr>
              <w:t>1</w:t>
            </w:r>
          </w:p>
        </w:tc>
        <w:tc>
          <w:tcPr>
            <w:tcW w:w="567" w:type="dxa"/>
            <w:tcBorders>
              <w:top w:val="nil"/>
              <w:left w:val="nil"/>
              <w:bottom w:val="single" w:sz="8" w:space="0" w:color="auto"/>
              <w:right w:val="single" w:sz="8" w:space="0" w:color="auto"/>
            </w:tcBorders>
            <w:shd w:val="clear" w:color="auto" w:fill="auto"/>
            <w:noWrap/>
            <w:vAlign w:val="center"/>
          </w:tcPr>
          <w:p w:rsidR="0024547C" w:rsidRPr="00104F4B" w:rsidRDefault="0024547C" w:rsidP="0024547C">
            <w:pPr>
              <w:jc w:val="center"/>
              <w:rPr>
                <w:rFonts w:cs="Arial"/>
                <w:color w:val="000000"/>
                <w:sz w:val="16"/>
                <w:szCs w:val="16"/>
                <w:lang w:eastAsia="es-CO"/>
              </w:rPr>
            </w:pPr>
            <w:r w:rsidRPr="00104F4B">
              <w:rPr>
                <w:rFonts w:cs="Arial"/>
                <w:color w:val="000000"/>
                <w:sz w:val="16"/>
                <w:szCs w:val="16"/>
                <w:lang w:eastAsia="es-CO"/>
              </w:rPr>
              <w:t>1</w:t>
            </w:r>
          </w:p>
        </w:tc>
        <w:tc>
          <w:tcPr>
            <w:tcW w:w="567" w:type="dxa"/>
            <w:tcBorders>
              <w:top w:val="nil"/>
              <w:left w:val="nil"/>
              <w:bottom w:val="single" w:sz="8" w:space="0" w:color="auto"/>
              <w:right w:val="single" w:sz="8" w:space="0" w:color="auto"/>
            </w:tcBorders>
            <w:shd w:val="clear" w:color="auto" w:fill="auto"/>
            <w:noWrap/>
            <w:vAlign w:val="center"/>
          </w:tcPr>
          <w:p w:rsidR="0024547C" w:rsidRPr="00104F4B" w:rsidRDefault="0024547C" w:rsidP="0024547C">
            <w:pPr>
              <w:jc w:val="center"/>
              <w:rPr>
                <w:rFonts w:cs="Arial"/>
                <w:color w:val="000000"/>
                <w:sz w:val="16"/>
                <w:szCs w:val="16"/>
                <w:lang w:eastAsia="es-CO"/>
              </w:rPr>
            </w:pPr>
            <w:r w:rsidRPr="00104F4B">
              <w:rPr>
                <w:rFonts w:cs="Arial"/>
                <w:color w:val="000000"/>
                <w:sz w:val="16"/>
                <w:szCs w:val="16"/>
                <w:lang w:eastAsia="es-CO"/>
              </w:rPr>
              <w:t>3</w:t>
            </w:r>
          </w:p>
        </w:tc>
        <w:tc>
          <w:tcPr>
            <w:tcW w:w="709" w:type="dxa"/>
            <w:tcBorders>
              <w:top w:val="nil"/>
              <w:left w:val="nil"/>
              <w:bottom w:val="single" w:sz="8" w:space="0" w:color="auto"/>
              <w:right w:val="single" w:sz="8" w:space="0" w:color="auto"/>
            </w:tcBorders>
            <w:shd w:val="clear" w:color="auto" w:fill="auto"/>
            <w:noWrap/>
            <w:vAlign w:val="center"/>
          </w:tcPr>
          <w:p w:rsidR="0024547C" w:rsidRPr="00104F4B" w:rsidRDefault="0024547C" w:rsidP="0024547C">
            <w:pPr>
              <w:jc w:val="center"/>
              <w:rPr>
                <w:rFonts w:cs="Arial"/>
                <w:color w:val="000000"/>
                <w:sz w:val="16"/>
                <w:szCs w:val="16"/>
                <w:lang w:eastAsia="es-CO"/>
              </w:rPr>
            </w:pPr>
          </w:p>
        </w:tc>
        <w:tc>
          <w:tcPr>
            <w:tcW w:w="577" w:type="dxa"/>
            <w:tcBorders>
              <w:top w:val="nil"/>
              <w:left w:val="nil"/>
              <w:bottom w:val="single" w:sz="8" w:space="0" w:color="auto"/>
              <w:right w:val="single" w:sz="8" w:space="0" w:color="auto"/>
            </w:tcBorders>
            <w:shd w:val="clear" w:color="auto" w:fill="auto"/>
            <w:noWrap/>
            <w:vAlign w:val="center"/>
          </w:tcPr>
          <w:p w:rsidR="0024547C" w:rsidRPr="00104F4B" w:rsidRDefault="0024547C" w:rsidP="0024547C">
            <w:pPr>
              <w:jc w:val="center"/>
              <w:rPr>
                <w:rFonts w:cs="Arial"/>
                <w:color w:val="000000"/>
                <w:sz w:val="16"/>
                <w:szCs w:val="16"/>
                <w:lang w:eastAsia="es-CO"/>
              </w:rPr>
            </w:pPr>
            <w:r w:rsidRPr="00104F4B">
              <w:rPr>
                <w:rFonts w:cs="Arial"/>
                <w:color w:val="000000"/>
                <w:sz w:val="16"/>
                <w:szCs w:val="16"/>
                <w:lang w:eastAsia="es-CO"/>
              </w:rPr>
              <w:t>2</w:t>
            </w:r>
          </w:p>
        </w:tc>
        <w:tc>
          <w:tcPr>
            <w:tcW w:w="709" w:type="dxa"/>
            <w:tcBorders>
              <w:top w:val="nil"/>
              <w:left w:val="nil"/>
              <w:bottom w:val="single" w:sz="8" w:space="0" w:color="auto"/>
              <w:right w:val="single" w:sz="8" w:space="0" w:color="auto"/>
            </w:tcBorders>
            <w:shd w:val="clear" w:color="auto" w:fill="auto"/>
            <w:noWrap/>
            <w:vAlign w:val="center"/>
          </w:tcPr>
          <w:p w:rsidR="0024547C" w:rsidRPr="00104F4B" w:rsidRDefault="0024547C" w:rsidP="0024547C">
            <w:pPr>
              <w:jc w:val="center"/>
              <w:rPr>
                <w:rFonts w:cs="Arial"/>
                <w:color w:val="000000"/>
                <w:sz w:val="16"/>
                <w:szCs w:val="16"/>
                <w:lang w:eastAsia="es-CO"/>
              </w:rPr>
            </w:pPr>
            <w:r w:rsidRPr="00104F4B">
              <w:rPr>
                <w:rFonts w:cs="Arial"/>
                <w:color w:val="000000"/>
                <w:sz w:val="16"/>
                <w:szCs w:val="16"/>
                <w:lang w:eastAsia="es-CO"/>
              </w:rPr>
              <w:t>9</w:t>
            </w:r>
          </w:p>
        </w:tc>
      </w:tr>
      <w:tr w:rsidR="0024547C" w:rsidRPr="00104F4B" w:rsidTr="0024547C">
        <w:trPr>
          <w:trHeight w:val="315"/>
          <w:jc w:val="center"/>
        </w:trPr>
        <w:tc>
          <w:tcPr>
            <w:tcW w:w="2405" w:type="dxa"/>
            <w:tcBorders>
              <w:top w:val="nil"/>
              <w:left w:val="single" w:sz="4" w:space="0" w:color="auto"/>
              <w:bottom w:val="single" w:sz="4" w:space="0" w:color="auto"/>
              <w:right w:val="single" w:sz="4" w:space="0" w:color="auto"/>
            </w:tcBorders>
            <w:shd w:val="clear" w:color="auto" w:fill="auto"/>
            <w:vAlign w:val="center"/>
            <w:hideMark/>
          </w:tcPr>
          <w:p w:rsidR="0024547C" w:rsidRPr="00104F4B" w:rsidRDefault="0024547C" w:rsidP="0024547C">
            <w:pPr>
              <w:rPr>
                <w:rFonts w:cs="Arial"/>
                <w:bCs/>
                <w:color w:val="000000"/>
                <w:sz w:val="16"/>
                <w:szCs w:val="16"/>
                <w:lang w:eastAsia="es-CO"/>
              </w:rPr>
            </w:pPr>
            <w:r w:rsidRPr="00104F4B">
              <w:rPr>
                <w:rFonts w:cs="Arial"/>
                <w:bCs/>
                <w:color w:val="000000"/>
                <w:sz w:val="16"/>
                <w:szCs w:val="16"/>
                <w:lang w:eastAsia="es-CO"/>
              </w:rPr>
              <w:t>INTERVENTORIA</w:t>
            </w:r>
          </w:p>
        </w:tc>
        <w:tc>
          <w:tcPr>
            <w:tcW w:w="567" w:type="dxa"/>
            <w:tcBorders>
              <w:top w:val="nil"/>
              <w:left w:val="nil"/>
              <w:bottom w:val="single" w:sz="8" w:space="0" w:color="auto"/>
              <w:right w:val="single" w:sz="8" w:space="0" w:color="auto"/>
            </w:tcBorders>
            <w:shd w:val="clear" w:color="auto" w:fill="auto"/>
            <w:noWrap/>
            <w:vAlign w:val="center"/>
          </w:tcPr>
          <w:p w:rsidR="0024547C" w:rsidRPr="00104F4B" w:rsidRDefault="0024547C" w:rsidP="0024547C">
            <w:pPr>
              <w:jc w:val="center"/>
              <w:rPr>
                <w:rFonts w:cs="Arial"/>
                <w:color w:val="000000"/>
                <w:sz w:val="16"/>
                <w:szCs w:val="16"/>
                <w:lang w:eastAsia="es-CO"/>
              </w:rPr>
            </w:pPr>
          </w:p>
        </w:tc>
        <w:tc>
          <w:tcPr>
            <w:tcW w:w="709" w:type="dxa"/>
            <w:tcBorders>
              <w:top w:val="nil"/>
              <w:left w:val="nil"/>
              <w:bottom w:val="single" w:sz="8" w:space="0" w:color="auto"/>
              <w:right w:val="single" w:sz="8" w:space="0" w:color="auto"/>
            </w:tcBorders>
            <w:shd w:val="clear" w:color="auto" w:fill="auto"/>
            <w:noWrap/>
            <w:vAlign w:val="center"/>
          </w:tcPr>
          <w:p w:rsidR="0024547C" w:rsidRPr="00104F4B" w:rsidRDefault="0024547C" w:rsidP="0024547C">
            <w:pPr>
              <w:jc w:val="center"/>
              <w:rPr>
                <w:rFonts w:cs="Arial"/>
                <w:color w:val="000000"/>
                <w:sz w:val="16"/>
                <w:szCs w:val="16"/>
                <w:lang w:eastAsia="es-CO"/>
              </w:rPr>
            </w:pPr>
          </w:p>
        </w:tc>
        <w:tc>
          <w:tcPr>
            <w:tcW w:w="567" w:type="dxa"/>
            <w:tcBorders>
              <w:top w:val="nil"/>
              <w:left w:val="nil"/>
              <w:bottom w:val="single" w:sz="8" w:space="0" w:color="auto"/>
              <w:right w:val="single" w:sz="8" w:space="0" w:color="auto"/>
            </w:tcBorders>
            <w:shd w:val="clear" w:color="auto" w:fill="auto"/>
            <w:noWrap/>
            <w:vAlign w:val="center"/>
          </w:tcPr>
          <w:p w:rsidR="0024547C" w:rsidRPr="00104F4B" w:rsidRDefault="0024547C" w:rsidP="0024547C">
            <w:pPr>
              <w:jc w:val="center"/>
              <w:rPr>
                <w:rFonts w:cs="Arial"/>
                <w:color w:val="000000"/>
                <w:sz w:val="16"/>
                <w:szCs w:val="16"/>
                <w:lang w:eastAsia="es-CO"/>
              </w:rPr>
            </w:pPr>
            <w:r w:rsidRPr="00104F4B">
              <w:rPr>
                <w:rFonts w:cs="Arial"/>
                <w:color w:val="000000"/>
                <w:sz w:val="16"/>
                <w:szCs w:val="16"/>
                <w:lang w:eastAsia="es-CO"/>
              </w:rPr>
              <w:t>1</w:t>
            </w:r>
          </w:p>
        </w:tc>
        <w:tc>
          <w:tcPr>
            <w:tcW w:w="567" w:type="dxa"/>
            <w:tcBorders>
              <w:top w:val="nil"/>
              <w:left w:val="nil"/>
              <w:bottom w:val="single" w:sz="8" w:space="0" w:color="auto"/>
              <w:right w:val="single" w:sz="8" w:space="0" w:color="auto"/>
            </w:tcBorders>
            <w:shd w:val="clear" w:color="auto" w:fill="auto"/>
            <w:noWrap/>
            <w:vAlign w:val="center"/>
          </w:tcPr>
          <w:p w:rsidR="0024547C" w:rsidRPr="00104F4B" w:rsidRDefault="0024547C" w:rsidP="0024547C">
            <w:pPr>
              <w:jc w:val="center"/>
              <w:rPr>
                <w:rFonts w:cs="Arial"/>
                <w:color w:val="000000"/>
                <w:sz w:val="16"/>
                <w:szCs w:val="16"/>
                <w:lang w:eastAsia="es-CO"/>
              </w:rPr>
            </w:pPr>
          </w:p>
        </w:tc>
        <w:tc>
          <w:tcPr>
            <w:tcW w:w="567" w:type="dxa"/>
            <w:tcBorders>
              <w:top w:val="nil"/>
              <w:left w:val="nil"/>
              <w:bottom w:val="single" w:sz="8" w:space="0" w:color="auto"/>
              <w:right w:val="single" w:sz="8" w:space="0" w:color="auto"/>
            </w:tcBorders>
            <w:shd w:val="clear" w:color="auto" w:fill="auto"/>
            <w:noWrap/>
            <w:vAlign w:val="center"/>
          </w:tcPr>
          <w:p w:rsidR="0024547C" w:rsidRPr="00104F4B" w:rsidRDefault="0024547C" w:rsidP="0024547C">
            <w:pPr>
              <w:jc w:val="center"/>
              <w:rPr>
                <w:rFonts w:cs="Arial"/>
                <w:color w:val="000000"/>
                <w:sz w:val="16"/>
                <w:szCs w:val="16"/>
                <w:lang w:eastAsia="es-CO"/>
              </w:rPr>
            </w:pPr>
          </w:p>
        </w:tc>
        <w:tc>
          <w:tcPr>
            <w:tcW w:w="567" w:type="dxa"/>
            <w:tcBorders>
              <w:top w:val="nil"/>
              <w:left w:val="nil"/>
              <w:bottom w:val="single" w:sz="8" w:space="0" w:color="auto"/>
              <w:right w:val="single" w:sz="8" w:space="0" w:color="auto"/>
            </w:tcBorders>
            <w:shd w:val="clear" w:color="auto" w:fill="auto"/>
            <w:noWrap/>
            <w:vAlign w:val="center"/>
          </w:tcPr>
          <w:p w:rsidR="0024547C" w:rsidRPr="00104F4B" w:rsidRDefault="0024547C" w:rsidP="0024547C">
            <w:pPr>
              <w:jc w:val="center"/>
              <w:rPr>
                <w:rFonts w:cs="Arial"/>
                <w:color w:val="000000"/>
                <w:sz w:val="16"/>
                <w:szCs w:val="16"/>
                <w:lang w:eastAsia="es-CO"/>
              </w:rPr>
            </w:pPr>
          </w:p>
        </w:tc>
        <w:tc>
          <w:tcPr>
            <w:tcW w:w="567" w:type="dxa"/>
            <w:tcBorders>
              <w:top w:val="nil"/>
              <w:left w:val="nil"/>
              <w:bottom w:val="single" w:sz="8" w:space="0" w:color="auto"/>
              <w:right w:val="single" w:sz="8" w:space="0" w:color="auto"/>
            </w:tcBorders>
            <w:shd w:val="clear" w:color="auto" w:fill="auto"/>
            <w:noWrap/>
            <w:vAlign w:val="center"/>
          </w:tcPr>
          <w:p w:rsidR="0024547C" w:rsidRPr="00104F4B" w:rsidRDefault="0024547C" w:rsidP="0024547C">
            <w:pPr>
              <w:jc w:val="center"/>
              <w:rPr>
                <w:rFonts w:cs="Arial"/>
                <w:color w:val="000000"/>
                <w:sz w:val="16"/>
                <w:szCs w:val="16"/>
                <w:lang w:eastAsia="es-CO"/>
              </w:rPr>
            </w:pPr>
            <w:r w:rsidRPr="00104F4B">
              <w:rPr>
                <w:rFonts w:cs="Arial"/>
                <w:color w:val="000000"/>
                <w:sz w:val="16"/>
                <w:szCs w:val="16"/>
                <w:lang w:eastAsia="es-CO"/>
              </w:rPr>
              <w:t>2</w:t>
            </w:r>
          </w:p>
        </w:tc>
        <w:tc>
          <w:tcPr>
            <w:tcW w:w="567" w:type="dxa"/>
            <w:tcBorders>
              <w:top w:val="nil"/>
              <w:left w:val="nil"/>
              <w:bottom w:val="single" w:sz="8" w:space="0" w:color="auto"/>
              <w:right w:val="single" w:sz="8" w:space="0" w:color="auto"/>
            </w:tcBorders>
            <w:shd w:val="clear" w:color="auto" w:fill="auto"/>
            <w:noWrap/>
            <w:vAlign w:val="center"/>
          </w:tcPr>
          <w:p w:rsidR="0024547C" w:rsidRPr="00104F4B" w:rsidRDefault="0024547C" w:rsidP="0024547C">
            <w:pPr>
              <w:jc w:val="center"/>
              <w:rPr>
                <w:rFonts w:cs="Arial"/>
                <w:color w:val="000000"/>
                <w:sz w:val="16"/>
                <w:szCs w:val="16"/>
                <w:lang w:eastAsia="es-CO"/>
              </w:rPr>
            </w:pPr>
            <w:r w:rsidRPr="00104F4B">
              <w:rPr>
                <w:rFonts w:cs="Arial"/>
                <w:color w:val="000000"/>
                <w:sz w:val="16"/>
                <w:szCs w:val="16"/>
                <w:lang w:eastAsia="es-CO"/>
              </w:rPr>
              <w:t>1</w:t>
            </w:r>
          </w:p>
        </w:tc>
        <w:tc>
          <w:tcPr>
            <w:tcW w:w="567" w:type="dxa"/>
            <w:tcBorders>
              <w:top w:val="nil"/>
              <w:left w:val="nil"/>
              <w:bottom w:val="single" w:sz="8" w:space="0" w:color="auto"/>
              <w:right w:val="single" w:sz="8" w:space="0" w:color="auto"/>
            </w:tcBorders>
            <w:shd w:val="clear" w:color="auto" w:fill="auto"/>
            <w:noWrap/>
            <w:vAlign w:val="center"/>
          </w:tcPr>
          <w:p w:rsidR="0024547C" w:rsidRPr="00104F4B" w:rsidRDefault="0024547C" w:rsidP="0024547C">
            <w:pPr>
              <w:jc w:val="center"/>
              <w:rPr>
                <w:rFonts w:cs="Arial"/>
                <w:color w:val="000000"/>
                <w:sz w:val="16"/>
                <w:szCs w:val="16"/>
                <w:lang w:eastAsia="es-CO"/>
              </w:rPr>
            </w:pPr>
          </w:p>
        </w:tc>
        <w:tc>
          <w:tcPr>
            <w:tcW w:w="567" w:type="dxa"/>
            <w:tcBorders>
              <w:top w:val="nil"/>
              <w:left w:val="nil"/>
              <w:bottom w:val="single" w:sz="8" w:space="0" w:color="auto"/>
              <w:right w:val="single" w:sz="8" w:space="0" w:color="auto"/>
            </w:tcBorders>
            <w:shd w:val="clear" w:color="auto" w:fill="auto"/>
            <w:noWrap/>
            <w:vAlign w:val="center"/>
          </w:tcPr>
          <w:p w:rsidR="0024547C" w:rsidRPr="00104F4B" w:rsidRDefault="0024547C" w:rsidP="0024547C">
            <w:pPr>
              <w:jc w:val="center"/>
              <w:rPr>
                <w:rFonts w:cs="Arial"/>
                <w:color w:val="000000"/>
                <w:sz w:val="16"/>
                <w:szCs w:val="16"/>
                <w:lang w:eastAsia="es-CO"/>
              </w:rPr>
            </w:pPr>
            <w:r w:rsidRPr="00104F4B">
              <w:rPr>
                <w:rFonts w:cs="Arial"/>
                <w:color w:val="000000"/>
                <w:sz w:val="16"/>
                <w:szCs w:val="16"/>
                <w:lang w:eastAsia="es-CO"/>
              </w:rPr>
              <w:t>3</w:t>
            </w:r>
          </w:p>
        </w:tc>
        <w:tc>
          <w:tcPr>
            <w:tcW w:w="709" w:type="dxa"/>
            <w:tcBorders>
              <w:top w:val="nil"/>
              <w:left w:val="nil"/>
              <w:bottom w:val="single" w:sz="8" w:space="0" w:color="auto"/>
              <w:right w:val="single" w:sz="8" w:space="0" w:color="auto"/>
            </w:tcBorders>
            <w:shd w:val="clear" w:color="auto" w:fill="auto"/>
            <w:noWrap/>
            <w:vAlign w:val="center"/>
          </w:tcPr>
          <w:p w:rsidR="0024547C" w:rsidRPr="00104F4B" w:rsidRDefault="0024547C" w:rsidP="0024547C">
            <w:pPr>
              <w:jc w:val="center"/>
              <w:rPr>
                <w:rFonts w:cs="Arial"/>
                <w:color w:val="000000"/>
                <w:sz w:val="16"/>
                <w:szCs w:val="16"/>
                <w:lang w:eastAsia="es-CO"/>
              </w:rPr>
            </w:pPr>
            <w:r w:rsidRPr="00104F4B">
              <w:rPr>
                <w:rFonts w:cs="Arial"/>
                <w:color w:val="000000"/>
                <w:sz w:val="16"/>
                <w:szCs w:val="16"/>
                <w:lang w:eastAsia="es-CO"/>
              </w:rPr>
              <w:t>3</w:t>
            </w:r>
          </w:p>
        </w:tc>
        <w:tc>
          <w:tcPr>
            <w:tcW w:w="577" w:type="dxa"/>
            <w:tcBorders>
              <w:top w:val="nil"/>
              <w:left w:val="nil"/>
              <w:bottom w:val="single" w:sz="8" w:space="0" w:color="auto"/>
              <w:right w:val="single" w:sz="8" w:space="0" w:color="auto"/>
            </w:tcBorders>
            <w:shd w:val="clear" w:color="auto" w:fill="auto"/>
            <w:noWrap/>
            <w:vAlign w:val="center"/>
          </w:tcPr>
          <w:p w:rsidR="0024547C" w:rsidRPr="00104F4B" w:rsidRDefault="0024547C" w:rsidP="0024547C">
            <w:pPr>
              <w:jc w:val="center"/>
              <w:rPr>
                <w:rFonts w:cs="Arial"/>
                <w:color w:val="000000"/>
                <w:sz w:val="16"/>
                <w:szCs w:val="16"/>
                <w:lang w:eastAsia="es-CO"/>
              </w:rPr>
            </w:pPr>
            <w:r w:rsidRPr="00104F4B">
              <w:rPr>
                <w:rFonts w:cs="Arial"/>
                <w:color w:val="000000"/>
                <w:sz w:val="16"/>
                <w:szCs w:val="16"/>
                <w:lang w:eastAsia="es-CO"/>
              </w:rPr>
              <w:t>16</w:t>
            </w:r>
          </w:p>
        </w:tc>
        <w:tc>
          <w:tcPr>
            <w:tcW w:w="709" w:type="dxa"/>
            <w:tcBorders>
              <w:top w:val="nil"/>
              <w:left w:val="nil"/>
              <w:bottom w:val="single" w:sz="8" w:space="0" w:color="auto"/>
              <w:right w:val="single" w:sz="8" w:space="0" w:color="auto"/>
            </w:tcBorders>
            <w:shd w:val="clear" w:color="auto" w:fill="auto"/>
            <w:noWrap/>
            <w:vAlign w:val="center"/>
          </w:tcPr>
          <w:p w:rsidR="0024547C" w:rsidRPr="00104F4B" w:rsidRDefault="0024547C" w:rsidP="0024547C">
            <w:pPr>
              <w:jc w:val="center"/>
              <w:rPr>
                <w:rFonts w:cs="Arial"/>
                <w:color w:val="000000"/>
                <w:sz w:val="16"/>
                <w:szCs w:val="16"/>
                <w:lang w:eastAsia="es-CO"/>
              </w:rPr>
            </w:pPr>
            <w:r w:rsidRPr="00104F4B">
              <w:rPr>
                <w:rFonts w:cs="Arial"/>
                <w:color w:val="000000"/>
                <w:sz w:val="16"/>
                <w:szCs w:val="16"/>
                <w:lang w:eastAsia="es-CO"/>
              </w:rPr>
              <w:t>26</w:t>
            </w:r>
          </w:p>
        </w:tc>
      </w:tr>
      <w:tr w:rsidR="0024547C" w:rsidRPr="00104F4B" w:rsidTr="0024547C">
        <w:trPr>
          <w:trHeight w:val="315"/>
          <w:jc w:val="center"/>
        </w:trPr>
        <w:tc>
          <w:tcPr>
            <w:tcW w:w="2405" w:type="dxa"/>
            <w:tcBorders>
              <w:top w:val="nil"/>
              <w:left w:val="single" w:sz="4" w:space="0" w:color="auto"/>
              <w:bottom w:val="single" w:sz="4" w:space="0" w:color="auto"/>
              <w:right w:val="single" w:sz="4" w:space="0" w:color="auto"/>
            </w:tcBorders>
            <w:shd w:val="clear" w:color="auto" w:fill="auto"/>
            <w:vAlign w:val="center"/>
            <w:hideMark/>
          </w:tcPr>
          <w:p w:rsidR="0024547C" w:rsidRPr="00104F4B" w:rsidRDefault="0024547C" w:rsidP="0024547C">
            <w:pPr>
              <w:rPr>
                <w:rFonts w:cs="Arial"/>
                <w:bCs/>
                <w:color w:val="000000"/>
                <w:sz w:val="16"/>
                <w:szCs w:val="16"/>
                <w:lang w:eastAsia="es-CO"/>
              </w:rPr>
            </w:pPr>
            <w:r w:rsidRPr="00104F4B">
              <w:rPr>
                <w:rFonts w:cs="Arial"/>
                <w:bCs/>
                <w:color w:val="000000"/>
                <w:sz w:val="16"/>
                <w:szCs w:val="16"/>
                <w:lang w:eastAsia="es-CO"/>
              </w:rPr>
              <w:t>OBRA</w:t>
            </w:r>
          </w:p>
        </w:tc>
        <w:tc>
          <w:tcPr>
            <w:tcW w:w="567" w:type="dxa"/>
            <w:tcBorders>
              <w:top w:val="nil"/>
              <w:left w:val="nil"/>
              <w:bottom w:val="single" w:sz="8" w:space="0" w:color="auto"/>
              <w:right w:val="single" w:sz="8" w:space="0" w:color="auto"/>
            </w:tcBorders>
            <w:shd w:val="clear" w:color="auto" w:fill="auto"/>
            <w:noWrap/>
            <w:vAlign w:val="center"/>
          </w:tcPr>
          <w:p w:rsidR="0024547C" w:rsidRPr="00104F4B" w:rsidRDefault="0024547C" w:rsidP="0024547C">
            <w:pPr>
              <w:jc w:val="center"/>
              <w:rPr>
                <w:rFonts w:cs="Arial"/>
                <w:color w:val="000000"/>
                <w:sz w:val="16"/>
                <w:szCs w:val="16"/>
                <w:lang w:eastAsia="es-CO"/>
              </w:rPr>
            </w:pPr>
          </w:p>
        </w:tc>
        <w:tc>
          <w:tcPr>
            <w:tcW w:w="709" w:type="dxa"/>
            <w:tcBorders>
              <w:top w:val="nil"/>
              <w:left w:val="nil"/>
              <w:bottom w:val="single" w:sz="8" w:space="0" w:color="auto"/>
              <w:right w:val="single" w:sz="8" w:space="0" w:color="auto"/>
            </w:tcBorders>
            <w:shd w:val="clear" w:color="auto" w:fill="auto"/>
            <w:noWrap/>
            <w:vAlign w:val="center"/>
          </w:tcPr>
          <w:p w:rsidR="0024547C" w:rsidRPr="00104F4B" w:rsidRDefault="0024547C" w:rsidP="0024547C">
            <w:pPr>
              <w:jc w:val="center"/>
              <w:rPr>
                <w:rFonts w:cs="Arial"/>
                <w:color w:val="000000"/>
                <w:sz w:val="16"/>
                <w:szCs w:val="16"/>
                <w:lang w:eastAsia="es-CO"/>
              </w:rPr>
            </w:pPr>
            <w:r w:rsidRPr="00104F4B">
              <w:rPr>
                <w:rFonts w:cs="Arial"/>
                <w:color w:val="000000"/>
                <w:sz w:val="16"/>
                <w:szCs w:val="16"/>
                <w:lang w:eastAsia="es-CO"/>
              </w:rPr>
              <w:t>1</w:t>
            </w:r>
          </w:p>
        </w:tc>
        <w:tc>
          <w:tcPr>
            <w:tcW w:w="567" w:type="dxa"/>
            <w:tcBorders>
              <w:top w:val="nil"/>
              <w:left w:val="nil"/>
              <w:bottom w:val="single" w:sz="8" w:space="0" w:color="auto"/>
              <w:right w:val="single" w:sz="8" w:space="0" w:color="auto"/>
            </w:tcBorders>
            <w:shd w:val="clear" w:color="auto" w:fill="auto"/>
            <w:noWrap/>
            <w:vAlign w:val="center"/>
          </w:tcPr>
          <w:p w:rsidR="0024547C" w:rsidRPr="00104F4B" w:rsidRDefault="0024547C" w:rsidP="0024547C">
            <w:pPr>
              <w:jc w:val="center"/>
              <w:rPr>
                <w:rFonts w:cs="Arial"/>
                <w:color w:val="000000"/>
                <w:sz w:val="16"/>
                <w:szCs w:val="16"/>
                <w:lang w:eastAsia="es-CO"/>
              </w:rPr>
            </w:pPr>
          </w:p>
        </w:tc>
        <w:tc>
          <w:tcPr>
            <w:tcW w:w="567" w:type="dxa"/>
            <w:tcBorders>
              <w:top w:val="nil"/>
              <w:left w:val="nil"/>
              <w:bottom w:val="single" w:sz="8" w:space="0" w:color="auto"/>
              <w:right w:val="single" w:sz="8" w:space="0" w:color="auto"/>
            </w:tcBorders>
            <w:shd w:val="clear" w:color="auto" w:fill="auto"/>
            <w:noWrap/>
            <w:vAlign w:val="center"/>
          </w:tcPr>
          <w:p w:rsidR="0024547C" w:rsidRPr="00104F4B" w:rsidRDefault="0024547C" w:rsidP="0024547C">
            <w:pPr>
              <w:jc w:val="center"/>
              <w:rPr>
                <w:rFonts w:cs="Arial"/>
                <w:color w:val="000000"/>
                <w:sz w:val="16"/>
                <w:szCs w:val="16"/>
                <w:lang w:eastAsia="es-CO"/>
              </w:rPr>
            </w:pPr>
          </w:p>
        </w:tc>
        <w:tc>
          <w:tcPr>
            <w:tcW w:w="567" w:type="dxa"/>
            <w:tcBorders>
              <w:top w:val="nil"/>
              <w:left w:val="nil"/>
              <w:bottom w:val="single" w:sz="8" w:space="0" w:color="auto"/>
              <w:right w:val="single" w:sz="8" w:space="0" w:color="auto"/>
            </w:tcBorders>
            <w:shd w:val="clear" w:color="auto" w:fill="auto"/>
            <w:noWrap/>
            <w:vAlign w:val="center"/>
          </w:tcPr>
          <w:p w:rsidR="0024547C" w:rsidRPr="00104F4B" w:rsidRDefault="0024547C" w:rsidP="0024547C">
            <w:pPr>
              <w:jc w:val="center"/>
              <w:rPr>
                <w:rFonts w:cs="Arial"/>
                <w:color w:val="000000"/>
                <w:sz w:val="16"/>
                <w:szCs w:val="16"/>
                <w:lang w:eastAsia="es-CO"/>
              </w:rPr>
            </w:pPr>
          </w:p>
        </w:tc>
        <w:tc>
          <w:tcPr>
            <w:tcW w:w="567" w:type="dxa"/>
            <w:tcBorders>
              <w:top w:val="nil"/>
              <w:left w:val="nil"/>
              <w:bottom w:val="single" w:sz="8" w:space="0" w:color="auto"/>
              <w:right w:val="single" w:sz="8" w:space="0" w:color="auto"/>
            </w:tcBorders>
            <w:shd w:val="clear" w:color="auto" w:fill="auto"/>
            <w:noWrap/>
            <w:vAlign w:val="center"/>
          </w:tcPr>
          <w:p w:rsidR="0024547C" w:rsidRPr="00104F4B" w:rsidRDefault="0024547C" w:rsidP="0024547C">
            <w:pPr>
              <w:jc w:val="center"/>
              <w:rPr>
                <w:rFonts w:cs="Arial"/>
                <w:color w:val="000000"/>
                <w:sz w:val="16"/>
                <w:szCs w:val="16"/>
                <w:lang w:eastAsia="es-CO"/>
              </w:rPr>
            </w:pPr>
          </w:p>
        </w:tc>
        <w:tc>
          <w:tcPr>
            <w:tcW w:w="567" w:type="dxa"/>
            <w:tcBorders>
              <w:top w:val="nil"/>
              <w:left w:val="nil"/>
              <w:bottom w:val="single" w:sz="8" w:space="0" w:color="auto"/>
              <w:right w:val="single" w:sz="8" w:space="0" w:color="auto"/>
            </w:tcBorders>
            <w:shd w:val="clear" w:color="auto" w:fill="auto"/>
            <w:noWrap/>
            <w:vAlign w:val="center"/>
          </w:tcPr>
          <w:p w:rsidR="0024547C" w:rsidRPr="00104F4B" w:rsidRDefault="0024547C" w:rsidP="0024547C">
            <w:pPr>
              <w:jc w:val="center"/>
              <w:rPr>
                <w:rFonts w:cs="Arial"/>
                <w:color w:val="000000"/>
                <w:sz w:val="16"/>
                <w:szCs w:val="16"/>
                <w:lang w:eastAsia="es-CO"/>
              </w:rPr>
            </w:pPr>
            <w:r w:rsidRPr="00104F4B">
              <w:rPr>
                <w:rFonts w:cs="Arial"/>
                <w:color w:val="000000"/>
                <w:sz w:val="16"/>
                <w:szCs w:val="16"/>
                <w:lang w:eastAsia="es-CO"/>
              </w:rPr>
              <w:t>2</w:t>
            </w:r>
          </w:p>
        </w:tc>
        <w:tc>
          <w:tcPr>
            <w:tcW w:w="567" w:type="dxa"/>
            <w:tcBorders>
              <w:top w:val="nil"/>
              <w:left w:val="nil"/>
              <w:bottom w:val="single" w:sz="8" w:space="0" w:color="auto"/>
              <w:right w:val="single" w:sz="8" w:space="0" w:color="auto"/>
            </w:tcBorders>
            <w:shd w:val="clear" w:color="auto" w:fill="auto"/>
            <w:noWrap/>
            <w:vAlign w:val="center"/>
          </w:tcPr>
          <w:p w:rsidR="0024547C" w:rsidRPr="00104F4B" w:rsidRDefault="0024547C" w:rsidP="0024547C">
            <w:pPr>
              <w:jc w:val="center"/>
              <w:rPr>
                <w:rFonts w:cs="Arial"/>
                <w:color w:val="000000"/>
                <w:sz w:val="16"/>
                <w:szCs w:val="16"/>
                <w:lang w:eastAsia="es-CO"/>
              </w:rPr>
            </w:pPr>
          </w:p>
        </w:tc>
        <w:tc>
          <w:tcPr>
            <w:tcW w:w="567" w:type="dxa"/>
            <w:tcBorders>
              <w:top w:val="nil"/>
              <w:left w:val="nil"/>
              <w:bottom w:val="single" w:sz="8" w:space="0" w:color="auto"/>
              <w:right w:val="single" w:sz="8" w:space="0" w:color="auto"/>
            </w:tcBorders>
            <w:shd w:val="clear" w:color="auto" w:fill="auto"/>
            <w:noWrap/>
            <w:vAlign w:val="center"/>
          </w:tcPr>
          <w:p w:rsidR="0024547C" w:rsidRPr="00104F4B" w:rsidRDefault="0024547C" w:rsidP="0024547C">
            <w:pPr>
              <w:jc w:val="center"/>
              <w:rPr>
                <w:rFonts w:cs="Arial"/>
                <w:color w:val="000000"/>
                <w:sz w:val="16"/>
                <w:szCs w:val="16"/>
                <w:lang w:eastAsia="es-CO"/>
              </w:rPr>
            </w:pPr>
          </w:p>
        </w:tc>
        <w:tc>
          <w:tcPr>
            <w:tcW w:w="567" w:type="dxa"/>
            <w:tcBorders>
              <w:top w:val="nil"/>
              <w:left w:val="nil"/>
              <w:bottom w:val="single" w:sz="8" w:space="0" w:color="auto"/>
              <w:right w:val="single" w:sz="8" w:space="0" w:color="auto"/>
            </w:tcBorders>
            <w:shd w:val="clear" w:color="auto" w:fill="auto"/>
            <w:noWrap/>
            <w:vAlign w:val="center"/>
          </w:tcPr>
          <w:p w:rsidR="0024547C" w:rsidRPr="00104F4B" w:rsidRDefault="0024547C" w:rsidP="0024547C">
            <w:pPr>
              <w:jc w:val="center"/>
              <w:rPr>
                <w:rFonts w:cs="Arial"/>
                <w:color w:val="000000"/>
                <w:sz w:val="16"/>
                <w:szCs w:val="16"/>
                <w:lang w:eastAsia="es-CO"/>
              </w:rPr>
            </w:pPr>
          </w:p>
        </w:tc>
        <w:tc>
          <w:tcPr>
            <w:tcW w:w="709" w:type="dxa"/>
            <w:tcBorders>
              <w:top w:val="nil"/>
              <w:left w:val="nil"/>
              <w:bottom w:val="single" w:sz="8" w:space="0" w:color="auto"/>
              <w:right w:val="single" w:sz="8" w:space="0" w:color="auto"/>
            </w:tcBorders>
            <w:shd w:val="clear" w:color="auto" w:fill="auto"/>
            <w:noWrap/>
            <w:vAlign w:val="center"/>
          </w:tcPr>
          <w:p w:rsidR="0024547C" w:rsidRPr="00104F4B" w:rsidRDefault="0024547C" w:rsidP="0024547C">
            <w:pPr>
              <w:jc w:val="center"/>
              <w:rPr>
                <w:rFonts w:cs="Arial"/>
                <w:color w:val="000000"/>
                <w:sz w:val="16"/>
                <w:szCs w:val="16"/>
                <w:lang w:eastAsia="es-CO"/>
              </w:rPr>
            </w:pPr>
          </w:p>
        </w:tc>
        <w:tc>
          <w:tcPr>
            <w:tcW w:w="577" w:type="dxa"/>
            <w:tcBorders>
              <w:top w:val="nil"/>
              <w:left w:val="nil"/>
              <w:bottom w:val="single" w:sz="8" w:space="0" w:color="auto"/>
              <w:right w:val="single" w:sz="8" w:space="0" w:color="auto"/>
            </w:tcBorders>
            <w:shd w:val="clear" w:color="auto" w:fill="auto"/>
            <w:noWrap/>
            <w:vAlign w:val="center"/>
          </w:tcPr>
          <w:p w:rsidR="0024547C" w:rsidRPr="00104F4B" w:rsidRDefault="0024547C" w:rsidP="0024547C">
            <w:pPr>
              <w:jc w:val="center"/>
              <w:rPr>
                <w:rFonts w:cs="Arial"/>
                <w:color w:val="000000"/>
                <w:sz w:val="16"/>
                <w:szCs w:val="16"/>
                <w:lang w:eastAsia="es-CO"/>
              </w:rPr>
            </w:pPr>
            <w:r w:rsidRPr="00104F4B">
              <w:rPr>
                <w:rFonts w:cs="Arial"/>
                <w:color w:val="000000"/>
                <w:sz w:val="16"/>
                <w:szCs w:val="16"/>
                <w:lang w:eastAsia="es-CO"/>
              </w:rPr>
              <w:t>15</w:t>
            </w:r>
          </w:p>
        </w:tc>
        <w:tc>
          <w:tcPr>
            <w:tcW w:w="709" w:type="dxa"/>
            <w:tcBorders>
              <w:top w:val="nil"/>
              <w:left w:val="nil"/>
              <w:bottom w:val="single" w:sz="8" w:space="0" w:color="auto"/>
              <w:right w:val="single" w:sz="8" w:space="0" w:color="auto"/>
            </w:tcBorders>
            <w:shd w:val="clear" w:color="auto" w:fill="auto"/>
            <w:noWrap/>
            <w:vAlign w:val="center"/>
          </w:tcPr>
          <w:p w:rsidR="0024547C" w:rsidRPr="00104F4B" w:rsidRDefault="0024547C" w:rsidP="0024547C">
            <w:pPr>
              <w:jc w:val="center"/>
              <w:rPr>
                <w:rFonts w:cs="Arial"/>
                <w:color w:val="000000"/>
                <w:sz w:val="16"/>
                <w:szCs w:val="16"/>
                <w:lang w:eastAsia="es-CO"/>
              </w:rPr>
            </w:pPr>
            <w:r w:rsidRPr="00104F4B">
              <w:rPr>
                <w:rFonts w:cs="Arial"/>
                <w:color w:val="000000"/>
                <w:sz w:val="16"/>
                <w:szCs w:val="16"/>
                <w:lang w:eastAsia="es-CO"/>
              </w:rPr>
              <w:t>18</w:t>
            </w:r>
          </w:p>
        </w:tc>
      </w:tr>
      <w:tr w:rsidR="0024547C" w:rsidRPr="00104F4B" w:rsidTr="0024547C">
        <w:trPr>
          <w:trHeight w:val="315"/>
          <w:jc w:val="center"/>
        </w:trPr>
        <w:tc>
          <w:tcPr>
            <w:tcW w:w="2405" w:type="dxa"/>
            <w:tcBorders>
              <w:top w:val="nil"/>
              <w:left w:val="single" w:sz="4" w:space="0" w:color="auto"/>
              <w:bottom w:val="single" w:sz="4" w:space="0" w:color="auto"/>
              <w:right w:val="single" w:sz="4" w:space="0" w:color="auto"/>
            </w:tcBorders>
            <w:shd w:val="clear" w:color="auto" w:fill="auto"/>
            <w:vAlign w:val="center"/>
            <w:hideMark/>
          </w:tcPr>
          <w:p w:rsidR="0024547C" w:rsidRPr="00104F4B" w:rsidRDefault="0024547C" w:rsidP="0024547C">
            <w:pPr>
              <w:rPr>
                <w:rFonts w:cs="Arial"/>
                <w:bCs/>
                <w:color w:val="000000"/>
                <w:sz w:val="16"/>
                <w:szCs w:val="16"/>
                <w:lang w:eastAsia="es-CO"/>
              </w:rPr>
            </w:pPr>
            <w:r w:rsidRPr="00104F4B">
              <w:rPr>
                <w:rFonts w:cs="Arial"/>
                <w:bCs/>
                <w:color w:val="000000"/>
                <w:sz w:val="16"/>
                <w:szCs w:val="16"/>
                <w:lang w:eastAsia="es-CO"/>
              </w:rPr>
              <w:t>PRESTACION DE SERVICIOS PROFESIONALES  Y DE APOYO A LA GESTIÓN</w:t>
            </w:r>
          </w:p>
        </w:tc>
        <w:tc>
          <w:tcPr>
            <w:tcW w:w="567" w:type="dxa"/>
            <w:tcBorders>
              <w:top w:val="nil"/>
              <w:left w:val="nil"/>
              <w:bottom w:val="single" w:sz="8" w:space="0" w:color="auto"/>
              <w:right w:val="single" w:sz="8" w:space="0" w:color="auto"/>
            </w:tcBorders>
            <w:shd w:val="clear" w:color="auto" w:fill="auto"/>
            <w:noWrap/>
            <w:vAlign w:val="center"/>
          </w:tcPr>
          <w:p w:rsidR="0024547C" w:rsidRPr="00104F4B" w:rsidRDefault="0024547C" w:rsidP="0024547C">
            <w:pPr>
              <w:jc w:val="center"/>
              <w:rPr>
                <w:rFonts w:cs="Arial"/>
                <w:color w:val="000000"/>
                <w:sz w:val="16"/>
                <w:szCs w:val="16"/>
                <w:lang w:eastAsia="es-CO"/>
              </w:rPr>
            </w:pPr>
            <w:r w:rsidRPr="00104F4B">
              <w:rPr>
                <w:rFonts w:cs="Arial"/>
                <w:color w:val="000000"/>
                <w:sz w:val="16"/>
                <w:szCs w:val="16"/>
                <w:lang w:eastAsia="es-CO"/>
              </w:rPr>
              <w:t>1279</w:t>
            </w:r>
          </w:p>
        </w:tc>
        <w:tc>
          <w:tcPr>
            <w:tcW w:w="709" w:type="dxa"/>
            <w:tcBorders>
              <w:top w:val="nil"/>
              <w:left w:val="nil"/>
              <w:bottom w:val="single" w:sz="8" w:space="0" w:color="auto"/>
              <w:right w:val="single" w:sz="8" w:space="0" w:color="auto"/>
            </w:tcBorders>
            <w:shd w:val="clear" w:color="auto" w:fill="auto"/>
            <w:noWrap/>
            <w:vAlign w:val="center"/>
          </w:tcPr>
          <w:p w:rsidR="0024547C" w:rsidRPr="00104F4B" w:rsidRDefault="0024547C" w:rsidP="0024547C">
            <w:pPr>
              <w:jc w:val="center"/>
              <w:rPr>
                <w:rFonts w:cs="Arial"/>
                <w:color w:val="000000"/>
                <w:sz w:val="16"/>
                <w:szCs w:val="16"/>
                <w:lang w:eastAsia="es-CO"/>
              </w:rPr>
            </w:pPr>
          </w:p>
        </w:tc>
        <w:tc>
          <w:tcPr>
            <w:tcW w:w="567" w:type="dxa"/>
            <w:tcBorders>
              <w:top w:val="nil"/>
              <w:left w:val="nil"/>
              <w:bottom w:val="single" w:sz="8" w:space="0" w:color="auto"/>
              <w:right w:val="single" w:sz="8" w:space="0" w:color="auto"/>
            </w:tcBorders>
            <w:shd w:val="clear" w:color="auto" w:fill="auto"/>
            <w:noWrap/>
            <w:vAlign w:val="center"/>
          </w:tcPr>
          <w:p w:rsidR="0024547C" w:rsidRPr="00104F4B" w:rsidRDefault="0024547C" w:rsidP="0024547C">
            <w:pPr>
              <w:jc w:val="center"/>
              <w:rPr>
                <w:rFonts w:cs="Arial"/>
                <w:color w:val="000000"/>
                <w:sz w:val="16"/>
                <w:szCs w:val="16"/>
                <w:lang w:eastAsia="es-CO"/>
              </w:rPr>
            </w:pPr>
          </w:p>
        </w:tc>
        <w:tc>
          <w:tcPr>
            <w:tcW w:w="567" w:type="dxa"/>
            <w:tcBorders>
              <w:top w:val="nil"/>
              <w:left w:val="nil"/>
              <w:bottom w:val="single" w:sz="8" w:space="0" w:color="auto"/>
              <w:right w:val="single" w:sz="8" w:space="0" w:color="auto"/>
            </w:tcBorders>
            <w:shd w:val="clear" w:color="auto" w:fill="auto"/>
            <w:noWrap/>
            <w:vAlign w:val="center"/>
          </w:tcPr>
          <w:p w:rsidR="0024547C" w:rsidRPr="00104F4B" w:rsidRDefault="0024547C" w:rsidP="0024547C">
            <w:pPr>
              <w:jc w:val="center"/>
              <w:rPr>
                <w:rFonts w:cs="Arial"/>
                <w:color w:val="000000"/>
                <w:sz w:val="16"/>
                <w:szCs w:val="16"/>
                <w:lang w:eastAsia="es-CO"/>
              </w:rPr>
            </w:pPr>
            <w:r w:rsidRPr="00104F4B">
              <w:rPr>
                <w:rFonts w:cs="Arial"/>
                <w:color w:val="000000"/>
                <w:sz w:val="16"/>
                <w:szCs w:val="16"/>
                <w:lang w:eastAsia="es-CO"/>
              </w:rPr>
              <w:t>2</w:t>
            </w:r>
          </w:p>
        </w:tc>
        <w:tc>
          <w:tcPr>
            <w:tcW w:w="567" w:type="dxa"/>
            <w:tcBorders>
              <w:top w:val="nil"/>
              <w:left w:val="nil"/>
              <w:bottom w:val="single" w:sz="8" w:space="0" w:color="auto"/>
              <w:right w:val="single" w:sz="8" w:space="0" w:color="auto"/>
            </w:tcBorders>
            <w:shd w:val="clear" w:color="auto" w:fill="auto"/>
            <w:noWrap/>
            <w:vAlign w:val="center"/>
          </w:tcPr>
          <w:p w:rsidR="0024547C" w:rsidRPr="00104F4B" w:rsidRDefault="0024547C" w:rsidP="0024547C">
            <w:pPr>
              <w:jc w:val="center"/>
              <w:rPr>
                <w:rFonts w:cs="Arial"/>
                <w:color w:val="000000"/>
                <w:sz w:val="16"/>
                <w:szCs w:val="16"/>
                <w:lang w:eastAsia="es-CO"/>
              </w:rPr>
            </w:pPr>
            <w:r w:rsidRPr="00104F4B">
              <w:rPr>
                <w:rFonts w:cs="Arial"/>
                <w:color w:val="000000"/>
                <w:sz w:val="16"/>
                <w:szCs w:val="16"/>
                <w:lang w:eastAsia="es-CO"/>
              </w:rPr>
              <w:t>1</w:t>
            </w:r>
          </w:p>
        </w:tc>
        <w:tc>
          <w:tcPr>
            <w:tcW w:w="567" w:type="dxa"/>
            <w:tcBorders>
              <w:top w:val="nil"/>
              <w:left w:val="nil"/>
              <w:bottom w:val="single" w:sz="8" w:space="0" w:color="auto"/>
              <w:right w:val="single" w:sz="8" w:space="0" w:color="auto"/>
            </w:tcBorders>
            <w:shd w:val="clear" w:color="auto" w:fill="auto"/>
            <w:noWrap/>
            <w:vAlign w:val="center"/>
          </w:tcPr>
          <w:p w:rsidR="0024547C" w:rsidRPr="00104F4B" w:rsidRDefault="0024547C" w:rsidP="0024547C">
            <w:pPr>
              <w:jc w:val="center"/>
              <w:rPr>
                <w:rFonts w:cs="Arial"/>
                <w:color w:val="000000"/>
                <w:sz w:val="16"/>
                <w:szCs w:val="16"/>
                <w:lang w:eastAsia="es-CO"/>
              </w:rPr>
            </w:pPr>
            <w:r w:rsidRPr="00104F4B">
              <w:rPr>
                <w:rFonts w:cs="Arial"/>
                <w:color w:val="000000"/>
                <w:sz w:val="16"/>
                <w:szCs w:val="16"/>
                <w:lang w:eastAsia="es-CO"/>
              </w:rPr>
              <w:t>3</w:t>
            </w:r>
          </w:p>
        </w:tc>
        <w:tc>
          <w:tcPr>
            <w:tcW w:w="567" w:type="dxa"/>
            <w:tcBorders>
              <w:top w:val="nil"/>
              <w:left w:val="nil"/>
              <w:bottom w:val="single" w:sz="8" w:space="0" w:color="auto"/>
              <w:right w:val="single" w:sz="8" w:space="0" w:color="auto"/>
            </w:tcBorders>
            <w:shd w:val="clear" w:color="auto" w:fill="auto"/>
            <w:noWrap/>
            <w:vAlign w:val="center"/>
          </w:tcPr>
          <w:p w:rsidR="0024547C" w:rsidRPr="00104F4B" w:rsidRDefault="0024547C" w:rsidP="0024547C">
            <w:pPr>
              <w:jc w:val="center"/>
              <w:rPr>
                <w:rFonts w:cs="Arial"/>
                <w:color w:val="000000"/>
                <w:sz w:val="16"/>
                <w:szCs w:val="16"/>
                <w:lang w:eastAsia="es-CO"/>
              </w:rPr>
            </w:pPr>
            <w:r w:rsidRPr="00104F4B">
              <w:rPr>
                <w:rFonts w:cs="Arial"/>
                <w:color w:val="000000"/>
                <w:sz w:val="16"/>
                <w:szCs w:val="16"/>
                <w:lang w:eastAsia="es-CO"/>
              </w:rPr>
              <w:t>14</w:t>
            </w:r>
          </w:p>
        </w:tc>
        <w:tc>
          <w:tcPr>
            <w:tcW w:w="567" w:type="dxa"/>
            <w:tcBorders>
              <w:top w:val="nil"/>
              <w:left w:val="nil"/>
              <w:bottom w:val="single" w:sz="8" w:space="0" w:color="auto"/>
              <w:right w:val="single" w:sz="8" w:space="0" w:color="auto"/>
            </w:tcBorders>
            <w:shd w:val="clear" w:color="auto" w:fill="auto"/>
            <w:noWrap/>
            <w:vAlign w:val="center"/>
          </w:tcPr>
          <w:p w:rsidR="0024547C" w:rsidRPr="00104F4B" w:rsidRDefault="0024547C" w:rsidP="0024547C">
            <w:pPr>
              <w:jc w:val="center"/>
              <w:rPr>
                <w:rFonts w:cs="Arial"/>
                <w:color w:val="000000"/>
                <w:sz w:val="16"/>
                <w:szCs w:val="16"/>
                <w:lang w:eastAsia="es-CO"/>
              </w:rPr>
            </w:pPr>
            <w:r w:rsidRPr="00104F4B">
              <w:rPr>
                <w:rFonts w:cs="Arial"/>
                <w:color w:val="000000"/>
                <w:sz w:val="16"/>
                <w:szCs w:val="16"/>
                <w:lang w:eastAsia="es-CO"/>
              </w:rPr>
              <w:t>59</w:t>
            </w:r>
          </w:p>
        </w:tc>
        <w:tc>
          <w:tcPr>
            <w:tcW w:w="567" w:type="dxa"/>
            <w:tcBorders>
              <w:top w:val="nil"/>
              <w:left w:val="nil"/>
              <w:bottom w:val="single" w:sz="8" w:space="0" w:color="auto"/>
              <w:right w:val="single" w:sz="8" w:space="0" w:color="auto"/>
            </w:tcBorders>
            <w:shd w:val="clear" w:color="auto" w:fill="auto"/>
            <w:noWrap/>
            <w:vAlign w:val="center"/>
          </w:tcPr>
          <w:p w:rsidR="0024547C" w:rsidRPr="00104F4B" w:rsidRDefault="0024547C" w:rsidP="0024547C">
            <w:pPr>
              <w:jc w:val="center"/>
              <w:rPr>
                <w:rFonts w:cs="Arial"/>
                <w:color w:val="000000"/>
                <w:sz w:val="16"/>
                <w:szCs w:val="16"/>
                <w:lang w:eastAsia="es-CO"/>
              </w:rPr>
            </w:pPr>
            <w:r w:rsidRPr="00104F4B">
              <w:rPr>
                <w:rFonts w:cs="Arial"/>
                <w:color w:val="000000"/>
                <w:sz w:val="16"/>
                <w:szCs w:val="16"/>
                <w:lang w:eastAsia="es-CO"/>
              </w:rPr>
              <w:t>27</w:t>
            </w:r>
          </w:p>
        </w:tc>
        <w:tc>
          <w:tcPr>
            <w:tcW w:w="567" w:type="dxa"/>
            <w:tcBorders>
              <w:top w:val="nil"/>
              <w:left w:val="nil"/>
              <w:bottom w:val="single" w:sz="8" w:space="0" w:color="auto"/>
              <w:right w:val="single" w:sz="8" w:space="0" w:color="auto"/>
            </w:tcBorders>
            <w:shd w:val="clear" w:color="auto" w:fill="auto"/>
            <w:noWrap/>
            <w:vAlign w:val="center"/>
          </w:tcPr>
          <w:p w:rsidR="0024547C" w:rsidRPr="00104F4B" w:rsidRDefault="0024547C" w:rsidP="0024547C">
            <w:pPr>
              <w:jc w:val="center"/>
              <w:rPr>
                <w:rFonts w:cs="Arial"/>
                <w:color w:val="000000"/>
                <w:sz w:val="16"/>
                <w:szCs w:val="16"/>
                <w:lang w:eastAsia="es-CO"/>
              </w:rPr>
            </w:pPr>
            <w:r w:rsidRPr="00104F4B">
              <w:rPr>
                <w:rFonts w:cs="Arial"/>
                <w:color w:val="000000"/>
                <w:sz w:val="16"/>
                <w:szCs w:val="16"/>
                <w:lang w:eastAsia="es-CO"/>
              </w:rPr>
              <w:t>38</w:t>
            </w:r>
          </w:p>
        </w:tc>
        <w:tc>
          <w:tcPr>
            <w:tcW w:w="709" w:type="dxa"/>
            <w:tcBorders>
              <w:top w:val="nil"/>
              <w:left w:val="nil"/>
              <w:bottom w:val="single" w:sz="8" w:space="0" w:color="auto"/>
              <w:right w:val="single" w:sz="8" w:space="0" w:color="auto"/>
            </w:tcBorders>
            <w:shd w:val="clear" w:color="auto" w:fill="auto"/>
            <w:noWrap/>
            <w:vAlign w:val="center"/>
          </w:tcPr>
          <w:p w:rsidR="0024547C" w:rsidRPr="00104F4B" w:rsidRDefault="0024547C" w:rsidP="0024547C">
            <w:pPr>
              <w:jc w:val="center"/>
              <w:rPr>
                <w:rFonts w:cs="Arial"/>
                <w:color w:val="000000"/>
                <w:sz w:val="16"/>
                <w:szCs w:val="16"/>
                <w:lang w:eastAsia="es-CO"/>
              </w:rPr>
            </w:pPr>
            <w:r w:rsidRPr="00104F4B">
              <w:rPr>
                <w:rFonts w:cs="Arial"/>
                <w:color w:val="000000"/>
                <w:sz w:val="16"/>
                <w:szCs w:val="16"/>
                <w:lang w:eastAsia="es-CO"/>
              </w:rPr>
              <w:t>23</w:t>
            </w:r>
          </w:p>
        </w:tc>
        <w:tc>
          <w:tcPr>
            <w:tcW w:w="577" w:type="dxa"/>
            <w:tcBorders>
              <w:top w:val="nil"/>
              <w:left w:val="nil"/>
              <w:bottom w:val="single" w:sz="8" w:space="0" w:color="auto"/>
              <w:right w:val="single" w:sz="8" w:space="0" w:color="auto"/>
            </w:tcBorders>
            <w:shd w:val="clear" w:color="auto" w:fill="auto"/>
            <w:noWrap/>
            <w:vAlign w:val="center"/>
          </w:tcPr>
          <w:p w:rsidR="0024547C" w:rsidRPr="00104F4B" w:rsidRDefault="0024547C" w:rsidP="0024547C">
            <w:pPr>
              <w:jc w:val="center"/>
              <w:rPr>
                <w:rFonts w:cs="Arial"/>
                <w:color w:val="000000"/>
                <w:sz w:val="16"/>
                <w:szCs w:val="16"/>
                <w:lang w:eastAsia="es-CO"/>
              </w:rPr>
            </w:pPr>
            <w:r w:rsidRPr="00104F4B">
              <w:rPr>
                <w:rFonts w:cs="Arial"/>
                <w:color w:val="000000"/>
                <w:sz w:val="16"/>
                <w:szCs w:val="16"/>
                <w:lang w:eastAsia="es-CO"/>
              </w:rPr>
              <w:t>13</w:t>
            </w:r>
          </w:p>
        </w:tc>
        <w:tc>
          <w:tcPr>
            <w:tcW w:w="709" w:type="dxa"/>
            <w:tcBorders>
              <w:top w:val="nil"/>
              <w:left w:val="nil"/>
              <w:bottom w:val="single" w:sz="8" w:space="0" w:color="auto"/>
              <w:right w:val="single" w:sz="8" w:space="0" w:color="auto"/>
            </w:tcBorders>
            <w:shd w:val="clear" w:color="auto" w:fill="auto"/>
            <w:noWrap/>
            <w:vAlign w:val="center"/>
          </w:tcPr>
          <w:p w:rsidR="0024547C" w:rsidRPr="00104F4B" w:rsidRDefault="0024547C" w:rsidP="0024547C">
            <w:pPr>
              <w:jc w:val="center"/>
              <w:rPr>
                <w:rFonts w:cs="Arial"/>
                <w:color w:val="000000"/>
                <w:sz w:val="16"/>
                <w:szCs w:val="16"/>
                <w:lang w:eastAsia="es-CO"/>
              </w:rPr>
            </w:pPr>
            <w:r w:rsidRPr="00104F4B">
              <w:rPr>
                <w:rFonts w:cs="Arial"/>
                <w:color w:val="000000"/>
                <w:sz w:val="16"/>
                <w:szCs w:val="16"/>
                <w:lang w:eastAsia="es-CO"/>
              </w:rPr>
              <w:t>1459</w:t>
            </w:r>
          </w:p>
        </w:tc>
      </w:tr>
      <w:tr w:rsidR="0024547C" w:rsidRPr="00104F4B" w:rsidTr="0024547C">
        <w:trPr>
          <w:trHeight w:val="315"/>
          <w:jc w:val="center"/>
        </w:trPr>
        <w:tc>
          <w:tcPr>
            <w:tcW w:w="2405" w:type="dxa"/>
            <w:tcBorders>
              <w:top w:val="nil"/>
              <w:left w:val="single" w:sz="4" w:space="0" w:color="auto"/>
              <w:bottom w:val="single" w:sz="4" w:space="0" w:color="auto"/>
              <w:right w:val="single" w:sz="4" w:space="0" w:color="auto"/>
            </w:tcBorders>
            <w:shd w:val="clear" w:color="auto" w:fill="auto"/>
            <w:vAlign w:val="center"/>
            <w:hideMark/>
          </w:tcPr>
          <w:p w:rsidR="0024547C" w:rsidRPr="00104F4B" w:rsidRDefault="0024547C" w:rsidP="0024547C">
            <w:pPr>
              <w:rPr>
                <w:rFonts w:cs="Arial"/>
                <w:b/>
                <w:bCs/>
                <w:color w:val="000000"/>
                <w:sz w:val="16"/>
                <w:szCs w:val="16"/>
                <w:lang w:eastAsia="es-CO"/>
              </w:rPr>
            </w:pPr>
            <w:r w:rsidRPr="00104F4B">
              <w:rPr>
                <w:rFonts w:cs="Arial"/>
                <w:b/>
                <w:bCs/>
                <w:color w:val="000000"/>
                <w:sz w:val="16"/>
                <w:szCs w:val="16"/>
                <w:lang w:eastAsia="es-CO"/>
              </w:rPr>
              <w:t>SEGUROS</w:t>
            </w:r>
          </w:p>
        </w:tc>
        <w:tc>
          <w:tcPr>
            <w:tcW w:w="567" w:type="dxa"/>
            <w:tcBorders>
              <w:top w:val="nil"/>
              <w:left w:val="nil"/>
              <w:bottom w:val="single" w:sz="8" w:space="0" w:color="auto"/>
              <w:right w:val="single" w:sz="8" w:space="0" w:color="auto"/>
            </w:tcBorders>
            <w:shd w:val="clear" w:color="auto" w:fill="auto"/>
            <w:noWrap/>
            <w:vAlign w:val="center"/>
          </w:tcPr>
          <w:p w:rsidR="0024547C" w:rsidRPr="00104F4B" w:rsidRDefault="0024547C" w:rsidP="0024547C">
            <w:pPr>
              <w:jc w:val="center"/>
              <w:rPr>
                <w:rFonts w:cs="Arial"/>
                <w:color w:val="000000"/>
                <w:sz w:val="16"/>
                <w:szCs w:val="16"/>
                <w:lang w:eastAsia="es-CO"/>
              </w:rPr>
            </w:pPr>
          </w:p>
        </w:tc>
        <w:tc>
          <w:tcPr>
            <w:tcW w:w="709" w:type="dxa"/>
            <w:tcBorders>
              <w:top w:val="nil"/>
              <w:left w:val="nil"/>
              <w:bottom w:val="single" w:sz="8" w:space="0" w:color="auto"/>
              <w:right w:val="single" w:sz="8" w:space="0" w:color="auto"/>
            </w:tcBorders>
            <w:shd w:val="clear" w:color="auto" w:fill="auto"/>
            <w:noWrap/>
            <w:vAlign w:val="center"/>
          </w:tcPr>
          <w:p w:rsidR="0024547C" w:rsidRPr="00104F4B" w:rsidRDefault="0024547C" w:rsidP="0024547C">
            <w:pPr>
              <w:jc w:val="center"/>
              <w:rPr>
                <w:rFonts w:cs="Arial"/>
                <w:color w:val="000000"/>
                <w:sz w:val="16"/>
                <w:szCs w:val="16"/>
                <w:lang w:eastAsia="es-CO"/>
              </w:rPr>
            </w:pPr>
          </w:p>
        </w:tc>
        <w:tc>
          <w:tcPr>
            <w:tcW w:w="567" w:type="dxa"/>
            <w:tcBorders>
              <w:top w:val="nil"/>
              <w:left w:val="nil"/>
              <w:bottom w:val="single" w:sz="8" w:space="0" w:color="auto"/>
              <w:right w:val="single" w:sz="8" w:space="0" w:color="auto"/>
            </w:tcBorders>
            <w:shd w:val="clear" w:color="auto" w:fill="auto"/>
            <w:noWrap/>
            <w:vAlign w:val="center"/>
          </w:tcPr>
          <w:p w:rsidR="0024547C" w:rsidRPr="00104F4B" w:rsidRDefault="0024547C" w:rsidP="0024547C">
            <w:pPr>
              <w:jc w:val="center"/>
              <w:rPr>
                <w:rFonts w:cs="Arial"/>
                <w:color w:val="000000"/>
                <w:sz w:val="16"/>
                <w:szCs w:val="16"/>
                <w:lang w:eastAsia="es-CO"/>
              </w:rPr>
            </w:pPr>
          </w:p>
        </w:tc>
        <w:tc>
          <w:tcPr>
            <w:tcW w:w="567" w:type="dxa"/>
            <w:tcBorders>
              <w:top w:val="nil"/>
              <w:left w:val="nil"/>
              <w:bottom w:val="single" w:sz="8" w:space="0" w:color="auto"/>
              <w:right w:val="single" w:sz="8" w:space="0" w:color="auto"/>
            </w:tcBorders>
            <w:shd w:val="clear" w:color="auto" w:fill="auto"/>
            <w:noWrap/>
            <w:vAlign w:val="center"/>
          </w:tcPr>
          <w:p w:rsidR="0024547C" w:rsidRPr="00104F4B" w:rsidRDefault="0024547C" w:rsidP="0024547C">
            <w:pPr>
              <w:jc w:val="center"/>
              <w:rPr>
                <w:rFonts w:cs="Arial"/>
                <w:color w:val="000000"/>
                <w:sz w:val="16"/>
                <w:szCs w:val="16"/>
                <w:lang w:eastAsia="es-CO"/>
              </w:rPr>
            </w:pPr>
          </w:p>
        </w:tc>
        <w:tc>
          <w:tcPr>
            <w:tcW w:w="567" w:type="dxa"/>
            <w:tcBorders>
              <w:top w:val="nil"/>
              <w:left w:val="nil"/>
              <w:bottom w:val="single" w:sz="8" w:space="0" w:color="auto"/>
              <w:right w:val="single" w:sz="8" w:space="0" w:color="auto"/>
            </w:tcBorders>
            <w:shd w:val="clear" w:color="auto" w:fill="auto"/>
            <w:noWrap/>
            <w:vAlign w:val="center"/>
          </w:tcPr>
          <w:p w:rsidR="0024547C" w:rsidRPr="00104F4B" w:rsidRDefault="0024547C" w:rsidP="0024547C">
            <w:pPr>
              <w:jc w:val="center"/>
              <w:rPr>
                <w:rFonts w:cs="Arial"/>
                <w:color w:val="000000"/>
                <w:sz w:val="16"/>
                <w:szCs w:val="16"/>
                <w:lang w:eastAsia="es-CO"/>
              </w:rPr>
            </w:pPr>
          </w:p>
        </w:tc>
        <w:tc>
          <w:tcPr>
            <w:tcW w:w="567" w:type="dxa"/>
            <w:tcBorders>
              <w:top w:val="nil"/>
              <w:left w:val="nil"/>
              <w:bottom w:val="single" w:sz="8" w:space="0" w:color="auto"/>
              <w:right w:val="single" w:sz="8" w:space="0" w:color="auto"/>
            </w:tcBorders>
            <w:shd w:val="clear" w:color="auto" w:fill="auto"/>
            <w:noWrap/>
            <w:vAlign w:val="center"/>
          </w:tcPr>
          <w:p w:rsidR="0024547C" w:rsidRPr="00104F4B" w:rsidRDefault="0024547C" w:rsidP="0024547C">
            <w:pPr>
              <w:jc w:val="center"/>
              <w:rPr>
                <w:rFonts w:cs="Arial"/>
                <w:color w:val="000000"/>
                <w:sz w:val="16"/>
                <w:szCs w:val="16"/>
                <w:lang w:eastAsia="es-CO"/>
              </w:rPr>
            </w:pPr>
          </w:p>
        </w:tc>
        <w:tc>
          <w:tcPr>
            <w:tcW w:w="567" w:type="dxa"/>
            <w:tcBorders>
              <w:top w:val="nil"/>
              <w:left w:val="nil"/>
              <w:bottom w:val="single" w:sz="8" w:space="0" w:color="auto"/>
              <w:right w:val="single" w:sz="8" w:space="0" w:color="auto"/>
            </w:tcBorders>
            <w:shd w:val="clear" w:color="auto" w:fill="auto"/>
            <w:noWrap/>
            <w:vAlign w:val="center"/>
          </w:tcPr>
          <w:p w:rsidR="0024547C" w:rsidRPr="00104F4B" w:rsidRDefault="0024547C" w:rsidP="0024547C">
            <w:pPr>
              <w:jc w:val="center"/>
              <w:rPr>
                <w:rFonts w:cs="Arial"/>
                <w:color w:val="000000"/>
                <w:sz w:val="16"/>
                <w:szCs w:val="16"/>
                <w:lang w:eastAsia="es-CO"/>
              </w:rPr>
            </w:pPr>
          </w:p>
        </w:tc>
        <w:tc>
          <w:tcPr>
            <w:tcW w:w="567" w:type="dxa"/>
            <w:tcBorders>
              <w:top w:val="nil"/>
              <w:left w:val="nil"/>
              <w:bottom w:val="single" w:sz="8" w:space="0" w:color="auto"/>
              <w:right w:val="single" w:sz="8" w:space="0" w:color="auto"/>
            </w:tcBorders>
            <w:shd w:val="clear" w:color="auto" w:fill="auto"/>
            <w:noWrap/>
            <w:vAlign w:val="center"/>
          </w:tcPr>
          <w:p w:rsidR="0024547C" w:rsidRPr="00104F4B" w:rsidRDefault="0024547C" w:rsidP="0024547C">
            <w:pPr>
              <w:jc w:val="center"/>
              <w:rPr>
                <w:rFonts w:cs="Arial"/>
                <w:color w:val="000000"/>
                <w:sz w:val="16"/>
                <w:szCs w:val="16"/>
                <w:lang w:eastAsia="es-CO"/>
              </w:rPr>
            </w:pPr>
          </w:p>
        </w:tc>
        <w:tc>
          <w:tcPr>
            <w:tcW w:w="567" w:type="dxa"/>
            <w:tcBorders>
              <w:top w:val="nil"/>
              <w:left w:val="nil"/>
              <w:bottom w:val="single" w:sz="8" w:space="0" w:color="auto"/>
              <w:right w:val="single" w:sz="8" w:space="0" w:color="auto"/>
            </w:tcBorders>
            <w:shd w:val="clear" w:color="auto" w:fill="auto"/>
            <w:noWrap/>
            <w:vAlign w:val="center"/>
          </w:tcPr>
          <w:p w:rsidR="0024547C" w:rsidRPr="00104F4B" w:rsidRDefault="0024547C" w:rsidP="0024547C">
            <w:pPr>
              <w:jc w:val="center"/>
              <w:rPr>
                <w:rFonts w:cs="Arial"/>
                <w:color w:val="000000"/>
                <w:sz w:val="16"/>
                <w:szCs w:val="16"/>
                <w:lang w:eastAsia="es-CO"/>
              </w:rPr>
            </w:pPr>
          </w:p>
        </w:tc>
        <w:tc>
          <w:tcPr>
            <w:tcW w:w="567" w:type="dxa"/>
            <w:tcBorders>
              <w:top w:val="nil"/>
              <w:left w:val="nil"/>
              <w:bottom w:val="single" w:sz="8" w:space="0" w:color="auto"/>
              <w:right w:val="single" w:sz="8" w:space="0" w:color="auto"/>
            </w:tcBorders>
            <w:shd w:val="clear" w:color="auto" w:fill="auto"/>
            <w:noWrap/>
            <w:vAlign w:val="center"/>
          </w:tcPr>
          <w:p w:rsidR="0024547C" w:rsidRPr="00104F4B" w:rsidRDefault="0024547C" w:rsidP="0024547C">
            <w:pPr>
              <w:jc w:val="center"/>
              <w:rPr>
                <w:rFonts w:cs="Arial"/>
                <w:color w:val="000000"/>
                <w:sz w:val="16"/>
                <w:szCs w:val="16"/>
                <w:lang w:eastAsia="es-CO"/>
              </w:rPr>
            </w:pPr>
            <w:r w:rsidRPr="00104F4B">
              <w:rPr>
                <w:rFonts w:cs="Arial"/>
                <w:color w:val="000000"/>
                <w:sz w:val="16"/>
                <w:szCs w:val="16"/>
                <w:lang w:eastAsia="es-CO"/>
              </w:rPr>
              <w:t>1</w:t>
            </w:r>
          </w:p>
        </w:tc>
        <w:tc>
          <w:tcPr>
            <w:tcW w:w="709" w:type="dxa"/>
            <w:tcBorders>
              <w:top w:val="nil"/>
              <w:left w:val="nil"/>
              <w:bottom w:val="single" w:sz="8" w:space="0" w:color="auto"/>
              <w:right w:val="single" w:sz="8" w:space="0" w:color="auto"/>
            </w:tcBorders>
            <w:shd w:val="clear" w:color="auto" w:fill="auto"/>
            <w:noWrap/>
            <w:vAlign w:val="center"/>
          </w:tcPr>
          <w:p w:rsidR="0024547C" w:rsidRPr="00104F4B" w:rsidRDefault="0024547C" w:rsidP="0024547C">
            <w:pPr>
              <w:jc w:val="center"/>
              <w:rPr>
                <w:rFonts w:cs="Arial"/>
                <w:color w:val="000000"/>
                <w:sz w:val="16"/>
                <w:szCs w:val="16"/>
                <w:lang w:eastAsia="es-CO"/>
              </w:rPr>
            </w:pPr>
          </w:p>
        </w:tc>
        <w:tc>
          <w:tcPr>
            <w:tcW w:w="577" w:type="dxa"/>
            <w:tcBorders>
              <w:top w:val="nil"/>
              <w:left w:val="nil"/>
              <w:bottom w:val="single" w:sz="8" w:space="0" w:color="auto"/>
              <w:right w:val="single" w:sz="8" w:space="0" w:color="auto"/>
            </w:tcBorders>
            <w:shd w:val="clear" w:color="auto" w:fill="auto"/>
            <w:noWrap/>
            <w:vAlign w:val="center"/>
          </w:tcPr>
          <w:p w:rsidR="0024547C" w:rsidRPr="00104F4B" w:rsidRDefault="0024547C" w:rsidP="0024547C">
            <w:pPr>
              <w:jc w:val="center"/>
              <w:rPr>
                <w:rFonts w:cs="Arial"/>
                <w:color w:val="000000"/>
                <w:sz w:val="16"/>
                <w:szCs w:val="16"/>
                <w:lang w:eastAsia="es-CO"/>
              </w:rPr>
            </w:pPr>
          </w:p>
        </w:tc>
        <w:tc>
          <w:tcPr>
            <w:tcW w:w="709" w:type="dxa"/>
            <w:tcBorders>
              <w:top w:val="nil"/>
              <w:left w:val="nil"/>
              <w:bottom w:val="single" w:sz="8" w:space="0" w:color="auto"/>
              <w:right w:val="single" w:sz="8" w:space="0" w:color="auto"/>
            </w:tcBorders>
            <w:shd w:val="clear" w:color="auto" w:fill="auto"/>
            <w:noWrap/>
            <w:vAlign w:val="center"/>
          </w:tcPr>
          <w:p w:rsidR="0024547C" w:rsidRPr="00104F4B" w:rsidRDefault="0024547C" w:rsidP="0024547C">
            <w:pPr>
              <w:jc w:val="center"/>
              <w:rPr>
                <w:rFonts w:cs="Arial"/>
                <w:color w:val="000000"/>
                <w:sz w:val="16"/>
                <w:szCs w:val="16"/>
                <w:lang w:eastAsia="es-CO"/>
              </w:rPr>
            </w:pPr>
            <w:r w:rsidRPr="00104F4B">
              <w:rPr>
                <w:rFonts w:cs="Arial"/>
                <w:color w:val="000000"/>
                <w:sz w:val="16"/>
                <w:szCs w:val="16"/>
                <w:lang w:eastAsia="es-CO"/>
              </w:rPr>
              <w:t>1</w:t>
            </w:r>
          </w:p>
        </w:tc>
      </w:tr>
      <w:tr w:rsidR="0024547C" w:rsidRPr="00104F4B" w:rsidTr="0024547C">
        <w:trPr>
          <w:trHeight w:val="315"/>
          <w:jc w:val="center"/>
        </w:trPr>
        <w:tc>
          <w:tcPr>
            <w:tcW w:w="2405" w:type="dxa"/>
            <w:tcBorders>
              <w:top w:val="nil"/>
              <w:left w:val="single" w:sz="4" w:space="0" w:color="auto"/>
              <w:bottom w:val="single" w:sz="4" w:space="0" w:color="auto"/>
              <w:right w:val="single" w:sz="4" w:space="0" w:color="auto"/>
            </w:tcBorders>
            <w:shd w:val="clear" w:color="auto" w:fill="auto"/>
            <w:vAlign w:val="center"/>
            <w:hideMark/>
          </w:tcPr>
          <w:p w:rsidR="0024547C" w:rsidRPr="00104F4B" w:rsidRDefault="0024547C" w:rsidP="0024547C">
            <w:pPr>
              <w:rPr>
                <w:rFonts w:cs="Arial"/>
                <w:b/>
                <w:bCs/>
                <w:color w:val="000000"/>
                <w:sz w:val="16"/>
                <w:szCs w:val="16"/>
                <w:lang w:eastAsia="es-CO"/>
              </w:rPr>
            </w:pPr>
            <w:r w:rsidRPr="00104F4B">
              <w:rPr>
                <w:rFonts w:cs="Arial"/>
                <w:b/>
                <w:bCs/>
                <w:color w:val="000000"/>
                <w:sz w:val="16"/>
                <w:szCs w:val="16"/>
                <w:lang w:eastAsia="es-CO"/>
              </w:rPr>
              <w:t>SUMINISTRO</w:t>
            </w:r>
          </w:p>
        </w:tc>
        <w:tc>
          <w:tcPr>
            <w:tcW w:w="567" w:type="dxa"/>
            <w:tcBorders>
              <w:top w:val="nil"/>
              <w:left w:val="nil"/>
              <w:bottom w:val="single" w:sz="8" w:space="0" w:color="auto"/>
              <w:right w:val="single" w:sz="8" w:space="0" w:color="auto"/>
            </w:tcBorders>
            <w:shd w:val="clear" w:color="auto" w:fill="auto"/>
            <w:noWrap/>
            <w:vAlign w:val="center"/>
          </w:tcPr>
          <w:p w:rsidR="0024547C" w:rsidRPr="00104F4B" w:rsidRDefault="0024547C" w:rsidP="0024547C">
            <w:pPr>
              <w:jc w:val="center"/>
              <w:rPr>
                <w:rFonts w:cs="Arial"/>
                <w:color w:val="000000"/>
                <w:sz w:val="16"/>
                <w:szCs w:val="16"/>
                <w:lang w:eastAsia="es-CO"/>
              </w:rPr>
            </w:pPr>
          </w:p>
        </w:tc>
        <w:tc>
          <w:tcPr>
            <w:tcW w:w="709" w:type="dxa"/>
            <w:tcBorders>
              <w:top w:val="nil"/>
              <w:left w:val="nil"/>
              <w:bottom w:val="single" w:sz="8" w:space="0" w:color="auto"/>
              <w:right w:val="single" w:sz="8" w:space="0" w:color="auto"/>
            </w:tcBorders>
            <w:shd w:val="clear" w:color="auto" w:fill="auto"/>
            <w:noWrap/>
            <w:vAlign w:val="center"/>
          </w:tcPr>
          <w:p w:rsidR="0024547C" w:rsidRPr="00104F4B" w:rsidRDefault="0024547C" w:rsidP="0024547C">
            <w:pPr>
              <w:jc w:val="center"/>
              <w:rPr>
                <w:rFonts w:cs="Arial"/>
                <w:color w:val="000000"/>
                <w:sz w:val="16"/>
                <w:szCs w:val="16"/>
                <w:lang w:eastAsia="es-CO"/>
              </w:rPr>
            </w:pPr>
          </w:p>
        </w:tc>
        <w:tc>
          <w:tcPr>
            <w:tcW w:w="567" w:type="dxa"/>
            <w:tcBorders>
              <w:top w:val="nil"/>
              <w:left w:val="nil"/>
              <w:bottom w:val="single" w:sz="8" w:space="0" w:color="auto"/>
              <w:right w:val="single" w:sz="8" w:space="0" w:color="auto"/>
            </w:tcBorders>
            <w:shd w:val="clear" w:color="auto" w:fill="auto"/>
            <w:noWrap/>
            <w:vAlign w:val="center"/>
          </w:tcPr>
          <w:p w:rsidR="0024547C" w:rsidRPr="00104F4B" w:rsidRDefault="0024547C" w:rsidP="0024547C">
            <w:pPr>
              <w:jc w:val="center"/>
              <w:rPr>
                <w:rFonts w:cs="Arial"/>
                <w:color w:val="000000"/>
                <w:sz w:val="16"/>
                <w:szCs w:val="16"/>
                <w:lang w:eastAsia="es-CO"/>
              </w:rPr>
            </w:pPr>
            <w:r w:rsidRPr="00104F4B">
              <w:rPr>
                <w:rFonts w:cs="Arial"/>
                <w:color w:val="000000"/>
                <w:sz w:val="16"/>
                <w:szCs w:val="16"/>
                <w:lang w:eastAsia="es-CO"/>
              </w:rPr>
              <w:t>2</w:t>
            </w:r>
          </w:p>
        </w:tc>
        <w:tc>
          <w:tcPr>
            <w:tcW w:w="567" w:type="dxa"/>
            <w:tcBorders>
              <w:top w:val="nil"/>
              <w:left w:val="nil"/>
              <w:bottom w:val="single" w:sz="8" w:space="0" w:color="auto"/>
              <w:right w:val="single" w:sz="8" w:space="0" w:color="auto"/>
            </w:tcBorders>
            <w:shd w:val="clear" w:color="auto" w:fill="auto"/>
            <w:noWrap/>
            <w:vAlign w:val="center"/>
          </w:tcPr>
          <w:p w:rsidR="0024547C" w:rsidRPr="00104F4B" w:rsidRDefault="0024547C" w:rsidP="0024547C">
            <w:pPr>
              <w:jc w:val="center"/>
              <w:rPr>
                <w:rFonts w:cs="Arial"/>
                <w:color w:val="000000"/>
                <w:sz w:val="16"/>
                <w:szCs w:val="16"/>
                <w:lang w:eastAsia="es-CO"/>
              </w:rPr>
            </w:pPr>
            <w:r w:rsidRPr="00104F4B">
              <w:rPr>
                <w:rFonts w:cs="Arial"/>
                <w:color w:val="000000"/>
                <w:sz w:val="16"/>
                <w:szCs w:val="16"/>
                <w:lang w:eastAsia="es-CO"/>
              </w:rPr>
              <w:t>2</w:t>
            </w:r>
          </w:p>
        </w:tc>
        <w:tc>
          <w:tcPr>
            <w:tcW w:w="567" w:type="dxa"/>
            <w:tcBorders>
              <w:top w:val="nil"/>
              <w:left w:val="nil"/>
              <w:bottom w:val="single" w:sz="8" w:space="0" w:color="auto"/>
              <w:right w:val="single" w:sz="8" w:space="0" w:color="auto"/>
            </w:tcBorders>
            <w:shd w:val="clear" w:color="auto" w:fill="auto"/>
            <w:noWrap/>
            <w:vAlign w:val="center"/>
          </w:tcPr>
          <w:p w:rsidR="0024547C" w:rsidRPr="00104F4B" w:rsidRDefault="0024547C" w:rsidP="0024547C">
            <w:pPr>
              <w:jc w:val="center"/>
              <w:rPr>
                <w:rFonts w:cs="Arial"/>
                <w:color w:val="000000"/>
                <w:sz w:val="16"/>
                <w:szCs w:val="16"/>
                <w:lang w:eastAsia="es-CO"/>
              </w:rPr>
            </w:pPr>
            <w:r w:rsidRPr="00104F4B">
              <w:rPr>
                <w:rFonts w:cs="Arial"/>
                <w:color w:val="000000"/>
                <w:sz w:val="16"/>
                <w:szCs w:val="16"/>
                <w:lang w:eastAsia="es-CO"/>
              </w:rPr>
              <w:t>3</w:t>
            </w:r>
          </w:p>
        </w:tc>
        <w:tc>
          <w:tcPr>
            <w:tcW w:w="567" w:type="dxa"/>
            <w:tcBorders>
              <w:top w:val="nil"/>
              <w:left w:val="nil"/>
              <w:bottom w:val="single" w:sz="8" w:space="0" w:color="auto"/>
              <w:right w:val="single" w:sz="8" w:space="0" w:color="auto"/>
            </w:tcBorders>
            <w:shd w:val="clear" w:color="auto" w:fill="auto"/>
            <w:noWrap/>
            <w:vAlign w:val="center"/>
          </w:tcPr>
          <w:p w:rsidR="0024547C" w:rsidRPr="00104F4B" w:rsidRDefault="0024547C" w:rsidP="0024547C">
            <w:pPr>
              <w:jc w:val="center"/>
              <w:rPr>
                <w:rFonts w:cs="Arial"/>
                <w:color w:val="000000"/>
                <w:sz w:val="16"/>
                <w:szCs w:val="16"/>
                <w:lang w:eastAsia="es-CO"/>
              </w:rPr>
            </w:pPr>
            <w:r w:rsidRPr="00104F4B">
              <w:rPr>
                <w:rFonts w:cs="Arial"/>
                <w:color w:val="000000"/>
                <w:sz w:val="16"/>
                <w:szCs w:val="16"/>
                <w:lang w:eastAsia="es-CO"/>
              </w:rPr>
              <w:t>4</w:t>
            </w:r>
          </w:p>
        </w:tc>
        <w:tc>
          <w:tcPr>
            <w:tcW w:w="567" w:type="dxa"/>
            <w:tcBorders>
              <w:top w:val="nil"/>
              <w:left w:val="nil"/>
              <w:bottom w:val="single" w:sz="8" w:space="0" w:color="auto"/>
              <w:right w:val="single" w:sz="8" w:space="0" w:color="auto"/>
            </w:tcBorders>
            <w:shd w:val="clear" w:color="auto" w:fill="auto"/>
            <w:noWrap/>
            <w:vAlign w:val="center"/>
          </w:tcPr>
          <w:p w:rsidR="0024547C" w:rsidRPr="00104F4B" w:rsidRDefault="0024547C" w:rsidP="0024547C">
            <w:pPr>
              <w:jc w:val="center"/>
              <w:rPr>
                <w:rFonts w:cs="Arial"/>
                <w:color w:val="000000"/>
                <w:sz w:val="16"/>
                <w:szCs w:val="16"/>
                <w:lang w:eastAsia="es-CO"/>
              </w:rPr>
            </w:pPr>
          </w:p>
        </w:tc>
        <w:tc>
          <w:tcPr>
            <w:tcW w:w="567" w:type="dxa"/>
            <w:tcBorders>
              <w:top w:val="nil"/>
              <w:left w:val="nil"/>
              <w:bottom w:val="single" w:sz="8" w:space="0" w:color="auto"/>
              <w:right w:val="single" w:sz="8" w:space="0" w:color="auto"/>
            </w:tcBorders>
            <w:shd w:val="clear" w:color="auto" w:fill="auto"/>
            <w:noWrap/>
            <w:vAlign w:val="center"/>
          </w:tcPr>
          <w:p w:rsidR="0024547C" w:rsidRPr="00104F4B" w:rsidRDefault="0024547C" w:rsidP="0024547C">
            <w:pPr>
              <w:jc w:val="center"/>
              <w:rPr>
                <w:rFonts w:cs="Arial"/>
                <w:color w:val="000000"/>
                <w:sz w:val="16"/>
                <w:szCs w:val="16"/>
                <w:lang w:eastAsia="es-CO"/>
              </w:rPr>
            </w:pPr>
            <w:r w:rsidRPr="00104F4B">
              <w:rPr>
                <w:rFonts w:cs="Arial"/>
                <w:color w:val="000000"/>
                <w:sz w:val="16"/>
                <w:szCs w:val="16"/>
                <w:lang w:eastAsia="es-CO"/>
              </w:rPr>
              <w:t>2</w:t>
            </w:r>
          </w:p>
        </w:tc>
        <w:tc>
          <w:tcPr>
            <w:tcW w:w="567" w:type="dxa"/>
            <w:tcBorders>
              <w:top w:val="nil"/>
              <w:left w:val="nil"/>
              <w:bottom w:val="single" w:sz="8" w:space="0" w:color="auto"/>
              <w:right w:val="single" w:sz="8" w:space="0" w:color="auto"/>
            </w:tcBorders>
            <w:shd w:val="clear" w:color="auto" w:fill="auto"/>
            <w:noWrap/>
            <w:vAlign w:val="center"/>
          </w:tcPr>
          <w:p w:rsidR="0024547C" w:rsidRPr="00104F4B" w:rsidRDefault="0024547C" w:rsidP="0024547C">
            <w:pPr>
              <w:jc w:val="center"/>
              <w:rPr>
                <w:rFonts w:cs="Arial"/>
                <w:color w:val="000000"/>
                <w:sz w:val="16"/>
                <w:szCs w:val="16"/>
                <w:lang w:eastAsia="es-CO"/>
              </w:rPr>
            </w:pPr>
          </w:p>
        </w:tc>
        <w:tc>
          <w:tcPr>
            <w:tcW w:w="567" w:type="dxa"/>
            <w:tcBorders>
              <w:top w:val="nil"/>
              <w:left w:val="nil"/>
              <w:bottom w:val="single" w:sz="8" w:space="0" w:color="auto"/>
              <w:right w:val="single" w:sz="8" w:space="0" w:color="auto"/>
            </w:tcBorders>
            <w:shd w:val="clear" w:color="auto" w:fill="auto"/>
            <w:noWrap/>
            <w:vAlign w:val="center"/>
          </w:tcPr>
          <w:p w:rsidR="0024547C" w:rsidRPr="00104F4B" w:rsidRDefault="0024547C" w:rsidP="0024547C">
            <w:pPr>
              <w:jc w:val="center"/>
              <w:rPr>
                <w:rFonts w:cs="Arial"/>
                <w:color w:val="000000"/>
                <w:sz w:val="16"/>
                <w:szCs w:val="16"/>
                <w:lang w:eastAsia="es-CO"/>
              </w:rPr>
            </w:pPr>
            <w:r w:rsidRPr="00104F4B">
              <w:rPr>
                <w:rFonts w:cs="Arial"/>
                <w:color w:val="000000"/>
                <w:sz w:val="16"/>
                <w:szCs w:val="16"/>
                <w:lang w:eastAsia="es-CO"/>
              </w:rPr>
              <w:t>1</w:t>
            </w:r>
          </w:p>
        </w:tc>
        <w:tc>
          <w:tcPr>
            <w:tcW w:w="709" w:type="dxa"/>
            <w:tcBorders>
              <w:top w:val="nil"/>
              <w:left w:val="nil"/>
              <w:bottom w:val="single" w:sz="8" w:space="0" w:color="auto"/>
              <w:right w:val="single" w:sz="8" w:space="0" w:color="auto"/>
            </w:tcBorders>
            <w:shd w:val="clear" w:color="auto" w:fill="auto"/>
            <w:noWrap/>
            <w:vAlign w:val="center"/>
          </w:tcPr>
          <w:p w:rsidR="0024547C" w:rsidRPr="00104F4B" w:rsidRDefault="0024547C" w:rsidP="0024547C">
            <w:pPr>
              <w:jc w:val="center"/>
              <w:rPr>
                <w:rFonts w:cs="Arial"/>
                <w:color w:val="000000"/>
                <w:sz w:val="16"/>
                <w:szCs w:val="16"/>
                <w:lang w:eastAsia="es-CO"/>
              </w:rPr>
            </w:pPr>
          </w:p>
        </w:tc>
        <w:tc>
          <w:tcPr>
            <w:tcW w:w="577" w:type="dxa"/>
            <w:tcBorders>
              <w:top w:val="nil"/>
              <w:left w:val="nil"/>
              <w:bottom w:val="single" w:sz="8" w:space="0" w:color="auto"/>
              <w:right w:val="single" w:sz="8" w:space="0" w:color="auto"/>
            </w:tcBorders>
            <w:shd w:val="clear" w:color="auto" w:fill="auto"/>
            <w:noWrap/>
            <w:vAlign w:val="center"/>
          </w:tcPr>
          <w:p w:rsidR="0024547C" w:rsidRPr="00104F4B" w:rsidRDefault="0024547C" w:rsidP="0024547C">
            <w:pPr>
              <w:jc w:val="center"/>
              <w:rPr>
                <w:rFonts w:cs="Arial"/>
                <w:color w:val="000000"/>
                <w:sz w:val="16"/>
                <w:szCs w:val="16"/>
                <w:lang w:eastAsia="es-CO"/>
              </w:rPr>
            </w:pPr>
            <w:r w:rsidRPr="00104F4B">
              <w:rPr>
                <w:rFonts w:cs="Arial"/>
                <w:color w:val="000000"/>
                <w:sz w:val="16"/>
                <w:szCs w:val="16"/>
                <w:lang w:eastAsia="es-CO"/>
              </w:rPr>
              <w:t>1</w:t>
            </w:r>
          </w:p>
        </w:tc>
        <w:tc>
          <w:tcPr>
            <w:tcW w:w="709" w:type="dxa"/>
            <w:tcBorders>
              <w:top w:val="nil"/>
              <w:left w:val="nil"/>
              <w:bottom w:val="single" w:sz="8" w:space="0" w:color="auto"/>
              <w:right w:val="single" w:sz="8" w:space="0" w:color="auto"/>
            </w:tcBorders>
            <w:shd w:val="clear" w:color="auto" w:fill="auto"/>
            <w:noWrap/>
            <w:vAlign w:val="center"/>
          </w:tcPr>
          <w:p w:rsidR="0024547C" w:rsidRPr="00104F4B" w:rsidRDefault="0024547C" w:rsidP="0024547C">
            <w:pPr>
              <w:jc w:val="center"/>
              <w:rPr>
                <w:rFonts w:cs="Arial"/>
                <w:color w:val="000000"/>
                <w:sz w:val="16"/>
                <w:szCs w:val="16"/>
                <w:lang w:eastAsia="es-CO"/>
              </w:rPr>
            </w:pPr>
            <w:r w:rsidRPr="00104F4B">
              <w:rPr>
                <w:rFonts w:cs="Arial"/>
                <w:color w:val="000000"/>
                <w:sz w:val="16"/>
                <w:szCs w:val="16"/>
                <w:lang w:eastAsia="es-CO"/>
              </w:rPr>
              <w:t>15</w:t>
            </w:r>
          </w:p>
        </w:tc>
      </w:tr>
      <w:tr w:rsidR="0024547C" w:rsidRPr="00104F4B" w:rsidTr="0024547C">
        <w:trPr>
          <w:trHeight w:val="315"/>
          <w:jc w:val="center"/>
        </w:trPr>
        <w:tc>
          <w:tcPr>
            <w:tcW w:w="2405" w:type="dxa"/>
            <w:tcBorders>
              <w:top w:val="nil"/>
              <w:left w:val="single" w:sz="4" w:space="0" w:color="auto"/>
              <w:bottom w:val="single" w:sz="4" w:space="0" w:color="auto"/>
              <w:right w:val="single" w:sz="4" w:space="0" w:color="auto"/>
            </w:tcBorders>
            <w:shd w:val="clear" w:color="auto" w:fill="auto"/>
            <w:vAlign w:val="center"/>
            <w:hideMark/>
          </w:tcPr>
          <w:p w:rsidR="0024547C" w:rsidRPr="00104F4B" w:rsidRDefault="0024547C" w:rsidP="0024547C">
            <w:pPr>
              <w:jc w:val="center"/>
              <w:rPr>
                <w:rFonts w:cs="Arial"/>
                <w:b/>
                <w:bCs/>
                <w:color w:val="000000"/>
                <w:sz w:val="16"/>
                <w:szCs w:val="16"/>
                <w:lang w:eastAsia="es-CO"/>
              </w:rPr>
            </w:pPr>
            <w:r w:rsidRPr="00104F4B">
              <w:rPr>
                <w:rFonts w:cs="Arial"/>
                <w:b/>
                <w:bCs/>
                <w:color w:val="000000"/>
                <w:sz w:val="16"/>
                <w:szCs w:val="16"/>
                <w:lang w:eastAsia="es-CO"/>
              </w:rPr>
              <w:t>TOTAL</w:t>
            </w:r>
          </w:p>
        </w:tc>
        <w:tc>
          <w:tcPr>
            <w:tcW w:w="567" w:type="dxa"/>
            <w:tcBorders>
              <w:top w:val="nil"/>
              <w:left w:val="nil"/>
              <w:bottom w:val="single" w:sz="8" w:space="0" w:color="auto"/>
              <w:right w:val="single" w:sz="8" w:space="0" w:color="auto"/>
            </w:tcBorders>
            <w:shd w:val="clear" w:color="auto" w:fill="auto"/>
            <w:noWrap/>
            <w:vAlign w:val="center"/>
          </w:tcPr>
          <w:p w:rsidR="0024547C" w:rsidRPr="00104F4B" w:rsidRDefault="0024547C" w:rsidP="0024547C">
            <w:pPr>
              <w:jc w:val="center"/>
              <w:rPr>
                <w:rFonts w:cs="Arial"/>
                <w:b/>
                <w:bCs/>
                <w:color w:val="000000"/>
                <w:sz w:val="16"/>
                <w:szCs w:val="16"/>
                <w:lang w:eastAsia="es-CO"/>
              </w:rPr>
            </w:pPr>
            <w:r w:rsidRPr="00104F4B">
              <w:rPr>
                <w:rFonts w:cs="Arial"/>
                <w:b/>
                <w:bCs/>
                <w:color w:val="000000"/>
                <w:sz w:val="16"/>
                <w:szCs w:val="16"/>
                <w:lang w:eastAsia="es-CO"/>
              </w:rPr>
              <w:t>1283</w:t>
            </w:r>
          </w:p>
        </w:tc>
        <w:tc>
          <w:tcPr>
            <w:tcW w:w="709" w:type="dxa"/>
            <w:tcBorders>
              <w:top w:val="nil"/>
              <w:left w:val="nil"/>
              <w:bottom w:val="single" w:sz="8" w:space="0" w:color="auto"/>
              <w:right w:val="single" w:sz="8" w:space="0" w:color="auto"/>
            </w:tcBorders>
            <w:shd w:val="clear" w:color="auto" w:fill="auto"/>
            <w:noWrap/>
            <w:vAlign w:val="center"/>
          </w:tcPr>
          <w:p w:rsidR="0024547C" w:rsidRPr="00104F4B" w:rsidRDefault="0024547C" w:rsidP="0024547C">
            <w:pPr>
              <w:jc w:val="center"/>
              <w:rPr>
                <w:rFonts w:cs="Arial"/>
                <w:b/>
                <w:bCs/>
                <w:color w:val="000000"/>
                <w:sz w:val="16"/>
                <w:szCs w:val="16"/>
                <w:lang w:eastAsia="es-CO"/>
              </w:rPr>
            </w:pPr>
            <w:r w:rsidRPr="00104F4B">
              <w:rPr>
                <w:rFonts w:cs="Arial"/>
                <w:b/>
                <w:bCs/>
                <w:color w:val="000000"/>
                <w:sz w:val="16"/>
                <w:szCs w:val="16"/>
                <w:lang w:eastAsia="es-CO"/>
              </w:rPr>
              <w:t>4</w:t>
            </w:r>
          </w:p>
        </w:tc>
        <w:tc>
          <w:tcPr>
            <w:tcW w:w="567" w:type="dxa"/>
            <w:tcBorders>
              <w:top w:val="nil"/>
              <w:left w:val="nil"/>
              <w:bottom w:val="single" w:sz="8" w:space="0" w:color="auto"/>
              <w:right w:val="single" w:sz="8" w:space="0" w:color="auto"/>
            </w:tcBorders>
            <w:shd w:val="clear" w:color="auto" w:fill="auto"/>
            <w:noWrap/>
            <w:vAlign w:val="center"/>
          </w:tcPr>
          <w:p w:rsidR="0024547C" w:rsidRPr="00104F4B" w:rsidRDefault="0024547C" w:rsidP="0024547C">
            <w:pPr>
              <w:jc w:val="center"/>
              <w:rPr>
                <w:rFonts w:cs="Arial"/>
                <w:b/>
                <w:bCs/>
                <w:color w:val="000000"/>
                <w:sz w:val="16"/>
                <w:szCs w:val="16"/>
                <w:lang w:eastAsia="es-CO"/>
              </w:rPr>
            </w:pPr>
            <w:r w:rsidRPr="00104F4B">
              <w:rPr>
                <w:rFonts w:cs="Arial"/>
                <w:b/>
                <w:bCs/>
                <w:color w:val="000000"/>
                <w:sz w:val="16"/>
                <w:szCs w:val="16"/>
                <w:lang w:eastAsia="es-CO"/>
              </w:rPr>
              <w:t>7</w:t>
            </w:r>
          </w:p>
        </w:tc>
        <w:tc>
          <w:tcPr>
            <w:tcW w:w="567" w:type="dxa"/>
            <w:tcBorders>
              <w:top w:val="nil"/>
              <w:left w:val="nil"/>
              <w:bottom w:val="single" w:sz="8" w:space="0" w:color="auto"/>
              <w:right w:val="single" w:sz="8" w:space="0" w:color="auto"/>
            </w:tcBorders>
            <w:shd w:val="clear" w:color="auto" w:fill="auto"/>
            <w:noWrap/>
            <w:vAlign w:val="center"/>
          </w:tcPr>
          <w:p w:rsidR="0024547C" w:rsidRPr="00104F4B" w:rsidRDefault="0024547C" w:rsidP="0024547C">
            <w:pPr>
              <w:jc w:val="center"/>
              <w:rPr>
                <w:rFonts w:cs="Arial"/>
                <w:b/>
                <w:bCs/>
                <w:color w:val="000000"/>
                <w:sz w:val="16"/>
                <w:szCs w:val="16"/>
                <w:lang w:eastAsia="es-CO"/>
              </w:rPr>
            </w:pPr>
            <w:r w:rsidRPr="00104F4B">
              <w:rPr>
                <w:rFonts w:cs="Arial"/>
                <w:b/>
                <w:bCs/>
                <w:color w:val="000000"/>
                <w:sz w:val="16"/>
                <w:szCs w:val="16"/>
                <w:lang w:eastAsia="es-CO"/>
              </w:rPr>
              <w:t>6</w:t>
            </w:r>
          </w:p>
        </w:tc>
        <w:tc>
          <w:tcPr>
            <w:tcW w:w="567" w:type="dxa"/>
            <w:tcBorders>
              <w:top w:val="nil"/>
              <w:left w:val="nil"/>
              <w:bottom w:val="single" w:sz="8" w:space="0" w:color="auto"/>
              <w:right w:val="single" w:sz="8" w:space="0" w:color="auto"/>
            </w:tcBorders>
            <w:shd w:val="clear" w:color="auto" w:fill="auto"/>
            <w:noWrap/>
            <w:vAlign w:val="center"/>
          </w:tcPr>
          <w:p w:rsidR="0024547C" w:rsidRPr="00104F4B" w:rsidRDefault="0024547C" w:rsidP="0024547C">
            <w:pPr>
              <w:jc w:val="center"/>
              <w:rPr>
                <w:rFonts w:cs="Arial"/>
                <w:b/>
                <w:bCs/>
                <w:color w:val="000000"/>
                <w:sz w:val="16"/>
                <w:szCs w:val="16"/>
                <w:lang w:eastAsia="es-CO"/>
              </w:rPr>
            </w:pPr>
            <w:r w:rsidRPr="00104F4B">
              <w:rPr>
                <w:rFonts w:cs="Arial"/>
                <w:b/>
                <w:bCs/>
                <w:color w:val="000000"/>
                <w:sz w:val="16"/>
                <w:szCs w:val="16"/>
                <w:lang w:eastAsia="es-CO"/>
              </w:rPr>
              <w:t>5</w:t>
            </w:r>
          </w:p>
        </w:tc>
        <w:tc>
          <w:tcPr>
            <w:tcW w:w="567" w:type="dxa"/>
            <w:tcBorders>
              <w:top w:val="nil"/>
              <w:left w:val="nil"/>
              <w:bottom w:val="single" w:sz="8" w:space="0" w:color="auto"/>
              <w:right w:val="single" w:sz="8" w:space="0" w:color="auto"/>
            </w:tcBorders>
            <w:shd w:val="clear" w:color="auto" w:fill="auto"/>
            <w:noWrap/>
            <w:vAlign w:val="center"/>
          </w:tcPr>
          <w:p w:rsidR="0024547C" w:rsidRPr="00104F4B" w:rsidRDefault="0024547C" w:rsidP="0024547C">
            <w:pPr>
              <w:jc w:val="center"/>
              <w:rPr>
                <w:rFonts w:cs="Arial"/>
                <w:b/>
                <w:bCs/>
                <w:color w:val="000000"/>
                <w:sz w:val="16"/>
                <w:szCs w:val="16"/>
                <w:lang w:eastAsia="es-CO"/>
              </w:rPr>
            </w:pPr>
            <w:r w:rsidRPr="00104F4B">
              <w:rPr>
                <w:rFonts w:cs="Arial"/>
                <w:b/>
                <w:bCs/>
                <w:color w:val="000000"/>
                <w:sz w:val="16"/>
                <w:szCs w:val="16"/>
                <w:lang w:eastAsia="es-CO"/>
              </w:rPr>
              <w:t>9</w:t>
            </w:r>
          </w:p>
        </w:tc>
        <w:tc>
          <w:tcPr>
            <w:tcW w:w="567" w:type="dxa"/>
            <w:tcBorders>
              <w:top w:val="nil"/>
              <w:left w:val="nil"/>
              <w:bottom w:val="single" w:sz="8" w:space="0" w:color="auto"/>
              <w:right w:val="single" w:sz="8" w:space="0" w:color="auto"/>
            </w:tcBorders>
            <w:shd w:val="clear" w:color="auto" w:fill="auto"/>
            <w:noWrap/>
            <w:vAlign w:val="center"/>
          </w:tcPr>
          <w:p w:rsidR="0024547C" w:rsidRPr="00104F4B" w:rsidRDefault="0024547C" w:rsidP="0024547C">
            <w:pPr>
              <w:jc w:val="center"/>
              <w:rPr>
                <w:rFonts w:cs="Arial"/>
                <w:b/>
                <w:bCs/>
                <w:color w:val="000000"/>
                <w:sz w:val="16"/>
                <w:szCs w:val="16"/>
                <w:lang w:eastAsia="es-CO"/>
              </w:rPr>
            </w:pPr>
            <w:r w:rsidRPr="00104F4B">
              <w:rPr>
                <w:rFonts w:cs="Arial"/>
                <w:b/>
                <w:bCs/>
                <w:color w:val="000000"/>
                <w:sz w:val="16"/>
                <w:szCs w:val="16"/>
                <w:lang w:eastAsia="es-CO"/>
              </w:rPr>
              <w:t>23</w:t>
            </w:r>
          </w:p>
        </w:tc>
        <w:tc>
          <w:tcPr>
            <w:tcW w:w="567" w:type="dxa"/>
            <w:tcBorders>
              <w:top w:val="nil"/>
              <w:left w:val="nil"/>
              <w:bottom w:val="single" w:sz="8" w:space="0" w:color="auto"/>
              <w:right w:val="single" w:sz="8" w:space="0" w:color="auto"/>
            </w:tcBorders>
            <w:shd w:val="clear" w:color="auto" w:fill="auto"/>
            <w:noWrap/>
            <w:vAlign w:val="center"/>
          </w:tcPr>
          <w:p w:rsidR="0024547C" w:rsidRPr="00104F4B" w:rsidRDefault="0024547C" w:rsidP="0024547C">
            <w:pPr>
              <w:jc w:val="center"/>
              <w:rPr>
                <w:rFonts w:cs="Arial"/>
                <w:b/>
                <w:bCs/>
                <w:color w:val="000000"/>
                <w:sz w:val="16"/>
                <w:szCs w:val="16"/>
                <w:lang w:eastAsia="es-CO"/>
              </w:rPr>
            </w:pPr>
            <w:r w:rsidRPr="00104F4B">
              <w:rPr>
                <w:rFonts w:cs="Arial"/>
                <w:b/>
                <w:bCs/>
                <w:color w:val="000000"/>
                <w:sz w:val="16"/>
                <w:szCs w:val="16"/>
                <w:lang w:eastAsia="es-CO"/>
              </w:rPr>
              <w:t>70</w:t>
            </w:r>
          </w:p>
        </w:tc>
        <w:tc>
          <w:tcPr>
            <w:tcW w:w="567" w:type="dxa"/>
            <w:tcBorders>
              <w:top w:val="nil"/>
              <w:left w:val="nil"/>
              <w:bottom w:val="single" w:sz="8" w:space="0" w:color="auto"/>
              <w:right w:val="single" w:sz="8" w:space="0" w:color="auto"/>
            </w:tcBorders>
            <w:shd w:val="clear" w:color="auto" w:fill="auto"/>
            <w:noWrap/>
            <w:vAlign w:val="center"/>
          </w:tcPr>
          <w:p w:rsidR="0024547C" w:rsidRPr="00104F4B" w:rsidRDefault="0024547C" w:rsidP="0024547C">
            <w:pPr>
              <w:jc w:val="center"/>
              <w:rPr>
                <w:rFonts w:cs="Arial"/>
                <w:b/>
                <w:bCs/>
                <w:color w:val="000000"/>
                <w:sz w:val="16"/>
                <w:szCs w:val="16"/>
                <w:lang w:eastAsia="es-CO"/>
              </w:rPr>
            </w:pPr>
            <w:r w:rsidRPr="00104F4B">
              <w:rPr>
                <w:rFonts w:cs="Arial"/>
                <w:b/>
                <w:bCs/>
                <w:color w:val="000000"/>
                <w:sz w:val="16"/>
                <w:szCs w:val="16"/>
                <w:lang w:eastAsia="es-CO"/>
              </w:rPr>
              <w:t>31</w:t>
            </w:r>
          </w:p>
        </w:tc>
        <w:tc>
          <w:tcPr>
            <w:tcW w:w="567" w:type="dxa"/>
            <w:tcBorders>
              <w:top w:val="nil"/>
              <w:left w:val="nil"/>
              <w:bottom w:val="single" w:sz="8" w:space="0" w:color="auto"/>
              <w:right w:val="single" w:sz="8" w:space="0" w:color="auto"/>
            </w:tcBorders>
            <w:shd w:val="clear" w:color="auto" w:fill="auto"/>
            <w:noWrap/>
            <w:vAlign w:val="center"/>
          </w:tcPr>
          <w:p w:rsidR="0024547C" w:rsidRPr="00104F4B" w:rsidRDefault="0024547C" w:rsidP="0024547C">
            <w:pPr>
              <w:jc w:val="center"/>
              <w:rPr>
                <w:rFonts w:cs="Arial"/>
                <w:b/>
                <w:bCs/>
                <w:color w:val="000000"/>
                <w:sz w:val="16"/>
                <w:szCs w:val="16"/>
                <w:lang w:eastAsia="es-CO"/>
              </w:rPr>
            </w:pPr>
            <w:r w:rsidRPr="00104F4B">
              <w:rPr>
                <w:rFonts w:cs="Arial"/>
                <w:b/>
                <w:bCs/>
                <w:color w:val="000000"/>
                <w:sz w:val="16"/>
                <w:szCs w:val="16"/>
                <w:lang w:eastAsia="es-CO"/>
              </w:rPr>
              <w:t>55</w:t>
            </w:r>
          </w:p>
        </w:tc>
        <w:tc>
          <w:tcPr>
            <w:tcW w:w="709" w:type="dxa"/>
            <w:tcBorders>
              <w:top w:val="nil"/>
              <w:left w:val="nil"/>
              <w:bottom w:val="single" w:sz="8" w:space="0" w:color="auto"/>
              <w:right w:val="single" w:sz="8" w:space="0" w:color="auto"/>
            </w:tcBorders>
            <w:shd w:val="clear" w:color="auto" w:fill="auto"/>
            <w:noWrap/>
            <w:vAlign w:val="center"/>
          </w:tcPr>
          <w:p w:rsidR="0024547C" w:rsidRPr="00104F4B" w:rsidRDefault="0024547C" w:rsidP="0024547C">
            <w:pPr>
              <w:jc w:val="center"/>
              <w:rPr>
                <w:rFonts w:cs="Arial"/>
                <w:b/>
                <w:bCs/>
                <w:color w:val="000000"/>
                <w:sz w:val="16"/>
                <w:szCs w:val="16"/>
                <w:lang w:eastAsia="es-CO"/>
              </w:rPr>
            </w:pPr>
            <w:r w:rsidRPr="00104F4B">
              <w:rPr>
                <w:rFonts w:cs="Arial"/>
                <w:b/>
                <w:bCs/>
                <w:color w:val="000000"/>
                <w:sz w:val="16"/>
                <w:szCs w:val="16"/>
                <w:lang w:eastAsia="es-CO"/>
              </w:rPr>
              <w:t>31</w:t>
            </w:r>
          </w:p>
        </w:tc>
        <w:tc>
          <w:tcPr>
            <w:tcW w:w="577" w:type="dxa"/>
            <w:tcBorders>
              <w:top w:val="nil"/>
              <w:left w:val="nil"/>
              <w:bottom w:val="single" w:sz="8" w:space="0" w:color="auto"/>
              <w:right w:val="single" w:sz="8" w:space="0" w:color="auto"/>
            </w:tcBorders>
            <w:shd w:val="clear" w:color="auto" w:fill="auto"/>
            <w:noWrap/>
            <w:vAlign w:val="center"/>
          </w:tcPr>
          <w:p w:rsidR="0024547C" w:rsidRPr="00104F4B" w:rsidRDefault="0024547C" w:rsidP="0024547C">
            <w:pPr>
              <w:jc w:val="center"/>
              <w:rPr>
                <w:rFonts w:cs="Arial"/>
                <w:b/>
                <w:bCs/>
                <w:color w:val="000000"/>
                <w:sz w:val="16"/>
                <w:szCs w:val="16"/>
                <w:lang w:eastAsia="es-CO"/>
              </w:rPr>
            </w:pPr>
            <w:r w:rsidRPr="00104F4B">
              <w:rPr>
                <w:rFonts w:cs="Arial"/>
                <w:b/>
                <w:bCs/>
                <w:color w:val="000000"/>
                <w:sz w:val="16"/>
                <w:szCs w:val="16"/>
                <w:lang w:eastAsia="es-CO"/>
              </w:rPr>
              <w:t>60</w:t>
            </w:r>
          </w:p>
        </w:tc>
        <w:tc>
          <w:tcPr>
            <w:tcW w:w="709" w:type="dxa"/>
            <w:tcBorders>
              <w:top w:val="nil"/>
              <w:left w:val="nil"/>
              <w:bottom w:val="single" w:sz="8" w:space="0" w:color="auto"/>
              <w:right w:val="single" w:sz="8" w:space="0" w:color="auto"/>
            </w:tcBorders>
            <w:shd w:val="clear" w:color="auto" w:fill="auto"/>
            <w:noWrap/>
            <w:vAlign w:val="center"/>
          </w:tcPr>
          <w:p w:rsidR="0024547C" w:rsidRPr="00104F4B" w:rsidRDefault="0024547C" w:rsidP="0024547C">
            <w:pPr>
              <w:jc w:val="center"/>
              <w:rPr>
                <w:rFonts w:cs="Arial"/>
                <w:b/>
                <w:bCs/>
                <w:color w:val="000000"/>
                <w:sz w:val="16"/>
                <w:szCs w:val="16"/>
                <w:lang w:eastAsia="es-CO"/>
              </w:rPr>
            </w:pPr>
            <w:r w:rsidRPr="00104F4B">
              <w:rPr>
                <w:rFonts w:cs="Arial"/>
                <w:b/>
                <w:bCs/>
                <w:color w:val="000000"/>
                <w:sz w:val="16"/>
                <w:szCs w:val="16"/>
                <w:lang w:eastAsia="es-CO"/>
              </w:rPr>
              <w:t>1584</w:t>
            </w:r>
          </w:p>
        </w:tc>
      </w:tr>
    </w:tbl>
    <w:p w:rsidR="0024547C" w:rsidRPr="00104F4B" w:rsidRDefault="0024547C" w:rsidP="0024547C">
      <w:pPr>
        <w:jc w:val="center"/>
        <w:rPr>
          <w:rFonts w:cs="Arial"/>
          <w:sz w:val="16"/>
          <w:szCs w:val="16"/>
        </w:rPr>
      </w:pPr>
      <w:r w:rsidRPr="00104F4B">
        <w:rPr>
          <w:rFonts w:cs="Arial"/>
          <w:sz w:val="16"/>
          <w:szCs w:val="16"/>
        </w:rPr>
        <w:t>DTGC – Elaboración de contratos y convenios.</w:t>
      </w:r>
    </w:p>
    <w:p w:rsidR="0024547C" w:rsidRPr="00104F4B" w:rsidRDefault="0024547C" w:rsidP="0024547C">
      <w:pPr>
        <w:rPr>
          <w:rFonts w:cs="Arial"/>
          <w:b/>
          <w:szCs w:val="22"/>
        </w:rPr>
      </w:pPr>
      <w:r w:rsidRPr="00104F4B">
        <w:rPr>
          <w:rFonts w:cs="Arial"/>
          <w:b/>
          <w:szCs w:val="22"/>
        </w:rPr>
        <w:t>Modificaciones a contratos y convenios</w:t>
      </w:r>
    </w:p>
    <w:p w:rsidR="0024547C" w:rsidRPr="00104F4B" w:rsidRDefault="0024547C" w:rsidP="0024547C">
      <w:pPr>
        <w:rPr>
          <w:rFonts w:cs="Arial"/>
          <w:b/>
          <w:szCs w:val="22"/>
        </w:rPr>
      </w:pPr>
      <w:r w:rsidRPr="00104F4B">
        <w:rPr>
          <w:rFonts w:cs="Arial"/>
          <w:szCs w:val="22"/>
        </w:rPr>
        <w:t>Las modificaciones contractuales se realizan por solicitud del área ejecutora y ordenadora del gasto y obedecen a consideraciones técnicas, financieras y jurídicas debidamente justificadas, es así, como la Dirección Técnica de Gestión Contractual adelanta la gestión, previa verificación y estudio de la solicitud realizada, en armonía con los documentos soportes, cumpliendo de esta manera con los requisitos y términos del procedimiento establecido.</w:t>
      </w:r>
    </w:p>
    <w:p w:rsidR="0024547C" w:rsidRPr="00104F4B" w:rsidRDefault="0024547C" w:rsidP="0024547C">
      <w:pPr>
        <w:rPr>
          <w:rFonts w:cs="Arial"/>
          <w:szCs w:val="22"/>
        </w:rPr>
      </w:pPr>
      <w:r w:rsidRPr="00104F4B">
        <w:rPr>
          <w:rFonts w:cs="Arial"/>
          <w:szCs w:val="22"/>
        </w:rPr>
        <w:t>Así las cosas en lo corrido de la vigencia 2018, se realizaron 981 modificaciones a contratos y/o convenios, incluidas adiciones, prorrogas, cesiones, entre otros.</w:t>
      </w:r>
    </w:p>
    <w:p w:rsidR="0024547C" w:rsidRPr="00104F4B" w:rsidRDefault="0024547C" w:rsidP="0024547C">
      <w:pPr>
        <w:rPr>
          <w:rFonts w:cs="Arial"/>
          <w:b/>
          <w:szCs w:val="22"/>
        </w:rPr>
      </w:pPr>
      <w:r w:rsidRPr="00104F4B">
        <w:rPr>
          <w:rFonts w:cs="Arial"/>
          <w:b/>
          <w:szCs w:val="22"/>
        </w:rPr>
        <w:t>Acompañamiento Procedimiento Sancionatorio</w:t>
      </w:r>
    </w:p>
    <w:p w:rsidR="0024547C" w:rsidRDefault="0024547C" w:rsidP="0024547C">
      <w:pPr>
        <w:rPr>
          <w:rFonts w:cs="Arial"/>
          <w:szCs w:val="22"/>
        </w:rPr>
      </w:pPr>
      <w:r w:rsidRPr="00104F4B">
        <w:rPr>
          <w:rFonts w:cs="Arial"/>
          <w:szCs w:val="22"/>
        </w:rPr>
        <w:t>La Dirección Técnica de Gestión Contractual en lo corrido de la vigencia 2018, recibió 154 solicitudes de inicio de procedimiento administrativo sancionatorio a los cuales se les prestó asesoría y acompañamiento jurídico de conformidad con la normatividad legal y los procedimientos de la entidad, teniendo a 31 de diciembre de 2018 los siguientes estados:</w:t>
      </w:r>
    </w:p>
    <w:p w:rsidR="005C3D90" w:rsidRPr="00104F4B" w:rsidRDefault="005C3D90" w:rsidP="0024547C">
      <w:pPr>
        <w:rPr>
          <w:rFonts w:cs="Arial"/>
          <w:szCs w:val="22"/>
        </w:rPr>
      </w:pPr>
    </w:p>
    <w:tbl>
      <w:tblPr>
        <w:tblW w:w="51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294"/>
        <w:gridCol w:w="1860"/>
      </w:tblGrid>
      <w:tr w:rsidR="0024547C" w:rsidRPr="00104F4B" w:rsidTr="0024547C">
        <w:trPr>
          <w:trHeight w:val="255"/>
          <w:jc w:val="center"/>
        </w:trPr>
        <w:tc>
          <w:tcPr>
            <w:tcW w:w="3294" w:type="dxa"/>
            <w:shd w:val="clear" w:color="auto" w:fill="auto"/>
            <w:noWrap/>
            <w:vAlign w:val="center"/>
            <w:hideMark/>
          </w:tcPr>
          <w:p w:rsidR="0024547C" w:rsidRPr="00104F4B" w:rsidRDefault="0024547C" w:rsidP="0024547C">
            <w:pPr>
              <w:jc w:val="center"/>
              <w:rPr>
                <w:rFonts w:cs="Arial"/>
                <w:b/>
                <w:color w:val="000000"/>
                <w:sz w:val="16"/>
                <w:szCs w:val="16"/>
                <w:lang w:eastAsia="es-CO"/>
              </w:rPr>
            </w:pPr>
            <w:r w:rsidRPr="00104F4B">
              <w:rPr>
                <w:rFonts w:cs="Arial"/>
                <w:b/>
                <w:color w:val="000000"/>
                <w:sz w:val="16"/>
                <w:szCs w:val="16"/>
                <w:lang w:eastAsia="es-CO"/>
              </w:rPr>
              <w:lastRenderedPageBreak/>
              <w:t>ESTADO</w:t>
            </w:r>
          </w:p>
        </w:tc>
        <w:tc>
          <w:tcPr>
            <w:tcW w:w="1860" w:type="dxa"/>
            <w:shd w:val="clear" w:color="auto" w:fill="auto"/>
            <w:noWrap/>
            <w:vAlign w:val="center"/>
            <w:hideMark/>
          </w:tcPr>
          <w:p w:rsidR="0024547C" w:rsidRPr="00104F4B" w:rsidRDefault="0024547C" w:rsidP="0024547C">
            <w:pPr>
              <w:jc w:val="center"/>
              <w:rPr>
                <w:rFonts w:cs="Arial"/>
                <w:b/>
                <w:color w:val="000000"/>
                <w:sz w:val="16"/>
                <w:szCs w:val="16"/>
                <w:lang w:eastAsia="es-CO"/>
              </w:rPr>
            </w:pPr>
            <w:r w:rsidRPr="00104F4B">
              <w:rPr>
                <w:rFonts w:cs="Arial"/>
                <w:b/>
                <w:color w:val="000000"/>
                <w:sz w:val="16"/>
                <w:szCs w:val="16"/>
                <w:lang w:eastAsia="es-CO"/>
              </w:rPr>
              <w:t>TOTAL POR ESTADO</w:t>
            </w:r>
          </w:p>
        </w:tc>
      </w:tr>
      <w:tr w:rsidR="0024547C" w:rsidRPr="00104F4B" w:rsidTr="0024547C">
        <w:trPr>
          <w:trHeight w:val="255"/>
          <w:jc w:val="center"/>
        </w:trPr>
        <w:tc>
          <w:tcPr>
            <w:tcW w:w="3294" w:type="dxa"/>
            <w:shd w:val="clear" w:color="auto" w:fill="auto"/>
            <w:noWrap/>
            <w:vAlign w:val="center"/>
            <w:hideMark/>
          </w:tcPr>
          <w:p w:rsidR="0024547C" w:rsidRPr="00104F4B" w:rsidRDefault="0024547C" w:rsidP="0024547C">
            <w:pPr>
              <w:rPr>
                <w:rFonts w:cs="Arial"/>
                <w:color w:val="000000"/>
                <w:sz w:val="16"/>
                <w:szCs w:val="16"/>
                <w:lang w:eastAsia="es-CO"/>
              </w:rPr>
            </w:pPr>
            <w:r w:rsidRPr="00104F4B">
              <w:rPr>
                <w:rFonts w:cs="Arial"/>
                <w:color w:val="000000"/>
                <w:sz w:val="16"/>
                <w:szCs w:val="16"/>
                <w:lang w:eastAsia="es-CO"/>
              </w:rPr>
              <w:t>AUDIENCIA</w:t>
            </w:r>
          </w:p>
        </w:tc>
        <w:tc>
          <w:tcPr>
            <w:tcW w:w="1860" w:type="dxa"/>
            <w:shd w:val="clear" w:color="auto" w:fill="auto"/>
            <w:noWrap/>
            <w:vAlign w:val="center"/>
            <w:hideMark/>
          </w:tcPr>
          <w:p w:rsidR="0024547C" w:rsidRPr="00104F4B" w:rsidRDefault="0024547C" w:rsidP="0024547C">
            <w:pPr>
              <w:jc w:val="center"/>
              <w:rPr>
                <w:rFonts w:cs="Arial"/>
                <w:color w:val="000000"/>
                <w:sz w:val="16"/>
                <w:szCs w:val="16"/>
                <w:lang w:eastAsia="es-CO"/>
              </w:rPr>
            </w:pPr>
            <w:r w:rsidRPr="00104F4B">
              <w:rPr>
                <w:rFonts w:cs="Arial"/>
                <w:color w:val="000000"/>
                <w:sz w:val="16"/>
                <w:szCs w:val="16"/>
                <w:lang w:eastAsia="es-CO"/>
              </w:rPr>
              <w:t>25</w:t>
            </w:r>
          </w:p>
        </w:tc>
      </w:tr>
      <w:tr w:rsidR="0024547C" w:rsidRPr="00104F4B" w:rsidTr="0024547C">
        <w:trPr>
          <w:trHeight w:val="255"/>
          <w:jc w:val="center"/>
        </w:trPr>
        <w:tc>
          <w:tcPr>
            <w:tcW w:w="3294" w:type="dxa"/>
            <w:shd w:val="clear" w:color="auto" w:fill="auto"/>
            <w:noWrap/>
            <w:vAlign w:val="center"/>
          </w:tcPr>
          <w:p w:rsidR="0024547C" w:rsidRPr="00104F4B" w:rsidRDefault="0024547C" w:rsidP="0024547C">
            <w:pPr>
              <w:rPr>
                <w:rFonts w:cs="Arial"/>
                <w:color w:val="000000"/>
                <w:sz w:val="16"/>
                <w:szCs w:val="16"/>
                <w:lang w:eastAsia="es-CO"/>
              </w:rPr>
            </w:pPr>
            <w:r w:rsidRPr="00104F4B">
              <w:rPr>
                <w:rFonts w:cs="Arial"/>
                <w:color w:val="000000"/>
                <w:sz w:val="16"/>
                <w:szCs w:val="16"/>
                <w:lang w:eastAsia="es-CO"/>
              </w:rPr>
              <w:t>PREVIA</w:t>
            </w:r>
          </w:p>
        </w:tc>
        <w:tc>
          <w:tcPr>
            <w:tcW w:w="1860" w:type="dxa"/>
            <w:shd w:val="clear" w:color="auto" w:fill="auto"/>
            <w:noWrap/>
            <w:vAlign w:val="center"/>
          </w:tcPr>
          <w:p w:rsidR="0024547C" w:rsidRPr="00104F4B" w:rsidRDefault="0024547C" w:rsidP="0024547C">
            <w:pPr>
              <w:jc w:val="center"/>
              <w:rPr>
                <w:rFonts w:cs="Arial"/>
                <w:color w:val="000000"/>
                <w:sz w:val="16"/>
                <w:szCs w:val="16"/>
                <w:lang w:eastAsia="es-CO"/>
              </w:rPr>
            </w:pPr>
            <w:r w:rsidRPr="00104F4B">
              <w:rPr>
                <w:rFonts w:cs="Arial"/>
                <w:color w:val="000000"/>
                <w:sz w:val="16"/>
                <w:szCs w:val="16"/>
                <w:lang w:eastAsia="es-CO"/>
              </w:rPr>
              <w:t>42</w:t>
            </w:r>
          </w:p>
        </w:tc>
      </w:tr>
      <w:tr w:rsidR="0024547C" w:rsidRPr="00104F4B" w:rsidTr="0024547C">
        <w:trPr>
          <w:trHeight w:val="255"/>
          <w:jc w:val="center"/>
        </w:trPr>
        <w:tc>
          <w:tcPr>
            <w:tcW w:w="3294" w:type="dxa"/>
            <w:shd w:val="clear" w:color="auto" w:fill="auto"/>
            <w:noWrap/>
            <w:vAlign w:val="center"/>
            <w:hideMark/>
          </w:tcPr>
          <w:p w:rsidR="0024547C" w:rsidRPr="00104F4B" w:rsidRDefault="0024547C" w:rsidP="0024547C">
            <w:pPr>
              <w:rPr>
                <w:rFonts w:cs="Arial"/>
                <w:color w:val="000000"/>
                <w:sz w:val="16"/>
                <w:szCs w:val="16"/>
                <w:lang w:eastAsia="es-CO"/>
              </w:rPr>
            </w:pPr>
            <w:r w:rsidRPr="00104F4B">
              <w:rPr>
                <w:rFonts w:cs="Arial"/>
                <w:color w:val="000000"/>
                <w:sz w:val="16"/>
                <w:szCs w:val="16"/>
                <w:lang w:eastAsia="es-CO"/>
              </w:rPr>
              <w:t>CERRADO AUDIENCIA</w:t>
            </w:r>
          </w:p>
        </w:tc>
        <w:tc>
          <w:tcPr>
            <w:tcW w:w="1860" w:type="dxa"/>
            <w:shd w:val="clear" w:color="auto" w:fill="auto"/>
            <w:noWrap/>
            <w:vAlign w:val="center"/>
            <w:hideMark/>
          </w:tcPr>
          <w:p w:rsidR="0024547C" w:rsidRPr="00104F4B" w:rsidRDefault="0024547C" w:rsidP="0024547C">
            <w:pPr>
              <w:jc w:val="center"/>
              <w:rPr>
                <w:rFonts w:cs="Arial"/>
                <w:color w:val="000000"/>
                <w:sz w:val="16"/>
                <w:szCs w:val="16"/>
                <w:lang w:eastAsia="es-CO"/>
              </w:rPr>
            </w:pPr>
            <w:r w:rsidRPr="00104F4B">
              <w:rPr>
                <w:rFonts w:cs="Arial"/>
                <w:color w:val="000000"/>
                <w:sz w:val="16"/>
                <w:szCs w:val="16"/>
                <w:lang w:eastAsia="es-CO"/>
              </w:rPr>
              <w:t>1</w:t>
            </w:r>
          </w:p>
        </w:tc>
      </w:tr>
      <w:tr w:rsidR="0024547C" w:rsidRPr="00104F4B" w:rsidTr="0024547C">
        <w:trPr>
          <w:trHeight w:val="255"/>
          <w:jc w:val="center"/>
        </w:trPr>
        <w:tc>
          <w:tcPr>
            <w:tcW w:w="3294" w:type="dxa"/>
            <w:shd w:val="clear" w:color="auto" w:fill="auto"/>
            <w:noWrap/>
            <w:vAlign w:val="center"/>
            <w:hideMark/>
          </w:tcPr>
          <w:p w:rsidR="0024547C" w:rsidRPr="00104F4B" w:rsidRDefault="0024547C" w:rsidP="0024547C">
            <w:pPr>
              <w:rPr>
                <w:rFonts w:cs="Arial"/>
                <w:color w:val="000000"/>
                <w:sz w:val="16"/>
                <w:szCs w:val="16"/>
                <w:lang w:eastAsia="es-CO"/>
              </w:rPr>
            </w:pPr>
            <w:r w:rsidRPr="00104F4B">
              <w:rPr>
                <w:rFonts w:cs="Arial"/>
                <w:color w:val="000000"/>
                <w:sz w:val="16"/>
                <w:szCs w:val="16"/>
                <w:lang w:eastAsia="es-CO"/>
              </w:rPr>
              <w:t>CERRADO ETAPA PREVIA</w:t>
            </w:r>
          </w:p>
        </w:tc>
        <w:tc>
          <w:tcPr>
            <w:tcW w:w="1860" w:type="dxa"/>
            <w:shd w:val="clear" w:color="auto" w:fill="auto"/>
            <w:noWrap/>
            <w:vAlign w:val="center"/>
            <w:hideMark/>
          </w:tcPr>
          <w:p w:rsidR="0024547C" w:rsidRPr="00104F4B" w:rsidRDefault="0024547C" w:rsidP="0024547C">
            <w:pPr>
              <w:jc w:val="center"/>
              <w:rPr>
                <w:rFonts w:cs="Arial"/>
                <w:color w:val="000000"/>
                <w:sz w:val="16"/>
                <w:szCs w:val="16"/>
                <w:lang w:eastAsia="es-CO"/>
              </w:rPr>
            </w:pPr>
            <w:r w:rsidRPr="00104F4B">
              <w:rPr>
                <w:rFonts w:cs="Arial"/>
                <w:color w:val="000000"/>
                <w:sz w:val="16"/>
                <w:szCs w:val="16"/>
                <w:lang w:eastAsia="es-CO"/>
              </w:rPr>
              <w:t>84</w:t>
            </w:r>
          </w:p>
        </w:tc>
      </w:tr>
      <w:tr w:rsidR="0024547C" w:rsidRPr="00104F4B" w:rsidTr="0024547C">
        <w:trPr>
          <w:trHeight w:val="255"/>
          <w:jc w:val="center"/>
        </w:trPr>
        <w:tc>
          <w:tcPr>
            <w:tcW w:w="3294" w:type="dxa"/>
            <w:shd w:val="clear" w:color="auto" w:fill="auto"/>
            <w:noWrap/>
            <w:vAlign w:val="center"/>
            <w:hideMark/>
          </w:tcPr>
          <w:p w:rsidR="0024547C" w:rsidRPr="00104F4B" w:rsidRDefault="0024547C" w:rsidP="0024547C">
            <w:pPr>
              <w:rPr>
                <w:rFonts w:cs="Arial"/>
                <w:color w:val="000000"/>
                <w:sz w:val="16"/>
                <w:szCs w:val="16"/>
                <w:lang w:eastAsia="es-CO"/>
              </w:rPr>
            </w:pPr>
            <w:r w:rsidRPr="00104F4B">
              <w:rPr>
                <w:rFonts w:cs="Arial"/>
                <w:color w:val="000000"/>
                <w:sz w:val="16"/>
                <w:szCs w:val="16"/>
                <w:lang w:eastAsia="es-CO"/>
              </w:rPr>
              <w:t>SANCIONADO EN COBRO</w:t>
            </w:r>
          </w:p>
        </w:tc>
        <w:tc>
          <w:tcPr>
            <w:tcW w:w="1860" w:type="dxa"/>
            <w:shd w:val="clear" w:color="auto" w:fill="auto"/>
            <w:noWrap/>
            <w:vAlign w:val="center"/>
            <w:hideMark/>
          </w:tcPr>
          <w:p w:rsidR="0024547C" w:rsidRPr="00104F4B" w:rsidRDefault="0024547C" w:rsidP="0024547C">
            <w:pPr>
              <w:jc w:val="center"/>
              <w:rPr>
                <w:rFonts w:cs="Arial"/>
                <w:color w:val="000000"/>
                <w:sz w:val="16"/>
                <w:szCs w:val="16"/>
                <w:lang w:eastAsia="es-CO"/>
              </w:rPr>
            </w:pPr>
            <w:r w:rsidRPr="00104F4B">
              <w:rPr>
                <w:rFonts w:cs="Arial"/>
                <w:color w:val="000000"/>
                <w:sz w:val="16"/>
                <w:szCs w:val="16"/>
                <w:lang w:eastAsia="es-CO"/>
              </w:rPr>
              <w:t>2</w:t>
            </w:r>
          </w:p>
        </w:tc>
      </w:tr>
      <w:tr w:rsidR="0024547C" w:rsidRPr="00104F4B" w:rsidTr="0024547C">
        <w:trPr>
          <w:trHeight w:val="255"/>
          <w:jc w:val="center"/>
        </w:trPr>
        <w:tc>
          <w:tcPr>
            <w:tcW w:w="3294" w:type="dxa"/>
            <w:shd w:val="clear" w:color="auto" w:fill="auto"/>
            <w:noWrap/>
            <w:vAlign w:val="center"/>
            <w:hideMark/>
          </w:tcPr>
          <w:p w:rsidR="0024547C" w:rsidRPr="00104F4B" w:rsidRDefault="0024547C" w:rsidP="0024547C">
            <w:pPr>
              <w:jc w:val="center"/>
              <w:rPr>
                <w:rFonts w:cs="Arial"/>
                <w:b/>
                <w:color w:val="000000"/>
                <w:sz w:val="16"/>
                <w:szCs w:val="16"/>
                <w:lang w:eastAsia="es-CO"/>
              </w:rPr>
            </w:pPr>
            <w:r w:rsidRPr="00104F4B">
              <w:rPr>
                <w:rFonts w:cs="Arial"/>
                <w:b/>
                <w:color w:val="000000"/>
                <w:sz w:val="16"/>
                <w:szCs w:val="16"/>
                <w:lang w:eastAsia="es-CO"/>
              </w:rPr>
              <w:t>TOTAL</w:t>
            </w:r>
          </w:p>
        </w:tc>
        <w:tc>
          <w:tcPr>
            <w:tcW w:w="1860" w:type="dxa"/>
            <w:shd w:val="clear" w:color="auto" w:fill="auto"/>
            <w:noWrap/>
            <w:vAlign w:val="center"/>
            <w:hideMark/>
          </w:tcPr>
          <w:p w:rsidR="0024547C" w:rsidRPr="00104F4B" w:rsidRDefault="0024547C" w:rsidP="0024547C">
            <w:pPr>
              <w:jc w:val="center"/>
              <w:rPr>
                <w:rFonts w:cs="Arial"/>
                <w:b/>
                <w:color w:val="000000"/>
                <w:sz w:val="16"/>
                <w:szCs w:val="16"/>
                <w:lang w:eastAsia="es-CO"/>
              </w:rPr>
            </w:pPr>
            <w:r w:rsidRPr="00104F4B">
              <w:rPr>
                <w:rFonts w:cs="Arial"/>
                <w:b/>
                <w:color w:val="000000"/>
                <w:sz w:val="16"/>
                <w:szCs w:val="16"/>
                <w:lang w:eastAsia="es-CO"/>
              </w:rPr>
              <w:t>154</w:t>
            </w:r>
          </w:p>
        </w:tc>
      </w:tr>
    </w:tbl>
    <w:p w:rsidR="0024547C" w:rsidRPr="00104F4B" w:rsidRDefault="0024547C" w:rsidP="0024547C">
      <w:pPr>
        <w:jc w:val="center"/>
        <w:rPr>
          <w:rFonts w:cs="Arial"/>
          <w:sz w:val="16"/>
          <w:szCs w:val="16"/>
        </w:rPr>
      </w:pPr>
      <w:r w:rsidRPr="00104F4B">
        <w:rPr>
          <w:rFonts w:cs="Arial"/>
          <w:sz w:val="16"/>
          <w:szCs w:val="16"/>
        </w:rPr>
        <w:t>DTGC – Solicitudes de inicio procedimiento administrativo sancionatorio 2018.</w:t>
      </w:r>
    </w:p>
    <w:p w:rsidR="0024547C" w:rsidRPr="00104F4B" w:rsidRDefault="0024547C" w:rsidP="0024547C">
      <w:pPr>
        <w:jc w:val="center"/>
        <w:rPr>
          <w:rFonts w:cs="Arial"/>
          <w:b/>
          <w:sz w:val="24"/>
        </w:rPr>
      </w:pPr>
    </w:p>
    <w:p w:rsidR="0024547C" w:rsidRPr="00104F4B" w:rsidRDefault="006D18D6" w:rsidP="0024547C">
      <w:pPr>
        <w:jc w:val="center"/>
        <w:rPr>
          <w:rFonts w:cs="Arial"/>
          <w:b/>
          <w:sz w:val="24"/>
        </w:rPr>
      </w:pPr>
      <w:r w:rsidRPr="006D18D6">
        <w:rPr>
          <w:noProof/>
          <w:lang w:val="es-CO" w:eastAsia="es-CO"/>
        </w:rPr>
        <w:drawing>
          <wp:inline distT="0" distB="0" distL="0" distR="0">
            <wp:extent cx="4508500" cy="2607945"/>
            <wp:effectExtent l="0" t="0" r="6350" b="1905"/>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508500" cy="2607945"/>
                    </a:xfrm>
                    <a:prstGeom prst="rect">
                      <a:avLst/>
                    </a:prstGeom>
                    <a:noFill/>
                    <a:ln>
                      <a:noFill/>
                    </a:ln>
                  </pic:spPr>
                </pic:pic>
              </a:graphicData>
            </a:graphic>
          </wp:inline>
        </w:drawing>
      </w:r>
    </w:p>
    <w:p w:rsidR="0024547C" w:rsidRDefault="0024547C" w:rsidP="0024547C">
      <w:pPr>
        <w:rPr>
          <w:rFonts w:cs="Arial"/>
          <w:szCs w:val="22"/>
        </w:rPr>
      </w:pPr>
      <w:r w:rsidRPr="00104F4B">
        <w:rPr>
          <w:rFonts w:cs="Arial"/>
          <w:szCs w:val="22"/>
        </w:rPr>
        <w:t>Igualmente se dio continuidad al trámite de 32 procedimientos administrativos sancionatorios que quedaron en curso de la vigencia 2017, teniendo a 31 de diciembre de 2018 los siguientes estados:</w:t>
      </w:r>
    </w:p>
    <w:p w:rsidR="005C3D90" w:rsidRPr="00104F4B" w:rsidRDefault="005C3D90" w:rsidP="0024547C">
      <w:pPr>
        <w:rPr>
          <w:rFonts w:cs="Arial"/>
          <w:szCs w:val="22"/>
        </w:rPr>
      </w:pPr>
    </w:p>
    <w:tbl>
      <w:tblPr>
        <w:tblW w:w="49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256"/>
        <w:gridCol w:w="1701"/>
      </w:tblGrid>
      <w:tr w:rsidR="0024547C" w:rsidRPr="00104F4B" w:rsidTr="0024547C">
        <w:trPr>
          <w:trHeight w:val="255"/>
          <w:jc w:val="center"/>
        </w:trPr>
        <w:tc>
          <w:tcPr>
            <w:tcW w:w="3256" w:type="dxa"/>
            <w:shd w:val="clear" w:color="auto" w:fill="auto"/>
            <w:noWrap/>
            <w:vAlign w:val="center"/>
            <w:hideMark/>
          </w:tcPr>
          <w:p w:rsidR="0024547C" w:rsidRPr="00104F4B" w:rsidRDefault="0024547C" w:rsidP="0024547C">
            <w:pPr>
              <w:jc w:val="center"/>
              <w:rPr>
                <w:rFonts w:cs="Arial"/>
                <w:b/>
                <w:color w:val="000000"/>
                <w:sz w:val="16"/>
                <w:szCs w:val="16"/>
                <w:lang w:eastAsia="es-CO"/>
              </w:rPr>
            </w:pPr>
            <w:r w:rsidRPr="00104F4B">
              <w:rPr>
                <w:rFonts w:cs="Arial"/>
                <w:b/>
                <w:color w:val="000000"/>
                <w:sz w:val="16"/>
                <w:szCs w:val="16"/>
                <w:lang w:eastAsia="es-CO"/>
              </w:rPr>
              <w:t>ESTADO</w:t>
            </w:r>
          </w:p>
        </w:tc>
        <w:tc>
          <w:tcPr>
            <w:tcW w:w="1701" w:type="dxa"/>
            <w:shd w:val="clear" w:color="auto" w:fill="auto"/>
            <w:noWrap/>
            <w:vAlign w:val="center"/>
            <w:hideMark/>
          </w:tcPr>
          <w:p w:rsidR="0024547C" w:rsidRPr="00104F4B" w:rsidRDefault="0024547C" w:rsidP="0024547C">
            <w:pPr>
              <w:jc w:val="center"/>
              <w:rPr>
                <w:rFonts w:cs="Arial"/>
                <w:b/>
                <w:color w:val="000000"/>
                <w:sz w:val="16"/>
                <w:szCs w:val="16"/>
                <w:lang w:eastAsia="es-CO"/>
              </w:rPr>
            </w:pPr>
            <w:r w:rsidRPr="00104F4B">
              <w:rPr>
                <w:rFonts w:cs="Arial"/>
                <w:b/>
                <w:color w:val="000000"/>
                <w:sz w:val="16"/>
                <w:szCs w:val="16"/>
                <w:lang w:eastAsia="es-CO"/>
              </w:rPr>
              <w:t>TOTAL POR ESTADO</w:t>
            </w:r>
          </w:p>
        </w:tc>
      </w:tr>
      <w:tr w:rsidR="0024547C" w:rsidRPr="00104F4B" w:rsidTr="0024547C">
        <w:trPr>
          <w:trHeight w:val="255"/>
          <w:jc w:val="center"/>
        </w:trPr>
        <w:tc>
          <w:tcPr>
            <w:tcW w:w="3256" w:type="dxa"/>
            <w:shd w:val="clear" w:color="auto" w:fill="auto"/>
            <w:noWrap/>
            <w:vAlign w:val="bottom"/>
            <w:hideMark/>
          </w:tcPr>
          <w:p w:rsidR="0024547C" w:rsidRPr="00104F4B" w:rsidRDefault="0024547C" w:rsidP="0024547C">
            <w:pPr>
              <w:rPr>
                <w:rFonts w:cs="Arial"/>
                <w:color w:val="000000"/>
                <w:sz w:val="16"/>
                <w:szCs w:val="16"/>
                <w:lang w:eastAsia="es-CO"/>
              </w:rPr>
            </w:pPr>
            <w:r w:rsidRPr="00104F4B">
              <w:rPr>
                <w:rFonts w:cs="Arial"/>
                <w:color w:val="000000"/>
                <w:sz w:val="16"/>
                <w:szCs w:val="16"/>
                <w:lang w:eastAsia="es-CO"/>
              </w:rPr>
              <w:t>AUDIENCIA</w:t>
            </w:r>
          </w:p>
        </w:tc>
        <w:tc>
          <w:tcPr>
            <w:tcW w:w="1701" w:type="dxa"/>
            <w:shd w:val="clear" w:color="auto" w:fill="auto"/>
            <w:noWrap/>
            <w:vAlign w:val="bottom"/>
            <w:hideMark/>
          </w:tcPr>
          <w:p w:rsidR="0024547C" w:rsidRPr="00104F4B" w:rsidRDefault="0024547C" w:rsidP="0024547C">
            <w:pPr>
              <w:jc w:val="center"/>
              <w:rPr>
                <w:rFonts w:cs="Arial"/>
                <w:color w:val="000000"/>
                <w:sz w:val="16"/>
                <w:szCs w:val="16"/>
                <w:lang w:eastAsia="es-CO"/>
              </w:rPr>
            </w:pPr>
            <w:r w:rsidRPr="00104F4B">
              <w:rPr>
                <w:rFonts w:cs="Arial"/>
                <w:color w:val="000000"/>
                <w:sz w:val="16"/>
                <w:szCs w:val="16"/>
                <w:lang w:eastAsia="es-CO"/>
              </w:rPr>
              <w:t>14</w:t>
            </w:r>
          </w:p>
        </w:tc>
      </w:tr>
      <w:tr w:rsidR="0024547C" w:rsidRPr="00104F4B" w:rsidTr="0024547C">
        <w:trPr>
          <w:trHeight w:val="255"/>
          <w:jc w:val="center"/>
        </w:trPr>
        <w:tc>
          <w:tcPr>
            <w:tcW w:w="3256" w:type="dxa"/>
            <w:shd w:val="clear" w:color="auto" w:fill="auto"/>
            <w:noWrap/>
            <w:vAlign w:val="bottom"/>
            <w:hideMark/>
          </w:tcPr>
          <w:p w:rsidR="0024547C" w:rsidRPr="00104F4B" w:rsidRDefault="0024547C" w:rsidP="0024547C">
            <w:pPr>
              <w:rPr>
                <w:rFonts w:cs="Arial"/>
                <w:color w:val="000000"/>
                <w:sz w:val="16"/>
                <w:szCs w:val="16"/>
                <w:lang w:eastAsia="es-CO"/>
              </w:rPr>
            </w:pPr>
            <w:r w:rsidRPr="00104F4B">
              <w:rPr>
                <w:rFonts w:cs="Arial"/>
                <w:color w:val="000000"/>
                <w:sz w:val="16"/>
                <w:szCs w:val="16"/>
                <w:lang w:eastAsia="es-CO"/>
              </w:rPr>
              <w:t>PREVIA</w:t>
            </w:r>
          </w:p>
        </w:tc>
        <w:tc>
          <w:tcPr>
            <w:tcW w:w="1701" w:type="dxa"/>
            <w:shd w:val="clear" w:color="auto" w:fill="auto"/>
            <w:noWrap/>
            <w:vAlign w:val="bottom"/>
            <w:hideMark/>
          </w:tcPr>
          <w:p w:rsidR="0024547C" w:rsidRPr="00104F4B" w:rsidRDefault="0024547C" w:rsidP="0024547C">
            <w:pPr>
              <w:jc w:val="center"/>
              <w:rPr>
                <w:rFonts w:cs="Arial"/>
                <w:color w:val="000000"/>
                <w:sz w:val="16"/>
                <w:szCs w:val="16"/>
                <w:lang w:eastAsia="es-CO"/>
              </w:rPr>
            </w:pPr>
            <w:r w:rsidRPr="00104F4B">
              <w:rPr>
                <w:rFonts w:cs="Arial"/>
                <w:color w:val="000000"/>
                <w:sz w:val="16"/>
                <w:szCs w:val="16"/>
                <w:lang w:eastAsia="es-CO"/>
              </w:rPr>
              <w:t>2</w:t>
            </w:r>
          </w:p>
        </w:tc>
      </w:tr>
      <w:tr w:rsidR="0024547C" w:rsidRPr="00104F4B" w:rsidTr="0024547C">
        <w:trPr>
          <w:trHeight w:val="255"/>
          <w:jc w:val="center"/>
        </w:trPr>
        <w:tc>
          <w:tcPr>
            <w:tcW w:w="3256" w:type="dxa"/>
            <w:shd w:val="clear" w:color="auto" w:fill="auto"/>
            <w:noWrap/>
            <w:vAlign w:val="bottom"/>
            <w:hideMark/>
          </w:tcPr>
          <w:p w:rsidR="0024547C" w:rsidRPr="00104F4B" w:rsidRDefault="0024547C" w:rsidP="0024547C">
            <w:pPr>
              <w:rPr>
                <w:rFonts w:cs="Arial"/>
                <w:color w:val="000000"/>
                <w:sz w:val="16"/>
                <w:szCs w:val="16"/>
                <w:lang w:eastAsia="es-CO"/>
              </w:rPr>
            </w:pPr>
            <w:r w:rsidRPr="00104F4B">
              <w:rPr>
                <w:rFonts w:cs="Arial"/>
                <w:color w:val="000000"/>
                <w:sz w:val="16"/>
                <w:szCs w:val="16"/>
                <w:lang w:eastAsia="es-CO"/>
              </w:rPr>
              <w:t>SANCIONADO EN COBRO</w:t>
            </w:r>
          </w:p>
        </w:tc>
        <w:tc>
          <w:tcPr>
            <w:tcW w:w="1701" w:type="dxa"/>
            <w:shd w:val="clear" w:color="auto" w:fill="auto"/>
            <w:noWrap/>
            <w:vAlign w:val="bottom"/>
            <w:hideMark/>
          </w:tcPr>
          <w:p w:rsidR="0024547C" w:rsidRPr="00104F4B" w:rsidRDefault="0024547C" w:rsidP="0024547C">
            <w:pPr>
              <w:jc w:val="center"/>
              <w:rPr>
                <w:rFonts w:cs="Arial"/>
                <w:color w:val="000000"/>
                <w:sz w:val="16"/>
                <w:szCs w:val="16"/>
                <w:lang w:eastAsia="es-CO"/>
              </w:rPr>
            </w:pPr>
            <w:r w:rsidRPr="00104F4B">
              <w:rPr>
                <w:rFonts w:cs="Arial"/>
                <w:color w:val="000000"/>
                <w:sz w:val="16"/>
                <w:szCs w:val="16"/>
                <w:lang w:eastAsia="es-CO"/>
              </w:rPr>
              <w:t>4</w:t>
            </w:r>
          </w:p>
        </w:tc>
      </w:tr>
      <w:tr w:rsidR="0024547C" w:rsidRPr="00104F4B" w:rsidTr="0024547C">
        <w:trPr>
          <w:trHeight w:val="255"/>
          <w:jc w:val="center"/>
        </w:trPr>
        <w:tc>
          <w:tcPr>
            <w:tcW w:w="3256" w:type="dxa"/>
            <w:shd w:val="clear" w:color="auto" w:fill="auto"/>
            <w:noWrap/>
            <w:vAlign w:val="bottom"/>
            <w:hideMark/>
          </w:tcPr>
          <w:p w:rsidR="0024547C" w:rsidRPr="00104F4B" w:rsidRDefault="0024547C" w:rsidP="0024547C">
            <w:pPr>
              <w:rPr>
                <w:rFonts w:cs="Arial"/>
                <w:color w:val="000000"/>
                <w:sz w:val="16"/>
                <w:szCs w:val="16"/>
                <w:lang w:eastAsia="es-CO"/>
              </w:rPr>
            </w:pPr>
            <w:r w:rsidRPr="00104F4B">
              <w:rPr>
                <w:rFonts w:cs="Arial"/>
                <w:color w:val="000000"/>
                <w:sz w:val="16"/>
                <w:szCs w:val="16"/>
                <w:lang w:eastAsia="es-CO"/>
              </w:rPr>
              <w:t>SANCIONADO EN COBRO JUDICIAL</w:t>
            </w:r>
          </w:p>
        </w:tc>
        <w:tc>
          <w:tcPr>
            <w:tcW w:w="1701" w:type="dxa"/>
            <w:shd w:val="clear" w:color="auto" w:fill="auto"/>
            <w:noWrap/>
            <w:vAlign w:val="bottom"/>
            <w:hideMark/>
          </w:tcPr>
          <w:p w:rsidR="0024547C" w:rsidRPr="00104F4B" w:rsidRDefault="0024547C" w:rsidP="0024547C">
            <w:pPr>
              <w:jc w:val="center"/>
              <w:rPr>
                <w:rFonts w:cs="Arial"/>
                <w:color w:val="000000"/>
                <w:sz w:val="16"/>
                <w:szCs w:val="16"/>
                <w:lang w:eastAsia="es-CO"/>
              </w:rPr>
            </w:pPr>
            <w:r w:rsidRPr="00104F4B">
              <w:rPr>
                <w:rFonts w:cs="Arial"/>
                <w:color w:val="000000"/>
                <w:sz w:val="16"/>
                <w:szCs w:val="16"/>
                <w:lang w:eastAsia="es-CO"/>
              </w:rPr>
              <w:t>1</w:t>
            </w:r>
          </w:p>
        </w:tc>
      </w:tr>
      <w:tr w:rsidR="0024547C" w:rsidRPr="00104F4B" w:rsidTr="0024547C">
        <w:trPr>
          <w:trHeight w:val="255"/>
          <w:jc w:val="center"/>
        </w:trPr>
        <w:tc>
          <w:tcPr>
            <w:tcW w:w="3256" w:type="dxa"/>
            <w:shd w:val="clear" w:color="auto" w:fill="auto"/>
            <w:noWrap/>
            <w:vAlign w:val="bottom"/>
          </w:tcPr>
          <w:p w:rsidR="0024547C" w:rsidRPr="00104F4B" w:rsidRDefault="0024547C" w:rsidP="0024547C">
            <w:pPr>
              <w:rPr>
                <w:rFonts w:cs="Arial"/>
                <w:color w:val="000000"/>
                <w:sz w:val="16"/>
                <w:szCs w:val="16"/>
                <w:lang w:eastAsia="es-CO"/>
              </w:rPr>
            </w:pPr>
            <w:r w:rsidRPr="00104F4B">
              <w:rPr>
                <w:rFonts w:cs="Arial"/>
                <w:color w:val="000000"/>
                <w:sz w:val="16"/>
                <w:szCs w:val="16"/>
                <w:lang w:eastAsia="es-CO"/>
              </w:rPr>
              <w:t>SANCIONADO PAGO</w:t>
            </w:r>
          </w:p>
        </w:tc>
        <w:tc>
          <w:tcPr>
            <w:tcW w:w="1701" w:type="dxa"/>
            <w:shd w:val="clear" w:color="auto" w:fill="auto"/>
            <w:noWrap/>
            <w:vAlign w:val="bottom"/>
          </w:tcPr>
          <w:p w:rsidR="0024547C" w:rsidRPr="00104F4B" w:rsidRDefault="0024547C" w:rsidP="0024547C">
            <w:pPr>
              <w:jc w:val="center"/>
              <w:rPr>
                <w:rFonts w:cs="Arial"/>
                <w:color w:val="000000"/>
                <w:sz w:val="16"/>
                <w:szCs w:val="16"/>
                <w:lang w:eastAsia="es-CO"/>
              </w:rPr>
            </w:pPr>
            <w:r w:rsidRPr="00104F4B">
              <w:rPr>
                <w:rFonts w:cs="Arial"/>
                <w:color w:val="000000"/>
                <w:sz w:val="16"/>
                <w:szCs w:val="16"/>
                <w:lang w:eastAsia="es-CO"/>
              </w:rPr>
              <w:t>1</w:t>
            </w:r>
          </w:p>
        </w:tc>
      </w:tr>
      <w:tr w:rsidR="0024547C" w:rsidRPr="00104F4B" w:rsidTr="0024547C">
        <w:trPr>
          <w:trHeight w:val="255"/>
          <w:jc w:val="center"/>
        </w:trPr>
        <w:tc>
          <w:tcPr>
            <w:tcW w:w="3256" w:type="dxa"/>
            <w:shd w:val="clear" w:color="auto" w:fill="auto"/>
            <w:noWrap/>
            <w:vAlign w:val="bottom"/>
          </w:tcPr>
          <w:p w:rsidR="0024547C" w:rsidRPr="00104F4B" w:rsidRDefault="0024547C" w:rsidP="0024547C">
            <w:pPr>
              <w:rPr>
                <w:rFonts w:cs="Arial"/>
                <w:color w:val="000000"/>
                <w:sz w:val="16"/>
                <w:szCs w:val="16"/>
                <w:lang w:eastAsia="es-CO"/>
              </w:rPr>
            </w:pPr>
            <w:r w:rsidRPr="00104F4B">
              <w:rPr>
                <w:rFonts w:cs="Arial"/>
                <w:color w:val="000000"/>
                <w:sz w:val="16"/>
                <w:szCs w:val="16"/>
                <w:lang w:eastAsia="es-CO"/>
              </w:rPr>
              <w:t>CERRADO</w:t>
            </w:r>
          </w:p>
        </w:tc>
        <w:tc>
          <w:tcPr>
            <w:tcW w:w="1701" w:type="dxa"/>
            <w:shd w:val="clear" w:color="auto" w:fill="auto"/>
            <w:noWrap/>
            <w:vAlign w:val="bottom"/>
          </w:tcPr>
          <w:p w:rsidR="0024547C" w:rsidRPr="00104F4B" w:rsidRDefault="0024547C" w:rsidP="0024547C">
            <w:pPr>
              <w:jc w:val="center"/>
              <w:rPr>
                <w:rFonts w:cs="Arial"/>
                <w:color w:val="000000"/>
                <w:sz w:val="16"/>
                <w:szCs w:val="16"/>
                <w:lang w:eastAsia="es-CO"/>
              </w:rPr>
            </w:pPr>
            <w:r w:rsidRPr="00104F4B">
              <w:rPr>
                <w:rFonts w:cs="Arial"/>
                <w:color w:val="000000"/>
                <w:sz w:val="16"/>
                <w:szCs w:val="16"/>
                <w:lang w:eastAsia="es-CO"/>
              </w:rPr>
              <w:t>10</w:t>
            </w:r>
          </w:p>
        </w:tc>
      </w:tr>
      <w:tr w:rsidR="0024547C" w:rsidRPr="00104F4B" w:rsidTr="0024547C">
        <w:trPr>
          <w:trHeight w:val="255"/>
          <w:jc w:val="center"/>
        </w:trPr>
        <w:tc>
          <w:tcPr>
            <w:tcW w:w="3256" w:type="dxa"/>
            <w:shd w:val="clear" w:color="auto" w:fill="auto"/>
            <w:noWrap/>
            <w:vAlign w:val="bottom"/>
            <w:hideMark/>
          </w:tcPr>
          <w:p w:rsidR="0024547C" w:rsidRPr="00104F4B" w:rsidRDefault="0024547C" w:rsidP="0024547C">
            <w:pPr>
              <w:jc w:val="center"/>
              <w:rPr>
                <w:rFonts w:cs="Arial"/>
                <w:b/>
                <w:color w:val="000000"/>
                <w:sz w:val="16"/>
                <w:szCs w:val="16"/>
                <w:lang w:eastAsia="es-CO"/>
              </w:rPr>
            </w:pPr>
            <w:r w:rsidRPr="00104F4B">
              <w:rPr>
                <w:rFonts w:cs="Arial"/>
                <w:b/>
                <w:color w:val="000000"/>
                <w:sz w:val="16"/>
                <w:szCs w:val="16"/>
                <w:lang w:eastAsia="es-CO"/>
              </w:rPr>
              <w:t>TOTAL</w:t>
            </w:r>
          </w:p>
        </w:tc>
        <w:tc>
          <w:tcPr>
            <w:tcW w:w="1701" w:type="dxa"/>
            <w:shd w:val="clear" w:color="auto" w:fill="auto"/>
            <w:noWrap/>
            <w:vAlign w:val="bottom"/>
            <w:hideMark/>
          </w:tcPr>
          <w:p w:rsidR="0024547C" w:rsidRPr="00104F4B" w:rsidRDefault="0024547C" w:rsidP="0024547C">
            <w:pPr>
              <w:jc w:val="center"/>
              <w:rPr>
                <w:rFonts w:cs="Arial"/>
                <w:b/>
                <w:color w:val="000000"/>
                <w:sz w:val="16"/>
                <w:szCs w:val="16"/>
                <w:lang w:eastAsia="es-CO"/>
              </w:rPr>
            </w:pPr>
            <w:r w:rsidRPr="00104F4B">
              <w:rPr>
                <w:rFonts w:cs="Arial"/>
                <w:b/>
                <w:color w:val="000000"/>
                <w:sz w:val="16"/>
                <w:szCs w:val="16"/>
                <w:lang w:eastAsia="es-CO"/>
              </w:rPr>
              <w:t>32</w:t>
            </w:r>
          </w:p>
        </w:tc>
      </w:tr>
    </w:tbl>
    <w:p w:rsidR="0024547C" w:rsidRPr="00104F4B" w:rsidRDefault="0024547C" w:rsidP="0024547C">
      <w:pPr>
        <w:jc w:val="center"/>
        <w:rPr>
          <w:rFonts w:cs="Arial"/>
          <w:sz w:val="16"/>
          <w:szCs w:val="16"/>
        </w:rPr>
      </w:pPr>
      <w:r w:rsidRPr="00104F4B">
        <w:rPr>
          <w:rFonts w:cs="Arial"/>
          <w:sz w:val="16"/>
          <w:szCs w:val="16"/>
        </w:rPr>
        <w:t>DTGC –Procedimientos administrativos sancionatorios que continúan en trámite del 2017.</w:t>
      </w:r>
    </w:p>
    <w:p w:rsidR="0024547C" w:rsidRPr="00104F4B" w:rsidRDefault="0024547C" w:rsidP="0024547C">
      <w:pPr>
        <w:rPr>
          <w:rFonts w:cs="Arial"/>
          <w:szCs w:val="22"/>
        </w:rPr>
      </w:pPr>
      <w:r w:rsidRPr="00104F4B">
        <w:rPr>
          <w:rFonts w:cs="Arial"/>
          <w:szCs w:val="22"/>
        </w:rPr>
        <w:t xml:space="preserve">La Dirección Técnica de Gestión Contractual cierra la vigencia 2018 con el trámite de 85 Procedimientos Administrativos Sancionatorios con los siguientes estados: </w:t>
      </w:r>
    </w:p>
    <w:p w:rsidR="0024547C" w:rsidRPr="00104F4B" w:rsidRDefault="0024547C" w:rsidP="0024547C">
      <w:pPr>
        <w:pStyle w:val="Prrafodelista"/>
        <w:ind w:left="284"/>
        <w:rPr>
          <w:rFonts w:ascii="Arial" w:eastAsia="Times New Roman" w:hAnsi="Arial" w:cs="Arial"/>
          <w:lang w:eastAsia="es-ES"/>
        </w:rPr>
      </w:pPr>
    </w:p>
    <w:tbl>
      <w:tblPr>
        <w:tblW w:w="49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114"/>
        <w:gridCol w:w="1843"/>
      </w:tblGrid>
      <w:tr w:rsidR="0024547C" w:rsidRPr="00104F4B" w:rsidTr="0024547C">
        <w:trPr>
          <w:trHeight w:val="255"/>
          <w:jc w:val="center"/>
        </w:trPr>
        <w:tc>
          <w:tcPr>
            <w:tcW w:w="3114" w:type="dxa"/>
            <w:shd w:val="clear" w:color="auto" w:fill="auto"/>
            <w:noWrap/>
            <w:vAlign w:val="center"/>
            <w:hideMark/>
          </w:tcPr>
          <w:p w:rsidR="0024547C" w:rsidRPr="00104F4B" w:rsidRDefault="0024547C" w:rsidP="0024547C">
            <w:pPr>
              <w:jc w:val="center"/>
              <w:rPr>
                <w:rFonts w:cs="Arial"/>
                <w:b/>
                <w:color w:val="000000"/>
                <w:sz w:val="16"/>
                <w:szCs w:val="16"/>
                <w:lang w:eastAsia="es-CO"/>
              </w:rPr>
            </w:pPr>
            <w:r w:rsidRPr="00104F4B">
              <w:rPr>
                <w:rFonts w:cs="Arial"/>
                <w:b/>
                <w:color w:val="000000"/>
                <w:sz w:val="16"/>
                <w:szCs w:val="16"/>
                <w:lang w:eastAsia="es-CO"/>
              </w:rPr>
              <w:lastRenderedPageBreak/>
              <w:t>ESTADO</w:t>
            </w:r>
          </w:p>
        </w:tc>
        <w:tc>
          <w:tcPr>
            <w:tcW w:w="1843" w:type="dxa"/>
            <w:shd w:val="clear" w:color="auto" w:fill="auto"/>
            <w:noWrap/>
            <w:vAlign w:val="center"/>
            <w:hideMark/>
          </w:tcPr>
          <w:p w:rsidR="0024547C" w:rsidRPr="00104F4B" w:rsidRDefault="0024547C" w:rsidP="0024547C">
            <w:pPr>
              <w:jc w:val="center"/>
              <w:rPr>
                <w:rFonts w:cs="Arial"/>
                <w:b/>
                <w:color w:val="000000"/>
                <w:sz w:val="16"/>
                <w:szCs w:val="16"/>
                <w:lang w:eastAsia="es-CO"/>
              </w:rPr>
            </w:pPr>
            <w:r w:rsidRPr="00104F4B">
              <w:rPr>
                <w:rFonts w:cs="Arial"/>
                <w:b/>
                <w:color w:val="000000"/>
                <w:sz w:val="16"/>
                <w:szCs w:val="16"/>
                <w:lang w:eastAsia="es-CO"/>
              </w:rPr>
              <w:t>TOTAL POR ESTADO</w:t>
            </w:r>
          </w:p>
        </w:tc>
      </w:tr>
      <w:tr w:rsidR="0024547C" w:rsidRPr="00104F4B" w:rsidTr="0024547C">
        <w:trPr>
          <w:trHeight w:val="255"/>
          <w:jc w:val="center"/>
        </w:trPr>
        <w:tc>
          <w:tcPr>
            <w:tcW w:w="3114" w:type="dxa"/>
            <w:shd w:val="clear" w:color="auto" w:fill="auto"/>
            <w:noWrap/>
            <w:vAlign w:val="bottom"/>
            <w:hideMark/>
          </w:tcPr>
          <w:p w:rsidR="0024547C" w:rsidRPr="00104F4B" w:rsidRDefault="0024547C" w:rsidP="0024547C">
            <w:pPr>
              <w:rPr>
                <w:rFonts w:cs="Arial"/>
                <w:color w:val="000000"/>
                <w:sz w:val="16"/>
                <w:szCs w:val="16"/>
                <w:lang w:eastAsia="es-CO"/>
              </w:rPr>
            </w:pPr>
            <w:r w:rsidRPr="00104F4B">
              <w:rPr>
                <w:rFonts w:cs="Arial"/>
                <w:color w:val="000000"/>
                <w:sz w:val="16"/>
                <w:szCs w:val="16"/>
                <w:lang w:eastAsia="es-CO"/>
              </w:rPr>
              <w:t>AUDIENCIA</w:t>
            </w:r>
          </w:p>
        </w:tc>
        <w:tc>
          <w:tcPr>
            <w:tcW w:w="1843" w:type="dxa"/>
            <w:shd w:val="clear" w:color="auto" w:fill="auto"/>
            <w:noWrap/>
            <w:vAlign w:val="bottom"/>
            <w:hideMark/>
          </w:tcPr>
          <w:p w:rsidR="0024547C" w:rsidRPr="00104F4B" w:rsidRDefault="0024547C" w:rsidP="0024547C">
            <w:pPr>
              <w:jc w:val="center"/>
              <w:rPr>
                <w:rFonts w:cs="Arial"/>
                <w:color w:val="000000"/>
                <w:sz w:val="16"/>
                <w:szCs w:val="16"/>
                <w:lang w:eastAsia="es-CO"/>
              </w:rPr>
            </w:pPr>
            <w:r w:rsidRPr="00104F4B">
              <w:rPr>
                <w:rFonts w:cs="Arial"/>
                <w:color w:val="000000"/>
                <w:sz w:val="16"/>
                <w:szCs w:val="16"/>
                <w:lang w:eastAsia="es-CO"/>
              </w:rPr>
              <w:t>38</w:t>
            </w:r>
          </w:p>
        </w:tc>
      </w:tr>
      <w:tr w:rsidR="0024547C" w:rsidRPr="00104F4B" w:rsidTr="0024547C">
        <w:trPr>
          <w:trHeight w:val="255"/>
          <w:jc w:val="center"/>
        </w:trPr>
        <w:tc>
          <w:tcPr>
            <w:tcW w:w="3114" w:type="dxa"/>
            <w:shd w:val="clear" w:color="auto" w:fill="auto"/>
            <w:noWrap/>
            <w:vAlign w:val="bottom"/>
            <w:hideMark/>
          </w:tcPr>
          <w:p w:rsidR="0024547C" w:rsidRPr="00104F4B" w:rsidRDefault="0024547C" w:rsidP="0024547C">
            <w:pPr>
              <w:rPr>
                <w:rFonts w:cs="Arial"/>
                <w:color w:val="000000"/>
                <w:sz w:val="16"/>
                <w:szCs w:val="16"/>
                <w:lang w:eastAsia="es-CO"/>
              </w:rPr>
            </w:pPr>
            <w:r w:rsidRPr="00104F4B">
              <w:rPr>
                <w:rFonts w:cs="Arial"/>
                <w:color w:val="000000"/>
                <w:sz w:val="16"/>
                <w:szCs w:val="16"/>
                <w:lang w:eastAsia="es-CO"/>
              </w:rPr>
              <w:t>PREVIA</w:t>
            </w:r>
          </w:p>
        </w:tc>
        <w:tc>
          <w:tcPr>
            <w:tcW w:w="1843" w:type="dxa"/>
            <w:shd w:val="clear" w:color="auto" w:fill="auto"/>
            <w:noWrap/>
            <w:vAlign w:val="bottom"/>
            <w:hideMark/>
          </w:tcPr>
          <w:p w:rsidR="0024547C" w:rsidRPr="00104F4B" w:rsidRDefault="0024547C" w:rsidP="0024547C">
            <w:pPr>
              <w:jc w:val="center"/>
              <w:rPr>
                <w:rFonts w:cs="Arial"/>
                <w:color w:val="000000"/>
                <w:sz w:val="16"/>
                <w:szCs w:val="16"/>
                <w:lang w:eastAsia="es-CO"/>
              </w:rPr>
            </w:pPr>
            <w:r w:rsidRPr="00104F4B">
              <w:rPr>
                <w:rFonts w:cs="Arial"/>
                <w:color w:val="000000"/>
                <w:sz w:val="16"/>
                <w:szCs w:val="16"/>
                <w:lang w:eastAsia="es-CO"/>
              </w:rPr>
              <w:t>41</w:t>
            </w:r>
          </w:p>
        </w:tc>
      </w:tr>
      <w:tr w:rsidR="0024547C" w:rsidRPr="00104F4B" w:rsidTr="0024547C">
        <w:trPr>
          <w:trHeight w:val="255"/>
          <w:jc w:val="center"/>
        </w:trPr>
        <w:tc>
          <w:tcPr>
            <w:tcW w:w="3114" w:type="dxa"/>
            <w:shd w:val="clear" w:color="auto" w:fill="auto"/>
            <w:noWrap/>
            <w:vAlign w:val="bottom"/>
            <w:hideMark/>
          </w:tcPr>
          <w:p w:rsidR="0024547C" w:rsidRPr="00104F4B" w:rsidRDefault="0024547C" w:rsidP="0024547C">
            <w:pPr>
              <w:rPr>
                <w:rFonts w:cs="Arial"/>
                <w:color w:val="000000"/>
                <w:sz w:val="16"/>
                <w:szCs w:val="16"/>
                <w:lang w:eastAsia="es-CO"/>
              </w:rPr>
            </w:pPr>
            <w:r w:rsidRPr="00104F4B">
              <w:rPr>
                <w:rFonts w:cs="Arial"/>
                <w:color w:val="000000"/>
                <w:sz w:val="16"/>
                <w:szCs w:val="16"/>
                <w:lang w:eastAsia="es-CO"/>
              </w:rPr>
              <w:t>SANCIONADO EN COBRO</w:t>
            </w:r>
          </w:p>
        </w:tc>
        <w:tc>
          <w:tcPr>
            <w:tcW w:w="1843" w:type="dxa"/>
            <w:shd w:val="clear" w:color="auto" w:fill="auto"/>
            <w:noWrap/>
            <w:vAlign w:val="bottom"/>
            <w:hideMark/>
          </w:tcPr>
          <w:p w:rsidR="0024547C" w:rsidRPr="00104F4B" w:rsidRDefault="0024547C" w:rsidP="0024547C">
            <w:pPr>
              <w:jc w:val="center"/>
              <w:rPr>
                <w:rFonts w:cs="Arial"/>
                <w:color w:val="000000"/>
                <w:sz w:val="16"/>
                <w:szCs w:val="16"/>
                <w:lang w:eastAsia="es-CO"/>
              </w:rPr>
            </w:pPr>
            <w:r w:rsidRPr="00104F4B">
              <w:rPr>
                <w:rFonts w:cs="Arial"/>
                <w:color w:val="000000"/>
                <w:sz w:val="16"/>
                <w:szCs w:val="16"/>
                <w:lang w:eastAsia="es-CO"/>
              </w:rPr>
              <w:t>6</w:t>
            </w:r>
          </w:p>
        </w:tc>
      </w:tr>
      <w:tr w:rsidR="0024547C" w:rsidRPr="00104F4B" w:rsidTr="0024547C">
        <w:trPr>
          <w:trHeight w:val="255"/>
          <w:jc w:val="center"/>
        </w:trPr>
        <w:tc>
          <w:tcPr>
            <w:tcW w:w="3114" w:type="dxa"/>
            <w:shd w:val="clear" w:color="auto" w:fill="auto"/>
            <w:noWrap/>
            <w:vAlign w:val="bottom"/>
            <w:hideMark/>
          </w:tcPr>
          <w:p w:rsidR="0024547C" w:rsidRPr="00104F4B" w:rsidRDefault="0024547C" w:rsidP="0024547C">
            <w:pPr>
              <w:jc w:val="center"/>
              <w:rPr>
                <w:rFonts w:cs="Arial"/>
                <w:b/>
                <w:color w:val="000000"/>
                <w:sz w:val="16"/>
                <w:szCs w:val="16"/>
                <w:lang w:eastAsia="es-CO"/>
              </w:rPr>
            </w:pPr>
            <w:r w:rsidRPr="00104F4B">
              <w:rPr>
                <w:rFonts w:cs="Arial"/>
                <w:b/>
                <w:color w:val="000000"/>
                <w:sz w:val="16"/>
                <w:szCs w:val="16"/>
                <w:lang w:eastAsia="es-CO"/>
              </w:rPr>
              <w:t>TOTAL</w:t>
            </w:r>
          </w:p>
        </w:tc>
        <w:tc>
          <w:tcPr>
            <w:tcW w:w="1843" w:type="dxa"/>
            <w:shd w:val="clear" w:color="auto" w:fill="auto"/>
            <w:noWrap/>
            <w:vAlign w:val="bottom"/>
            <w:hideMark/>
          </w:tcPr>
          <w:p w:rsidR="0024547C" w:rsidRPr="00104F4B" w:rsidRDefault="0024547C" w:rsidP="0024547C">
            <w:pPr>
              <w:jc w:val="center"/>
              <w:rPr>
                <w:rFonts w:cs="Arial"/>
                <w:b/>
                <w:color w:val="000000"/>
                <w:sz w:val="16"/>
                <w:szCs w:val="16"/>
                <w:lang w:eastAsia="es-CO"/>
              </w:rPr>
            </w:pPr>
            <w:r w:rsidRPr="00104F4B">
              <w:rPr>
                <w:rFonts w:cs="Arial"/>
                <w:b/>
                <w:color w:val="000000"/>
                <w:sz w:val="16"/>
                <w:szCs w:val="16"/>
                <w:lang w:eastAsia="es-CO"/>
              </w:rPr>
              <w:t>85</w:t>
            </w:r>
          </w:p>
        </w:tc>
      </w:tr>
    </w:tbl>
    <w:p w:rsidR="0024547C" w:rsidRPr="00104F4B" w:rsidRDefault="0024547C" w:rsidP="0024547C">
      <w:pPr>
        <w:jc w:val="center"/>
        <w:rPr>
          <w:rFonts w:cs="Arial"/>
          <w:sz w:val="16"/>
          <w:szCs w:val="16"/>
        </w:rPr>
      </w:pPr>
      <w:r w:rsidRPr="00104F4B">
        <w:rPr>
          <w:rFonts w:cs="Arial"/>
          <w:sz w:val="16"/>
          <w:szCs w:val="16"/>
        </w:rPr>
        <w:t>DTGC – Estado de procedimientos administrativos sancionatorios 2018.</w:t>
      </w:r>
    </w:p>
    <w:p w:rsidR="0024547C" w:rsidRDefault="0024547C" w:rsidP="0024547C">
      <w:pPr>
        <w:rPr>
          <w:rFonts w:cs="Arial"/>
          <w:szCs w:val="22"/>
        </w:rPr>
      </w:pPr>
      <w:r w:rsidRPr="00104F4B">
        <w:rPr>
          <w:rFonts w:cs="Arial"/>
          <w:szCs w:val="22"/>
        </w:rPr>
        <w:t>Durante la vigencia 2018 se impusieron nueve (9) sanciones discriminadas como se presenta a continuación:</w:t>
      </w:r>
    </w:p>
    <w:p w:rsidR="006D18D6" w:rsidRPr="00104F4B" w:rsidRDefault="006D18D6" w:rsidP="0024547C">
      <w:pPr>
        <w:rPr>
          <w:rFonts w:cs="Arial"/>
          <w:szCs w:val="22"/>
        </w:rPr>
      </w:pPr>
    </w:p>
    <w:tbl>
      <w:tblPr>
        <w:tblStyle w:val="Tablaconcuadrcula"/>
        <w:tblW w:w="0" w:type="auto"/>
        <w:tblLook w:val="04A0" w:firstRow="1" w:lastRow="0" w:firstColumn="1" w:lastColumn="0" w:noHBand="0" w:noVBand="1"/>
      </w:tblPr>
      <w:tblGrid>
        <w:gridCol w:w="3263"/>
        <w:gridCol w:w="2597"/>
        <w:gridCol w:w="3534"/>
      </w:tblGrid>
      <w:tr w:rsidR="0024547C" w:rsidRPr="00104F4B" w:rsidTr="0024547C">
        <w:tc>
          <w:tcPr>
            <w:tcW w:w="3263" w:type="dxa"/>
          </w:tcPr>
          <w:p w:rsidR="0024547C" w:rsidRPr="00104F4B" w:rsidRDefault="0024547C" w:rsidP="0024547C">
            <w:pPr>
              <w:jc w:val="center"/>
              <w:rPr>
                <w:rFonts w:cs="Arial"/>
                <w:b/>
                <w:sz w:val="16"/>
                <w:szCs w:val="16"/>
              </w:rPr>
            </w:pPr>
            <w:r w:rsidRPr="00104F4B">
              <w:rPr>
                <w:rFonts w:cs="Arial"/>
                <w:b/>
                <w:sz w:val="16"/>
                <w:szCs w:val="16"/>
              </w:rPr>
              <w:t>TIPO SANCIÓN</w:t>
            </w:r>
          </w:p>
        </w:tc>
        <w:tc>
          <w:tcPr>
            <w:tcW w:w="2597" w:type="dxa"/>
          </w:tcPr>
          <w:p w:rsidR="0024547C" w:rsidRPr="00104F4B" w:rsidRDefault="0024547C" w:rsidP="0024547C">
            <w:pPr>
              <w:jc w:val="center"/>
              <w:rPr>
                <w:rFonts w:cs="Arial"/>
                <w:b/>
                <w:sz w:val="16"/>
                <w:szCs w:val="16"/>
              </w:rPr>
            </w:pPr>
            <w:r w:rsidRPr="00104F4B">
              <w:rPr>
                <w:rFonts w:cs="Arial"/>
                <w:b/>
                <w:sz w:val="16"/>
                <w:szCs w:val="16"/>
              </w:rPr>
              <w:t>NUMERO</w:t>
            </w:r>
          </w:p>
        </w:tc>
        <w:tc>
          <w:tcPr>
            <w:tcW w:w="3534" w:type="dxa"/>
          </w:tcPr>
          <w:p w:rsidR="0024547C" w:rsidRPr="00104F4B" w:rsidRDefault="0024547C" w:rsidP="0024547C">
            <w:pPr>
              <w:jc w:val="center"/>
              <w:rPr>
                <w:rFonts w:cs="Arial"/>
                <w:b/>
                <w:sz w:val="16"/>
                <w:szCs w:val="16"/>
              </w:rPr>
            </w:pPr>
            <w:r w:rsidRPr="00104F4B">
              <w:rPr>
                <w:rFonts w:cs="Arial"/>
                <w:b/>
                <w:sz w:val="16"/>
                <w:szCs w:val="16"/>
              </w:rPr>
              <w:t>VALOR</w:t>
            </w:r>
          </w:p>
        </w:tc>
      </w:tr>
      <w:tr w:rsidR="0024547C" w:rsidRPr="00104F4B" w:rsidTr="0024547C">
        <w:tc>
          <w:tcPr>
            <w:tcW w:w="3263" w:type="dxa"/>
          </w:tcPr>
          <w:p w:rsidR="0024547C" w:rsidRPr="00104F4B" w:rsidRDefault="0024547C" w:rsidP="0024547C">
            <w:pPr>
              <w:jc w:val="center"/>
              <w:rPr>
                <w:rFonts w:cs="Arial"/>
                <w:sz w:val="16"/>
                <w:szCs w:val="16"/>
              </w:rPr>
            </w:pPr>
            <w:r w:rsidRPr="00104F4B">
              <w:rPr>
                <w:rFonts w:cs="Arial"/>
                <w:sz w:val="16"/>
                <w:szCs w:val="16"/>
              </w:rPr>
              <w:t>MULTA</w:t>
            </w:r>
          </w:p>
        </w:tc>
        <w:tc>
          <w:tcPr>
            <w:tcW w:w="2597" w:type="dxa"/>
          </w:tcPr>
          <w:p w:rsidR="0024547C" w:rsidRPr="00104F4B" w:rsidRDefault="0024547C" w:rsidP="0024547C">
            <w:pPr>
              <w:jc w:val="center"/>
              <w:rPr>
                <w:rFonts w:cs="Arial"/>
                <w:sz w:val="16"/>
                <w:szCs w:val="16"/>
              </w:rPr>
            </w:pPr>
            <w:r w:rsidRPr="00104F4B">
              <w:rPr>
                <w:rFonts w:cs="Arial"/>
                <w:sz w:val="16"/>
                <w:szCs w:val="16"/>
              </w:rPr>
              <w:t>4</w:t>
            </w:r>
          </w:p>
        </w:tc>
        <w:tc>
          <w:tcPr>
            <w:tcW w:w="3534" w:type="dxa"/>
          </w:tcPr>
          <w:p w:rsidR="0024547C" w:rsidRPr="00104F4B" w:rsidRDefault="0024547C" w:rsidP="0024547C">
            <w:pPr>
              <w:jc w:val="center"/>
              <w:rPr>
                <w:rFonts w:cs="Arial"/>
                <w:sz w:val="16"/>
                <w:szCs w:val="16"/>
              </w:rPr>
            </w:pPr>
            <w:r w:rsidRPr="00104F4B">
              <w:rPr>
                <w:rFonts w:cs="Arial"/>
                <w:sz w:val="16"/>
                <w:szCs w:val="16"/>
              </w:rPr>
              <w:t>$1.586.169.176,00</w:t>
            </w:r>
          </w:p>
        </w:tc>
      </w:tr>
      <w:tr w:rsidR="0024547C" w:rsidRPr="00104F4B" w:rsidTr="0024547C">
        <w:tc>
          <w:tcPr>
            <w:tcW w:w="3263" w:type="dxa"/>
          </w:tcPr>
          <w:p w:rsidR="0024547C" w:rsidRPr="00104F4B" w:rsidRDefault="0024547C" w:rsidP="0024547C">
            <w:pPr>
              <w:jc w:val="center"/>
              <w:rPr>
                <w:rFonts w:cs="Arial"/>
                <w:sz w:val="16"/>
                <w:szCs w:val="16"/>
              </w:rPr>
            </w:pPr>
            <w:r w:rsidRPr="00104F4B">
              <w:rPr>
                <w:rFonts w:cs="Arial"/>
                <w:sz w:val="16"/>
                <w:szCs w:val="16"/>
              </w:rPr>
              <w:t>CLÁUSULA PENAL</w:t>
            </w:r>
          </w:p>
        </w:tc>
        <w:tc>
          <w:tcPr>
            <w:tcW w:w="2597" w:type="dxa"/>
          </w:tcPr>
          <w:p w:rsidR="0024547C" w:rsidRPr="00104F4B" w:rsidRDefault="0024547C" w:rsidP="0024547C">
            <w:pPr>
              <w:jc w:val="center"/>
              <w:rPr>
                <w:rFonts w:cs="Arial"/>
                <w:sz w:val="16"/>
                <w:szCs w:val="16"/>
              </w:rPr>
            </w:pPr>
            <w:r w:rsidRPr="00104F4B">
              <w:rPr>
                <w:rFonts w:cs="Arial"/>
                <w:sz w:val="16"/>
                <w:szCs w:val="16"/>
              </w:rPr>
              <w:t>4</w:t>
            </w:r>
          </w:p>
        </w:tc>
        <w:tc>
          <w:tcPr>
            <w:tcW w:w="3534" w:type="dxa"/>
          </w:tcPr>
          <w:p w:rsidR="0024547C" w:rsidRPr="00104F4B" w:rsidRDefault="0024547C" w:rsidP="0024547C">
            <w:pPr>
              <w:jc w:val="center"/>
              <w:rPr>
                <w:rFonts w:cs="Arial"/>
                <w:sz w:val="16"/>
                <w:szCs w:val="16"/>
              </w:rPr>
            </w:pPr>
            <w:r w:rsidRPr="00104F4B">
              <w:rPr>
                <w:rFonts w:cs="Arial"/>
                <w:sz w:val="16"/>
                <w:szCs w:val="16"/>
              </w:rPr>
              <w:t>$2.437.276.685,36</w:t>
            </w:r>
          </w:p>
        </w:tc>
      </w:tr>
      <w:tr w:rsidR="0024547C" w:rsidRPr="00104F4B" w:rsidTr="0024547C">
        <w:tc>
          <w:tcPr>
            <w:tcW w:w="3263" w:type="dxa"/>
          </w:tcPr>
          <w:p w:rsidR="0024547C" w:rsidRPr="00104F4B" w:rsidRDefault="0024547C" w:rsidP="0024547C">
            <w:pPr>
              <w:jc w:val="center"/>
              <w:rPr>
                <w:rFonts w:cs="Arial"/>
                <w:sz w:val="16"/>
                <w:szCs w:val="16"/>
              </w:rPr>
            </w:pPr>
            <w:r w:rsidRPr="00104F4B">
              <w:rPr>
                <w:rFonts w:cs="Arial"/>
                <w:sz w:val="16"/>
                <w:szCs w:val="16"/>
              </w:rPr>
              <w:t xml:space="preserve">CADUCIDAD </w:t>
            </w:r>
          </w:p>
        </w:tc>
        <w:tc>
          <w:tcPr>
            <w:tcW w:w="2597" w:type="dxa"/>
          </w:tcPr>
          <w:p w:rsidR="0024547C" w:rsidRPr="00104F4B" w:rsidRDefault="0024547C" w:rsidP="0024547C">
            <w:pPr>
              <w:jc w:val="center"/>
              <w:rPr>
                <w:rFonts w:cs="Arial"/>
                <w:sz w:val="16"/>
                <w:szCs w:val="16"/>
              </w:rPr>
            </w:pPr>
            <w:r w:rsidRPr="00104F4B">
              <w:rPr>
                <w:rFonts w:cs="Arial"/>
                <w:sz w:val="16"/>
                <w:szCs w:val="16"/>
              </w:rPr>
              <w:t>1</w:t>
            </w:r>
          </w:p>
        </w:tc>
        <w:tc>
          <w:tcPr>
            <w:tcW w:w="3534" w:type="dxa"/>
          </w:tcPr>
          <w:p w:rsidR="0024547C" w:rsidRPr="00104F4B" w:rsidRDefault="0024547C" w:rsidP="0024547C">
            <w:pPr>
              <w:jc w:val="center"/>
              <w:rPr>
                <w:rFonts w:cs="Arial"/>
                <w:sz w:val="16"/>
                <w:szCs w:val="16"/>
              </w:rPr>
            </w:pPr>
            <w:r w:rsidRPr="00104F4B">
              <w:rPr>
                <w:rFonts w:cs="Arial"/>
                <w:sz w:val="16"/>
                <w:szCs w:val="16"/>
              </w:rPr>
              <w:t>$1.565.059.788,43</w:t>
            </w:r>
          </w:p>
        </w:tc>
      </w:tr>
      <w:tr w:rsidR="0024547C" w:rsidRPr="00104F4B" w:rsidTr="0024547C">
        <w:tc>
          <w:tcPr>
            <w:tcW w:w="3263" w:type="dxa"/>
          </w:tcPr>
          <w:p w:rsidR="0024547C" w:rsidRPr="00104F4B" w:rsidRDefault="0024547C" w:rsidP="0024547C">
            <w:pPr>
              <w:jc w:val="center"/>
              <w:rPr>
                <w:rFonts w:cs="Arial"/>
                <w:b/>
                <w:sz w:val="16"/>
                <w:szCs w:val="16"/>
              </w:rPr>
            </w:pPr>
            <w:r w:rsidRPr="00104F4B">
              <w:rPr>
                <w:rFonts w:cs="Arial"/>
                <w:b/>
                <w:sz w:val="16"/>
                <w:szCs w:val="16"/>
              </w:rPr>
              <w:t>TOTAL</w:t>
            </w:r>
          </w:p>
        </w:tc>
        <w:tc>
          <w:tcPr>
            <w:tcW w:w="2597" w:type="dxa"/>
          </w:tcPr>
          <w:p w:rsidR="0024547C" w:rsidRPr="00104F4B" w:rsidRDefault="0024547C" w:rsidP="0024547C">
            <w:pPr>
              <w:jc w:val="center"/>
              <w:rPr>
                <w:rFonts w:cs="Arial"/>
                <w:sz w:val="16"/>
                <w:szCs w:val="16"/>
              </w:rPr>
            </w:pPr>
            <w:r w:rsidRPr="00104F4B">
              <w:rPr>
                <w:rFonts w:cs="Arial"/>
                <w:sz w:val="16"/>
                <w:szCs w:val="16"/>
              </w:rPr>
              <w:t>9</w:t>
            </w:r>
          </w:p>
        </w:tc>
        <w:tc>
          <w:tcPr>
            <w:tcW w:w="3534" w:type="dxa"/>
          </w:tcPr>
          <w:p w:rsidR="0024547C" w:rsidRPr="00104F4B" w:rsidRDefault="0024547C" w:rsidP="0024547C">
            <w:pPr>
              <w:jc w:val="center"/>
              <w:rPr>
                <w:rFonts w:cs="Arial"/>
                <w:sz w:val="16"/>
                <w:szCs w:val="16"/>
              </w:rPr>
            </w:pPr>
            <w:r w:rsidRPr="00104F4B">
              <w:rPr>
                <w:rFonts w:cs="Arial"/>
                <w:sz w:val="16"/>
                <w:szCs w:val="16"/>
              </w:rPr>
              <w:t>$5.588.505.650,65</w:t>
            </w:r>
          </w:p>
        </w:tc>
      </w:tr>
    </w:tbl>
    <w:p w:rsidR="0024547C" w:rsidRPr="00104F4B" w:rsidRDefault="0024547C" w:rsidP="0024547C">
      <w:pPr>
        <w:jc w:val="center"/>
        <w:rPr>
          <w:rFonts w:cs="Arial"/>
          <w:sz w:val="16"/>
          <w:szCs w:val="16"/>
        </w:rPr>
      </w:pPr>
      <w:r w:rsidRPr="00104F4B">
        <w:rPr>
          <w:rFonts w:cs="Arial"/>
          <w:sz w:val="16"/>
          <w:szCs w:val="16"/>
        </w:rPr>
        <w:t xml:space="preserve">DTGC – Sanciones impuestas 2018 </w:t>
      </w:r>
    </w:p>
    <w:p w:rsidR="0024547C" w:rsidRPr="00104F4B" w:rsidRDefault="0024547C" w:rsidP="0024547C">
      <w:pPr>
        <w:jc w:val="center"/>
        <w:rPr>
          <w:rFonts w:cs="Arial"/>
          <w:sz w:val="16"/>
          <w:szCs w:val="16"/>
        </w:rPr>
      </w:pPr>
    </w:p>
    <w:p w:rsidR="0024547C" w:rsidRPr="00104F4B" w:rsidRDefault="0024547C" w:rsidP="0024547C">
      <w:pPr>
        <w:jc w:val="center"/>
        <w:rPr>
          <w:rFonts w:cs="Arial"/>
          <w:b/>
          <w:sz w:val="24"/>
        </w:rPr>
      </w:pPr>
      <w:r w:rsidRPr="00104F4B">
        <w:rPr>
          <w:rFonts w:cs="Arial"/>
          <w:noProof/>
          <w:sz w:val="24"/>
          <w:lang w:val="es-CO" w:eastAsia="es-CO"/>
        </w:rPr>
        <w:drawing>
          <wp:inline distT="0" distB="0" distL="0" distR="0" wp14:anchorId="7AFE5C61" wp14:editId="0B2AF226">
            <wp:extent cx="5612130" cy="2441575"/>
            <wp:effectExtent l="0" t="0" r="7620" b="15875"/>
            <wp:docPr id="11" name="Gráfico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24547C" w:rsidRPr="00104F4B" w:rsidRDefault="0024547C" w:rsidP="0024547C">
      <w:pPr>
        <w:rPr>
          <w:rFonts w:cs="Arial"/>
          <w:b/>
          <w:szCs w:val="22"/>
        </w:rPr>
      </w:pPr>
      <w:r w:rsidRPr="00104F4B">
        <w:rPr>
          <w:rFonts w:cs="Arial"/>
          <w:b/>
          <w:szCs w:val="22"/>
        </w:rPr>
        <w:t>Acompañamiento Liquidación de Contratos y Convenios</w:t>
      </w:r>
    </w:p>
    <w:p w:rsidR="0024547C" w:rsidRPr="00104F4B" w:rsidRDefault="0024547C" w:rsidP="0024547C">
      <w:pPr>
        <w:rPr>
          <w:rFonts w:eastAsia="Calibri" w:cs="Arial"/>
          <w:szCs w:val="22"/>
        </w:rPr>
      </w:pPr>
      <w:r w:rsidRPr="00104F4B">
        <w:rPr>
          <w:rFonts w:cs="Arial"/>
          <w:szCs w:val="22"/>
        </w:rPr>
        <w:t>En la vigencia 2018 se realizó</w:t>
      </w:r>
      <w:r w:rsidRPr="00104F4B">
        <w:rPr>
          <w:rFonts w:eastAsia="Calibri" w:cs="Arial"/>
          <w:szCs w:val="22"/>
        </w:rPr>
        <w:t xml:space="preserve"> acompañamiento a la gestión de las distintas dependencias de la entidad, en cuanto la liquidación de los contratos, para lo cual, la Dirección Técnica de Gestión Contractual y las Subdirecciones Generales de Desarrollo Urbano e Infraestructura establecieron un cronograma en el cual se priorizaron los contratos terminados y en proceso de liquidación teniendo en cuenta los términos establecidos para liquidar y los componentes técnicos del contrato.</w:t>
      </w:r>
    </w:p>
    <w:p w:rsidR="0024547C" w:rsidRPr="00104F4B" w:rsidRDefault="0024547C" w:rsidP="0024547C">
      <w:pPr>
        <w:rPr>
          <w:rFonts w:eastAsia="Calibri" w:cs="Arial"/>
          <w:szCs w:val="22"/>
        </w:rPr>
      </w:pPr>
      <w:r w:rsidRPr="00104F4B">
        <w:rPr>
          <w:rFonts w:eastAsia="Calibri" w:cs="Arial"/>
          <w:szCs w:val="22"/>
        </w:rPr>
        <w:t>Se priorizan por pérdida de competencia en la vigencia, 28 contratos siendo estos liquidados en términos.</w:t>
      </w:r>
    </w:p>
    <w:p w:rsidR="0024547C" w:rsidRDefault="0024547C" w:rsidP="0024547C">
      <w:pPr>
        <w:rPr>
          <w:rFonts w:eastAsia="Calibri" w:cs="Arial"/>
          <w:sz w:val="24"/>
        </w:rPr>
      </w:pPr>
    </w:p>
    <w:p w:rsidR="006D18D6" w:rsidRPr="00104F4B" w:rsidRDefault="006D18D6" w:rsidP="0024547C">
      <w:pPr>
        <w:rPr>
          <w:rFonts w:eastAsia="Calibri" w:cs="Arial"/>
          <w:sz w:val="24"/>
        </w:rPr>
      </w:pPr>
    </w:p>
    <w:tbl>
      <w:tblPr>
        <w:tblW w:w="80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857"/>
        <w:gridCol w:w="2781"/>
        <w:gridCol w:w="1011"/>
        <w:gridCol w:w="1396"/>
      </w:tblGrid>
      <w:tr w:rsidR="0024547C" w:rsidRPr="00104F4B" w:rsidTr="0024547C">
        <w:trPr>
          <w:jc w:val="center"/>
        </w:trPr>
        <w:tc>
          <w:tcPr>
            <w:tcW w:w="2857" w:type="dxa"/>
            <w:shd w:val="clear" w:color="auto" w:fill="auto"/>
            <w:tcMar>
              <w:top w:w="15" w:type="dxa"/>
              <w:left w:w="70" w:type="dxa"/>
              <w:bottom w:w="0" w:type="dxa"/>
              <w:right w:w="70" w:type="dxa"/>
            </w:tcMar>
            <w:vAlign w:val="center"/>
            <w:hideMark/>
          </w:tcPr>
          <w:p w:rsidR="0024547C" w:rsidRPr="00104F4B" w:rsidRDefault="0024547C" w:rsidP="0024547C">
            <w:pPr>
              <w:spacing w:line="256" w:lineRule="auto"/>
              <w:rPr>
                <w:rFonts w:cs="Arial"/>
                <w:sz w:val="16"/>
                <w:szCs w:val="16"/>
                <w:lang w:eastAsia="es-CO"/>
              </w:rPr>
            </w:pPr>
            <w:r w:rsidRPr="00104F4B">
              <w:rPr>
                <w:rFonts w:cs="Arial"/>
                <w:b/>
                <w:bCs/>
                <w:kern w:val="24"/>
                <w:sz w:val="16"/>
                <w:szCs w:val="16"/>
                <w:lang w:eastAsia="es-CO"/>
              </w:rPr>
              <w:lastRenderedPageBreak/>
              <w:t>SUBDIRECCION</w:t>
            </w:r>
          </w:p>
        </w:tc>
        <w:tc>
          <w:tcPr>
            <w:tcW w:w="2781" w:type="dxa"/>
            <w:shd w:val="clear" w:color="auto" w:fill="auto"/>
            <w:tcMar>
              <w:top w:w="15" w:type="dxa"/>
              <w:left w:w="70" w:type="dxa"/>
              <w:bottom w:w="0" w:type="dxa"/>
              <w:right w:w="70" w:type="dxa"/>
            </w:tcMar>
            <w:vAlign w:val="center"/>
            <w:hideMark/>
          </w:tcPr>
          <w:p w:rsidR="0024547C" w:rsidRPr="00104F4B" w:rsidRDefault="0024547C" w:rsidP="0024547C">
            <w:pPr>
              <w:spacing w:line="256" w:lineRule="auto"/>
              <w:rPr>
                <w:rFonts w:cs="Arial"/>
                <w:b/>
                <w:sz w:val="16"/>
                <w:szCs w:val="16"/>
                <w:lang w:eastAsia="es-CO"/>
              </w:rPr>
            </w:pPr>
            <w:r w:rsidRPr="00104F4B">
              <w:rPr>
                <w:rFonts w:cs="Arial"/>
                <w:b/>
                <w:kern w:val="24"/>
                <w:sz w:val="16"/>
                <w:szCs w:val="16"/>
                <w:lang w:eastAsia="es-CO"/>
              </w:rPr>
              <w:t>DIRECCION</w:t>
            </w:r>
          </w:p>
        </w:tc>
        <w:tc>
          <w:tcPr>
            <w:tcW w:w="1011" w:type="dxa"/>
            <w:shd w:val="clear" w:color="auto" w:fill="auto"/>
            <w:tcMar>
              <w:top w:w="15" w:type="dxa"/>
              <w:left w:w="70" w:type="dxa"/>
              <w:bottom w:w="0" w:type="dxa"/>
              <w:right w:w="70" w:type="dxa"/>
            </w:tcMar>
            <w:vAlign w:val="center"/>
            <w:hideMark/>
          </w:tcPr>
          <w:p w:rsidR="0024547C" w:rsidRPr="00104F4B" w:rsidRDefault="0024547C" w:rsidP="0024547C">
            <w:pPr>
              <w:spacing w:line="256" w:lineRule="auto"/>
              <w:rPr>
                <w:rFonts w:cs="Arial"/>
                <w:b/>
                <w:sz w:val="16"/>
                <w:szCs w:val="16"/>
                <w:lang w:eastAsia="es-CO"/>
              </w:rPr>
            </w:pPr>
            <w:r w:rsidRPr="00104F4B">
              <w:rPr>
                <w:rFonts w:cs="Arial"/>
                <w:b/>
                <w:kern w:val="24"/>
                <w:sz w:val="16"/>
                <w:szCs w:val="16"/>
                <w:lang w:eastAsia="es-CO"/>
              </w:rPr>
              <w:t>TOTAL</w:t>
            </w:r>
          </w:p>
        </w:tc>
        <w:tc>
          <w:tcPr>
            <w:tcW w:w="1396" w:type="dxa"/>
            <w:shd w:val="clear" w:color="auto" w:fill="auto"/>
            <w:tcMar>
              <w:top w:w="15" w:type="dxa"/>
              <w:left w:w="70" w:type="dxa"/>
              <w:bottom w:w="0" w:type="dxa"/>
              <w:right w:w="70" w:type="dxa"/>
            </w:tcMar>
            <w:vAlign w:val="center"/>
            <w:hideMark/>
          </w:tcPr>
          <w:p w:rsidR="0024547C" w:rsidRPr="00104F4B" w:rsidRDefault="0024547C" w:rsidP="0024547C">
            <w:pPr>
              <w:spacing w:line="256" w:lineRule="auto"/>
              <w:rPr>
                <w:rFonts w:cs="Arial"/>
                <w:b/>
                <w:sz w:val="16"/>
                <w:szCs w:val="16"/>
                <w:lang w:eastAsia="es-CO"/>
              </w:rPr>
            </w:pPr>
            <w:r w:rsidRPr="00104F4B">
              <w:rPr>
                <w:rFonts w:cs="Arial"/>
                <w:b/>
                <w:kern w:val="24"/>
                <w:sz w:val="16"/>
                <w:szCs w:val="16"/>
                <w:lang w:eastAsia="es-CO"/>
              </w:rPr>
              <w:t>LIQUIDADOS</w:t>
            </w:r>
          </w:p>
        </w:tc>
      </w:tr>
      <w:tr w:rsidR="0024547C" w:rsidRPr="00104F4B" w:rsidTr="0024547C">
        <w:trPr>
          <w:jc w:val="center"/>
        </w:trPr>
        <w:tc>
          <w:tcPr>
            <w:tcW w:w="2857" w:type="dxa"/>
            <w:vMerge w:val="restart"/>
            <w:shd w:val="clear" w:color="auto" w:fill="auto"/>
            <w:tcMar>
              <w:top w:w="15" w:type="dxa"/>
              <w:left w:w="70" w:type="dxa"/>
              <w:bottom w:w="0" w:type="dxa"/>
              <w:right w:w="70" w:type="dxa"/>
            </w:tcMar>
            <w:vAlign w:val="center"/>
            <w:hideMark/>
          </w:tcPr>
          <w:p w:rsidR="0024547C" w:rsidRPr="00104F4B" w:rsidRDefault="0024547C" w:rsidP="0024547C">
            <w:pPr>
              <w:spacing w:line="256" w:lineRule="auto"/>
              <w:rPr>
                <w:rFonts w:cs="Arial"/>
                <w:sz w:val="16"/>
                <w:szCs w:val="16"/>
                <w:lang w:eastAsia="es-CO"/>
              </w:rPr>
            </w:pPr>
            <w:r w:rsidRPr="00104F4B">
              <w:rPr>
                <w:rFonts w:cs="Arial"/>
                <w:sz w:val="16"/>
                <w:szCs w:val="16"/>
                <w:lang w:eastAsia="es-CO"/>
              </w:rPr>
              <w:t>DESARROLLO URBANO</w:t>
            </w:r>
          </w:p>
        </w:tc>
        <w:tc>
          <w:tcPr>
            <w:tcW w:w="2781" w:type="dxa"/>
            <w:shd w:val="clear" w:color="auto" w:fill="auto"/>
            <w:tcMar>
              <w:top w:w="15" w:type="dxa"/>
              <w:left w:w="70" w:type="dxa"/>
              <w:bottom w:w="0" w:type="dxa"/>
              <w:right w:w="70" w:type="dxa"/>
            </w:tcMar>
            <w:vAlign w:val="center"/>
            <w:hideMark/>
          </w:tcPr>
          <w:p w:rsidR="0024547C" w:rsidRPr="00104F4B" w:rsidRDefault="0024547C" w:rsidP="0024547C">
            <w:pPr>
              <w:spacing w:line="256" w:lineRule="auto"/>
              <w:rPr>
                <w:rFonts w:cs="Arial"/>
                <w:sz w:val="16"/>
                <w:szCs w:val="16"/>
                <w:lang w:eastAsia="es-CO"/>
              </w:rPr>
            </w:pPr>
            <w:r w:rsidRPr="00104F4B">
              <w:rPr>
                <w:rFonts w:cs="Arial"/>
                <w:kern w:val="24"/>
                <w:sz w:val="16"/>
                <w:szCs w:val="16"/>
                <w:lang w:eastAsia="es-CO"/>
              </w:rPr>
              <w:t>Dirección Técnica de Proyectos</w:t>
            </w:r>
          </w:p>
        </w:tc>
        <w:tc>
          <w:tcPr>
            <w:tcW w:w="1011" w:type="dxa"/>
            <w:shd w:val="clear" w:color="auto" w:fill="auto"/>
            <w:tcMar>
              <w:top w:w="15" w:type="dxa"/>
              <w:left w:w="70" w:type="dxa"/>
              <w:bottom w:w="0" w:type="dxa"/>
              <w:right w:w="70" w:type="dxa"/>
            </w:tcMar>
            <w:vAlign w:val="center"/>
            <w:hideMark/>
          </w:tcPr>
          <w:p w:rsidR="0024547C" w:rsidRPr="00104F4B" w:rsidRDefault="0024547C" w:rsidP="0024547C">
            <w:pPr>
              <w:spacing w:line="256" w:lineRule="auto"/>
              <w:jc w:val="right"/>
              <w:rPr>
                <w:rFonts w:cs="Arial"/>
                <w:sz w:val="16"/>
                <w:szCs w:val="16"/>
                <w:lang w:eastAsia="es-CO"/>
              </w:rPr>
            </w:pPr>
            <w:r w:rsidRPr="00104F4B">
              <w:rPr>
                <w:rFonts w:cs="Arial"/>
                <w:kern w:val="24"/>
                <w:sz w:val="16"/>
                <w:szCs w:val="16"/>
                <w:lang w:eastAsia="es-CO"/>
              </w:rPr>
              <w:t>7</w:t>
            </w:r>
          </w:p>
        </w:tc>
        <w:tc>
          <w:tcPr>
            <w:tcW w:w="1396" w:type="dxa"/>
            <w:shd w:val="clear" w:color="auto" w:fill="auto"/>
            <w:tcMar>
              <w:top w:w="15" w:type="dxa"/>
              <w:left w:w="70" w:type="dxa"/>
              <w:bottom w:w="0" w:type="dxa"/>
              <w:right w:w="70" w:type="dxa"/>
            </w:tcMar>
            <w:vAlign w:val="center"/>
            <w:hideMark/>
          </w:tcPr>
          <w:p w:rsidR="0024547C" w:rsidRPr="00104F4B" w:rsidRDefault="0024547C" w:rsidP="0024547C">
            <w:pPr>
              <w:spacing w:line="256" w:lineRule="auto"/>
              <w:jc w:val="right"/>
              <w:rPr>
                <w:rFonts w:cs="Arial"/>
                <w:sz w:val="16"/>
                <w:szCs w:val="16"/>
                <w:lang w:eastAsia="es-CO"/>
              </w:rPr>
            </w:pPr>
            <w:r w:rsidRPr="00104F4B">
              <w:rPr>
                <w:rFonts w:cs="Arial"/>
                <w:kern w:val="24"/>
                <w:sz w:val="16"/>
                <w:szCs w:val="16"/>
                <w:lang w:eastAsia="es-CO"/>
              </w:rPr>
              <w:t>7</w:t>
            </w:r>
          </w:p>
        </w:tc>
      </w:tr>
      <w:tr w:rsidR="0024547C" w:rsidRPr="00104F4B" w:rsidTr="0024547C">
        <w:trPr>
          <w:jc w:val="center"/>
        </w:trPr>
        <w:tc>
          <w:tcPr>
            <w:tcW w:w="0" w:type="auto"/>
            <w:vMerge/>
            <w:shd w:val="clear" w:color="auto" w:fill="auto"/>
            <w:vAlign w:val="center"/>
            <w:hideMark/>
          </w:tcPr>
          <w:p w:rsidR="0024547C" w:rsidRPr="00104F4B" w:rsidRDefault="0024547C" w:rsidP="0024547C">
            <w:pPr>
              <w:rPr>
                <w:rFonts w:cs="Arial"/>
                <w:sz w:val="16"/>
                <w:szCs w:val="16"/>
                <w:lang w:eastAsia="es-CO"/>
              </w:rPr>
            </w:pPr>
          </w:p>
        </w:tc>
        <w:tc>
          <w:tcPr>
            <w:tcW w:w="2781" w:type="dxa"/>
            <w:shd w:val="clear" w:color="auto" w:fill="auto"/>
            <w:tcMar>
              <w:top w:w="15" w:type="dxa"/>
              <w:left w:w="70" w:type="dxa"/>
              <w:bottom w:w="0" w:type="dxa"/>
              <w:right w:w="70" w:type="dxa"/>
            </w:tcMar>
            <w:vAlign w:val="center"/>
            <w:hideMark/>
          </w:tcPr>
          <w:p w:rsidR="0024547C" w:rsidRPr="00104F4B" w:rsidRDefault="0024547C" w:rsidP="0024547C">
            <w:pPr>
              <w:spacing w:line="256" w:lineRule="auto"/>
              <w:rPr>
                <w:rFonts w:cs="Arial"/>
                <w:sz w:val="16"/>
                <w:szCs w:val="16"/>
                <w:lang w:eastAsia="es-CO"/>
              </w:rPr>
            </w:pPr>
            <w:r w:rsidRPr="00104F4B">
              <w:rPr>
                <w:rFonts w:cs="Arial"/>
                <w:kern w:val="24"/>
                <w:sz w:val="16"/>
                <w:szCs w:val="16"/>
                <w:lang w:eastAsia="es-CO"/>
              </w:rPr>
              <w:t>Dirección Técnica de Predios</w:t>
            </w:r>
          </w:p>
        </w:tc>
        <w:tc>
          <w:tcPr>
            <w:tcW w:w="1011" w:type="dxa"/>
            <w:shd w:val="clear" w:color="auto" w:fill="auto"/>
            <w:tcMar>
              <w:top w:w="15" w:type="dxa"/>
              <w:left w:w="70" w:type="dxa"/>
              <w:bottom w:w="0" w:type="dxa"/>
              <w:right w:w="70" w:type="dxa"/>
            </w:tcMar>
            <w:vAlign w:val="center"/>
            <w:hideMark/>
          </w:tcPr>
          <w:p w:rsidR="0024547C" w:rsidRPr="00104F4B" w:rsidRDefault="0024547C" w:rsidP="0024547C">
            <w:pPr>
              <w:spacing w:line="256" w:lineRule="auto"/>
              <w:jc w:val="right"/>
              <w:rPr>
                <w:rFonts w:cs="Arial"/>
                <w:sz w:val="16"/>
                <w:szCs w:val="16"/>
                <w:lang w:eastAsia="es-CO"/>
              </w:rPr>
            </w:pPr>
            <w:r w:rsidRPr="00104F4B">
              <w:rPr>
                <w:rFonts w:cs="Arial"/>
                <w:kern w:val="24"/>
                <w:sz w:val="16"/>
                <w:szCs w:val="16"/>
                <w:lang w:eastAsia="es-CO"/>
              </w:rPr>
              <w:t>1</w:t>
            </w:r>
          </w:p>
        </w:tc>
        <w:tc>
          <w:tcPr>
            <w:tcW w:w="1396" w:type="dxa"/>
            <w:shd w:val="clear" w:color="auto" w:fill="auto"/>
            <w:tcMar>
              <w:top w:w="15" w:type="dxa"/>
              <w:left w:w="70" w:type="dxa"/>
              <w:bottom w:w="0" w:type="dxa"/>
              <w:right w:w="70" w:type="dxa"/>
            </w:tcMar>
            <w:vAlign w:val="center"/>
            <w:hideMark/>
          </w:tcPr>
          <w:p w:rsidR="0024547C" w:rsidRPr="00104F4B" w:rsidRDefault="0024547C" w:rsidP="0024547C">
            <w:pPr>
              <w:spacing w:line="256" w:lineRule="auto"/>
              <w:jc w:val="right"/>
              <w:rPr>
                <w:rFonts w:cs="Arial"/>
                <w:sz w:val="16"/>
                <w:szCs w:val="16"/>
                <w:lang w:eastAsia="es-CO"/>
              </w:rPr>
            </w:pPr>
            <w:r w:rsidRPr="00104F4B">
              <w:rPr>
                <w:rFonts w:cs="Arial"/>
                <w:kern w:val="24"/>
                <w:sz w:val="16"/>
                <w:szCs w:val="16"/>
                <w:lang w:eastAsia="es-CO"/>
              </w:rPr>
              <w:t>1</w:t>
            </w:r>
          </w:p>
        </w:tc>
      </w:tr>
      <w:tr w:rsidR="0024547C" w:rsidRPr="00104F4B" w:rsidTr="0024547C">
        <w:trPr>
          <w:jc w:val="center"/>
        </w:trPr>
        <w:tc>
          <w:tcPr>
            <w:tcW w:w="0" w:type="auto"/>
            <w:vMerge/>
            <w:shd w:val="clear" w:color="auto" w:fill="auto"/>
            <w:vAlign w:val="center"/>
            <w:hideMark/>
          </w:tcPr>
          <w:p w:rsidR="0024547C" w:rsidRPr="00104F4B" w:rsidRDefault="0024547C" w:rsidP="0024547C">
            <w:pPr>
              <w:rPr>
                <w:rFonts w:cs="Arial"/>
                <w:sz w:val="16"/>
                <w:szCs w:val="16"/>
                <w:lang w:eastAsia="es-CO"/>
              </w:rPr>
            </w:pPr>
          </w:p>
        </w:tc>
        <w:tc>
          <w:tcPr>
            <w:tcW w:w="2781" w:type="dxa"/>
            <w:shd w:val="clear" w:color="auto" w:fill="auto"/>
            <w:tcMar>
              <w:top w:w="15" w:type="dxa"/>
              <w:left w:w="70" w:type="dxa"/>
              <w:bottom w:w="0" w:type="dxa"/>
              <w:right w:w="70" w:type="dxa"/>
            </w:tcMar>
            <w:vAlign w:val="center"/>
            <w:hideMark/>
          </w:tcPr>
          <w:p w:rsidR="0024547C" w:rsidRPr="00104F4B" w:rsidRDefault="0024547C" w:rsidP="0024547C">
            <w:pPr>
              <w:spacing w:line="256" w:lineRule="auto"/>
              <w:rPr>
                <w:rFonts w:cs="Arial"/>
                <w:sz w:val="16"/>
                <w:szCs w:val="16"/>
                <w:lang w:eastAsia="es-CO"/>
              </w:rPr>
            </w:pPr>
            <w:r w:rsidRPr="00104F4B">
              <w:rPr>
                <w:rFonts w:cs="Arial"/>
                <w:kern w:val="24"/>
                <w:sz w:val="16"/>
                <w:szCs w:val="16"/>
                <w:lang w:eastAsia="es-CO"/>
              </w:rPr>
              <w:t>Dirección Técnica Estratégica</w:t>
            </w:r>
          </w:p>
        </w:tc>
        <w:tc>
          <w:tcPr>
            <w:tcW w:w="1011" w:type="dxa"/>
            <w:shd w:val="clear" w:color="auto" w:fill="auto"/>
            <w:tcMar>
              <w:top w:w="15" w:type="dxa"/>
              <w:left w:w="70" w:type="dxa"/>
              <w:bottom w:w="0" w:type="dxa"/>
              <w:right w:w="70" w:type="dxa"/>
            </w:tcMar>
            <w:vAlign w:val="center"/>
            <w:hideMark/>
          </w:tcPr>
          <w:p w:rsidR="0024547C" w:rsidRPr="00104F4B" w:rsidRDefault="0024547C" w:rsidP="0024547C">
            <w:pPr>
              <w:spacing w:line="256" w:lineRule="auto"/>
              <w:jc w:val="right"/>
              <w:rPr>
                <w:rFonts w:cs="Arial"/>
                <w:sz w:val="16"/>
                <w:szCs w:val="16"/>
                <w:lang w:eastAsia="es-CO"/>
              </w:rPr>
            </w:pPr>
            <w:r w:rsidRPr="00104F4B">
              <w:rPr>
                <w:rFonts w:cs="Arial"/>
                <w:kern w:val="24"/>
                <w:sz w:val="16"/>
                <w:szCs w:val="16"/>
                <w:lang w:eastAsia="es-CO"/>
              </w:rPr>
              <w:t>0</w:t>
            </w:r>
          </w:p>
        </w:tc>
        <w:tc>
          <w:tcPr>
            <w:tcW w:w="1396" w:type="dxa"/>
            <w:shd w:val="clear" w:color="auto" w:fill="auto"/>
            <w:tcMar>
              <w:top w:w="15" w:type="dxa"/>
              <w:left w:w="70" w:type="dxa"/>
              <w:bottom w:w="0" w:type="dxa"/>
              <w:right w:w="70" w:type="dxa"/>
            </w:tcMar>
            <w:vAlign w:val="center"/>
            <w:hideMark/>
          </w:tcPr>
          <w:p w:rsidR="0024547C" w:rsidRPr="00104F4B" w:rsidRDefault="0024547C" w:rsidP="0024547C">
            <w:pPr>
              <w:spacing w:line="256" w:lineRule="auto"/>
              <w:jc w:val="right"/>
              <w:rPr>
                <w:rFonts w:cs="Arial"/>
                <w:sz w:val="16"/>
                <w:szCs w:val="16"/>
                <w:lang w:eastAsia="es-CO"/>
              </w:rPr>
            </w:pPr>
            <w:r w:rsidRPr="00104F4B">
              <w:rPr>
                <w:rFonts w:cs="Arial"/>
                <w:kern w:val="24"/>
                <w:sz w:val="16"/>
                <w:szCs w:val="16"/>
                <w:lang w:eastAsia="es-CO"/>
              </w:rPr>
              <w:t>0</w:t>
            </w:r>
          </w:p>
        </w:tc>
      </w:tr>
      <w:tr w:rsidR="0024547C" w:rsidRPr="00104F4B" w:rsidTr="0024547C">
        <w:trPr>
          <w:jc w:val="center"/>
        </w:trPr>
        <w:tc>
          <w:tcPr>
            <w:tcW w:w="2857" w:type="dxa"/>
            <w:vMerge w:val="restart"/>
            <w:shd w:val="clear" w:color="auto" w:fill="auto"/>
            <w:tcMar>
              <w:top w:w="15" w:type="dxa"/>
              <w:left w:w="70" w:type="dxa"/>
              <w:bottom w:w="0" w:type="dxa"/>
              <w:right w:w="70" w:type="dxa"/>
            </w:tcMar>
            <w:vAlign w:val="center"/>
            <w:hideMark/>
          </w:tcPr>
          <w:p w:rsidR="0024547C" w:rsidRPr="00104F4B" w:rsidRDefault="0024547C" w:rsidP="0024547C">
            <w:pPr>
              <w:spacing w:line="256" w:lineRule="auto"/>
              <w:rPr>
                <w:rFonts w:cs="Arial"/>
                <w:sz w:val="16"/>
                <w:szCs w:val="16"/>
                <w:lang w:eastAsia="es-CO"/>
              </w:rPr>
            </w:pPr>
            <w:r w:rsidRPr="00104F4B">
              <w:rPr>
                <w:rFonts w:cs="Arial"/>
                <w:bCs/>
                <w:kern w:val="24"/>
                <w:sz w:val="16"/>
                <w:szCs w:val="16"/>
                <w:lang w:eastAsia="es-CO"/>
              </w:rPr>
              <w:t>INFRAESTRUCTURA</w:t>
            </w:r>
          </w:p>
        </w:tc>
        <w:tc>
          <w:tcPr>
            <w:tcW w:w="2781" w:type="dxa"/>
            <w:shd w:val="clear" w:color="auto" w:fill="auto"/>
            <w:tcMar>
              <w:top w:w="15" w:type="dxa"/>
              <w:left w:w="70" w:type="dxa"/>
              <w:bottom w:w="0" w:type="dxa"/>
              <w:right w:w="70" w:type="dxa"/>
            </w:tcMar>
            <w:vAlign w:val="center"/>
            <w:hideMark/>
          </w:tcPr>
          <w:p w:rsidR="0024547C" w:rsidRPr="00104F4B" w:rsidRDefault="0024547C" w:rsidP="0024547C">
            <w:pPr>
              <w:spacing w:line="256" w:lineRule="auto"/>
              <w:rPr>
                <w:rFonts w:cs="Arial"/>
                <w:sz w:val="16"/>
                <w:szCs w:val="16"/>
                <w:lang w:eastAsia="es-CO"/>
              </w:rPr>
            </w:pPr>
            <w:r w:rsidRPr="00104F4B">
              <w:rPr>
                <w:rFonts w:cs="Arial"/>
                <w:kern w:val="24"/>
                <w:sz w:val="16"/>
                <w:szCs w:val="16"/>
                <w:lang w:eastAsia="es-CO"/>
              </w:rPr>
              <w:t>Dirección Técnica de Mantenimiento</w:t>
            </w:r>
          </w:p>
        </w:tc>
        <w:tc>
          <w:tcPr>
            <w:tcW w:w="1011" w:type="dxa"/>
            <w:shd w:val="clear" w:color="auto" w:fill="auto"/>
            <w:tcMar>
              <w:top w:w="15" w:type="dxa"/>
              <w:left w:w="70" w:type="dxa"/>
              <w:bottom w:w="0" w:type="dxa"/>
              <w:right w:w="70" w:type="dxa"/>
            </w:tcMar>
            <w:vAlign w:val="center"/>
            <w:hideMark/>
          </w:tcPr>
          <w:p w:rsidR="0024547C" w:rsidRPr="00104F4B" w:rsidRDefault="0024547C" w:rsidP="0024547C">
            <w:pPr>
              <w:spacing w:line="256" w:lineRule="auto"/>
              <w:jc w:val="right"/>
              <w:rPr>
                <w:rFonts w:cs="Arial"/>
                <w:sz w:val="16"/>
                <w:szCs w:val="16"/>
                <w:lang w:eastAsia="es-CO"/>
              </w:rPr>
            </w:pPr>
            <w:r w:rsidRPr="00104F4B">
              <w:rPr>
                <w:rFonts w:cs="Arial"/>
                <w:kern w:val="24"/>
                <w:sz w:val="16"/>
                <w:szCs w:val="16"/>
                <w:lang w:eastAsia="es-CO"/>
              </w:rPr>
              <w:t>10</w:t>
            </w:r>
          </w:p>
        </w:tc>
        <w:tc>
          <w:tcPr>
            <w:tcW w:w="1396" w:type="dxa"/>
            <w:shd w:val="clear" w:color="auto" w:fill="auto"/>
            <w:tcMar>
              <w:top w:w="15" w:type="dxa"/>
              <w:left w:w="70" w:type="dxa"/>
              <w:bottom w:w="0" w:type="dxa"/>
              <w:right w:w="70" w:type="dxa"/>
            </w:tcMar>
            <w:vAlign w:val="center"/>
            <w:hideMark/>
          </w:tcPr>
          <w:p w:rsidR="0024547C" w:rsidRPr="00104F4B" w:rsidRDefault="0024547C" w:rsidP="0024547C">
            <w:pPr>
              <w:spacing w:line="256" w:lineRule="auto"/>
              <w:jc w:val="right"/>
              <w:rPr>
                <w:rFonts w:cs="Arial"/>
                <w:sz w:val="16"/>
                <w:szCs w:val="16"/>
                <w:lang w:eastAsia="es-CO"/>
              </w:rPr>
            </w:pPr>
            <w:r w:rsidRPr="00104F4B">
              <w:rPr>
                <w:rFonts w:eastAsia="Calibri" w:cs="Arial"/>
                <w:kern w:val="24"/>
                <w:sz w:val="16"/>
                <w:szCs w:val="16"/>
                <w:lang w:eastAsia="es-CO"/>
              </w:rPr>
              <w:t>10</w:t>
            </w:r>
          </w:p>
        </w:tc>
      </w:tr>
      <w:tr w:rsidR="0024547C" w:rsidRPr="00104F4B" w:rsidTr="0024547C">
        <w:trPr>
          <w:jc w:val="center"/>
        </w:trPr>
        <w:tc>
          <w:tcPr>
            <w:tcW w:w="0" w:type="auto"/>
            <w:vMerge/>
            <w:shd w:val="clear" w:color="auto" w:fill="auto"/>
            <w:vAlign w:val="center"/>
            <w:hideMark/>
          </w:tcPr>
          <w:p w:rsidR="0024547C" w:rsidRPr="00104F4B" w:rsidRDefault="0024547C" w:rsidP="0024547C">
            <w:pPr>
              <w:rPr>
                <w:rFonts w:cs="Arial"/>
                <w:sz w:val="16"/>
                <w:szCs w:val="16"/>
                <w:lang w:eastAsia="es-CO"/>
              </w:rPr>
            </w:pPr>
          </w:p>
        </w:tc>
        <w:tc>
          <w:tcPr>
            <w:tcW w:w="2781" w:type="dxa"/>
            <w:shd w:val="clear" w:color="auto" w:fill="auto"/>
            <w:tcMar>
              <w:top w:w="15" w:type="dxa"/>
              <w:left w:w="70" w:type="dxa"/>
              <w:bottom w:w="0" w:type="dxa"/>
              <w:right w:w="70" w:type="dxa"/>
            </w:tcMar>
            <w:vAlign w:val="center"/>
            <w:hideMark/>
          </w:tcPr>
          <w:p w:rsidR="0024547C" w:rsidRPr="00104F4B" w:rsidRDefault="0024547C" w:rsidP="0024547C">
            <w:pPr>
              <w:spacing w:line="256" w:lineRule="auto"/>
              <w:rPr>
                <w:rFonts w:cs="Arial"/>
                <w:sz w:val="16"/>
                <w:szCs w:val="16"/>
                <w:lang w:eastAsia="es-CO"/>
              </w:rPr>
            </w:pPr>
            <w:r w:rsidRPr="00104F4B">
              <w:rPr>
                <w:rFonts w:cs="Arial"/>
                <w:kern w:val="24"/>
                <w:sz w:val="16"/>
                <w:szCs w:val="16"/>
                <w:lang w:eastAsia="es-CO"/>
              </w:rPr>
              <w:t>Dirección Técnica de Construcciones</w:t>
            </w:r>
          </w:p>
        </w:tc>
        <w:tc>
          <w:tcPr>
            <w:tcW w:w="1011" w:type="dxa"/>
            <w:shd w:val="clear" w:color="auto" w:fill="auto"/>
            <w:tcMar>
              <w:top w:w="15" w:type="dxa"/>
              <w:left w:w="70" w:type="dxa"/>
              <w:bottom w:w="0" w:type="dxa"/>
              <w:right w:w="70" w:type="dxa"/>
            </w:tcMar>
            <w:vAlign w:val="center"/>
            <w:hideMark/>
          </w:tcPr>
          <w:p w:rsidR="0024547C" w:rsidRPr="00104F4B" w:rsidRDefault="0024547C" w:rsidP="0024547C">
            <w:pPr>
              <w:spacing w:line="256" w:lineRule="auto"/>
              <w:jc w:val="right"/>
              <w:rPr>
                <w:rFonts w:cs="Arial"/>
                <w:sz w:val="16"/>
                <w:szCs w:val="16"/>
                <w:lang w:eastAsia="es-CO"/>
              </w:rPr>
            </w:pPr>
            <w:r w:rsidRPr="00104F4B">
              <w:rPr>
                <w:rFonts w:cs="Arial"/>
                <w:kern w:val="24"/>
                <w:sz w:val="16"/>
                <w:szCs w:val="16"/>
                <w:lang w:eastAsia="es-CO"/>
              </w:rPr>
              <w:t>10</w:t>
            </w:r>
          </w:p>
        </w:tc>
        <w:tc>
          <w:tcPr>
            <w:tcW w:w="1396" w:type="dxa"/>
            <w:shd w:val="clear" w:color="auto" w:fill="auto"/>
            <w:tcMar>
              <w:top w:w="15" w:type="dxa"/>
              <w:left w:w="70" w:type="dxa"/>
              <w:bottom w:w="0" w:type="dxa"/>
              <w:right w:w="70" w:type="dxa"/>
            </w:tcMar>
            <w:vAlign w:val="center"/>
            <w:hideMark/>
          </w:tcPr>
          <w:p w:rsidR="0024547C" w:rsidRPr="00104F4B" w:rsidRDefault="0024547C" w:rsidP="0024547C">
            <w:pPr>
              <w:spacing w:line="256" w:lineRule="auto"/>
              <w:jc w:val="right"/>
              <w:rPr>
                <w:rFonts w:cs="Arial"/>
                <w:sz w:val="16"/>
                <w:szCs w:val="16"/>
                <w:lang w:eastAsia="es-CO"/>
              </w:rPr>
            </w:pPr>
            <w:r w:rsidRPr="00104F4B">
              <w:rPr>
                <w:rFonts w:eastAsia="Calibri" w:cs="Arial"/>
                <w:kern w:val="24"/>
                <w:sz w:val="16"/>
                <w:szCs w:val="16"/>
                <w:lang w:eastAsia="es-CO"/>
              </w:rPr>
              <w:t>10</w:t>
            </w:r>
          </w:p>
        </w:tc>
      </w:tr>
      <w:tr w:rsidR="0024547C" w:rsidRPr="00104F4B" w:rsidTr="0024547C">
        <w:trPr>
          <w:jc w:val="center"/>
        </w:trPr>
        <w:tc>
          <w:tcPr>
            <w:tcW w:w="5638" w:type="dxa"/>
            <w:gridSpan w:val="2"/>
            <w:shd w:val="clear" w:color="auto" w:fill="auto"/>
            <w:tcMar>
              <w:top w:w="15" w:type="dxa"/>
              <w:left w:w="70" w:type="dxa"/>
              <w:bottom w:w="0" w:type="dxa"/>
              <w:right w:w="70" w:type="dxa"/>
            </w:tcMar>
            <w:vAlign w:val="center"/>
            <w:hideMark/>
          </w:tcPr>
          <w:p w:rsidR="0024547C" w:rsidRPr="00104F4B" w:rsidRDefault="0024547C" w:rsidP="0024547C">
            <w:pPr>
              <w:spacing w:line="256" w:lineRule="auto"/>
              <w:jc w:val="center"/>
              <w:rPr>
                <w:rFonts w:cs="Arial"/>
                <w:sz w:val="16"/>
                <w:szCs w:val="16"/>
                <w:lang w:eastAsia="es-CO"/>
              </w:rPr>
            </w:pPr>
            <w:r w:rsidRPr="00104F4B">
              <w:rPr>
                <w:rFonts w:cs="Arial"/>
                <w:b/>
                <w:bCs/>
                <w:kern w:val="24"/>
                <w:sz w:val="16"/>
                <w:szCs w:val="16"/>
                <w:lang w:eastAsia="es-CO"/>
              </w:rPr>
              <w:t xml:space="preserve">TOTAL </w:t>
            </w:r>
          </w:p>
        </w:tc>
        <w:tc>
          <w:tcPr>
            <w:tcW w:w="1011" w:type="dxa"/>
            <w:shd w:val="clear" w:color="auto" w:fill="auto"/>
            <w:tcMar>
              <w:top w:w="15" w:type="dxa"/>
              <w:left w:w="70" w:type="dxa"/>
              <w:bottom w:w="0" w:type="dxa"/>
              <w:right w:w="70" w:type="dxa"/>
            </w:tcMar>
            <w:vAlign w:val="center"/>
            <w:hideMark/>
          </w:tcPr>
          <w:p w:rsidR="0024547C" w:rsidRPr="00104F4B" w:rsidRDefault="0024547C" w:rsidP="0024547C">
            <w:pPr>
              <w:spacing w:line="256" w:lineRule="auto"/>
              <w:jc w:val="right"/>
              <w:rPr>
                <w:rFonts w:cs="Arial"/>
                <w:b/>
                <w:sz w:val="16"/>
                <w:szCs w:val="16"/>
                <w:lang w:eastAsia="es-CO"/>
              </w:rPr>
            </w:pPr>
            <w:r w:rsidRPr="00104F4B">
              <w:rPr>
                <w:rFonts w:cs="Arial"/>
                <w:b/>
                <w:kern w:val="24"/>
                <w:sz w:val="16"/>
                <w:szCs w:val="16"/>
                <w:lang w:eastAsia="es-CO"/>
              </w:rPr>
              <w:t>28</w:t>
            </w:r>
          </w:p>
        </w:tc>
        <w:tc>
          <w:tcPr>
            <w:tcW w:w="1396" w:type="dxa"/>
            <w:shd w:val="clear" w:color="auto" w:fill="auto"/>
            <w:tcMar>
              <w:top w:w="15" w:type="dxa"/>
              <w:left w:w="70" w:type="dxa"/>
              <w:bottom w:w="0" w:type="dxa"/>
              <w:right w:w="70" w:type="dxa"/>
            </w:tcMar>
            <w:vAlign w:val="center"/>
            <w:hideMark/>
          </w:tcPr>
          <w:p w:rsidR="0024547C" w:rsidRPr="00104F4B" w:rsidRDefault="0024547C" w:rsidP="0024547C">
            <w:pPr>
              <w:spacing w:line="256" w:lineRule="auto"/>
              <w:jc w:val="right"/>
              <w:rPr>
                <w:rFonts w:cs="Arial"/>
                <w:b/>
                <w:sz w:val="16"/>
                <w:szCs w:val="16"/>
                <w:lang w:eastAsia="es-CO"/>
              </w:rPr>
            </w:pPr>
            <w:r w:rsidRPr="00104F4B">
              <w:rPr>
                <w:rFonts w:cs="Arial"/>
                <w:b/>
                <w:kern w:val="24"/>
                <w:sz w:val="16"/>
                <w:szCs w:val="16"/>
                <w:lang w:eastAsia="es-CO"/>
              </w:rPr>
              <w:t>28</w:t>
            </w:r>
          </w:p>
        </w:tc>
      </w:tr>
    </w:tbl>
    <w:p w:rsidR="0024547C" w:rsidRPr="00104F4B" w:rsidRDefault="0024547C" w:rsidP="0024547C">
      <w:pPr>
        <w:jc w:val="center"/>
        <w:rPr>
          <w:rFonts w:eastAsia="Calibri" w:cs="Arial"/>
          <w:sz w:val="16"/>
          <w:szCs w:val="16"/>
        </w:rPr>
      </w:pPr>
      <w:r w:rsidRPr="00104F4B">
        <w:rPr>
          <w:rFonts w:eastAsia="Calibri" w:cs="Arial"/>
          <w:sz w:val="16"/>
          <w:szCs w:val="16"/>
        </w:rPr>
        <w:t>DTGC – Contratos perdida de competencia 2018.</w:t>
      </w:r>
    </w:p>
    <w:p w:rsidR="0024547C" w:rsidRPr="00104F4B" w:rsidRDefault="0024547C" w:rsidP="0024547C">
      <w:pPr>
        <w:rPr>
          <w:rFonts w:cs="Arial"/>
          <w:szCs w:val="22"/>
        </w:rPr>
      </w:pPr>
      <w:r w:rsidRPr="00104F4B">
        <w:rPr>
          <w:rFonts w:cs="Arial"/>
          <w:szCs w:val="22"/>
        </w:rPr>
        <w:t>En el transcurso del año 2018 se llevaron a cabo 44 mesas de trabajo con el grupo de liquidaciones de la Subdirección General de Infraestructura y 40 mesas de trabajo con la Subdirección General de Desarrollo Urbano, cada una de ellas tuvo una intensidad horaria de aproximadamente tres (3) horas.</w:t>
      </w:r>
    </w:p>
    <w:p w:rsidR="0024547C" w:rsidRPr="00104F4B" w:rsidRDefault="0024547C" w:rsidP="0024547C">
      <w:pPr>
        <w:rPr>
          <w:rFonts w:cs="Arial"/>
          <w:b/>
          <w:szCs w:val="22"/>
        </w:rPr>
      </w:pPr>
      <w:r w:rsidRPr="00104F4B">
        <w:rPr>
          <w:rFonts w:cs="Arial"/>
          <w:b/>
          <w:szCs w:val="22"/>
        </w:rPr>
        <w:t>Aprobación de Garantías</w:t>
      </w:r>
    </w:p>
    <w:p w:rsidR="0024547C" w:rsidRPr="00104F4B" w:rsidRDefault="0024547C" w:rsidP="0024547C">
      <w:pPr>
        <w:rPr>
          <w:rFonts w:cs="Arial"/>
          <w:szCs w:val="22"/>
        </w:rPr>
      </w:pPr>
      <w:r w:rsidRPr="00104F4B">
        <w:rPr>
          <w:rFonts w:cs="Arial"/>
          <w:szCs w:val="22"/>
        </w:rPr>
        <w:t>Para la actividad de legalización de los contratos y modificaciones contractuales que suscribe la entidad, misionales y de funcionamiento durante la vigencia 2018, la Dirección Técnica de Gestión Contractual realizó la revisión y aprobación de 2565 garantías.</w:t>
      </w:r>
    </w:p>
    <w:p w:rsidR="0024547C" w:rsidRPr="00104F4B" w:rsidRDefault="0024547C" w:rsidP="0024547C">
      <w:pPr>
        <w:rPr>
          <w:rFonts w:cs="Arial"/>
          <w:b/>
          <w:szCs w:val="22"/>
        </w:rPr>
      </w:pPr>
      <w:r w:rsidRPr="00104F4B">
        <w:rPr>
          <w:rFonts w:cs="Arial"/>
          <w:b/>
          <w:szCs w:val="22"/>
        </w:rPr>
        <w:t>Publicación en portales de Contratación</w:t>
      </w:r>
    </w:p>
    <w:p w:rsidR="0024547C" w:rsidRPr="00104F4B" w:rsidRDefault="0024547C" w:rsidP="0024547C">
      <w:pPr>
        <w:rPr>
          <w:rFonts w:cs="Arial"/>
          <w:szCs w:val="22"/>
        </w:rPr>
      </w:pPr>
      <w:r w:rsidRPr="00104F4B">
        <w:rPr>
          <w:rFonts w:cs="Arial"/>
          <w:szCs w:val="22"/>
        </w:rPr>
        <w:t>Se realiza la publicación en el portal de contratación pública SECOP I, de los contratos y demás documentos como informes, modificaciones contractuales y actas publicados en dicha plataforma, así mismo, se inició la publicación de los contratos nuevos en la plataforma SECOP II, siguiendo los lineamientos de Colombia Compra Eficiente a partir del 2019 todas las modalidades de contratación se llevarán a cabo a través de la plataforma transaccional SECOP II.</w:t>
      </w:r>
    </w:p>
    <w:p w:rsidR="0024547C" w:rsidRPr="00104F4B" w:rsidRDefault="0024547C" w:rsidP="0024547C">
      <w:pPr>
        <w:pStyle w:val="Ttulo1"/>
        <w:rPr>
          <w:rFonts w:ascii="Arial" w:hAnsi="Arial" w:cs="Arial"/>
          <w:color w:val="222222"/>
          <w:sz w:val="22"/>
          <w:szCs w:val="22"/>
          <w:lang w:eastAsia="es-CO"/>
        </w:rPr>
      </w:pPr>
      <w:bookmarkStart w:id="48" w:name="_Toc536195547"/>
      <w:r w:rsidRPr="00104F4B">
        <w:rPr>
          <w:rFonts w:ascii="Arial" w:hAnsi="Arial" w:cs="Arial"/>
          <w:color w:val="222222"/>
          <w:sz w:val="22"/>
          <w:szCs w:val="22"/>
          <w:lang w:eastAsia="es-CO"/>
        </w:rPr>
        <w:t>4.2</w:t>
      </w:r>
      <w:r w:rsidRPr="00104F4B">
        <w:rPr>
          <w:rFonts w:ascii="Arial" w:hAnsi="Arial" w:cs="Arial"/>
          <w:b w:val="0"/>
          <w:color w:val="222222"/>
          <w:sz w:val="22"/>
          <w:szCs w:val="22"/>
          <w:lang w:eastAsia="es-CO"/>
        </w:rPr>
        <w:t xml:space="preserve"> </w:t>
      </w:r>
      <w:r w:rsidRPr="00104F4B">
        <w:rPr>
          <w:rFonts w:ascii="Arial" w:hAnsi="Arial" w:cs="Arial"/>
          <w:color w:val="222222"/>
          <w:sz w:val="22"/>
          <w:szCs w:val="22"/>
          <w:lang w:eastAsia="es-CO"/>
        </w:rPr>
        <w:t>Mejores Prácticas y Logros</w:t>
      </w:r>
      <w:bookmarkEnd w:id="48"/>
    </w:p>
    <w:p w:rsidR="0024547C" w:rsidRPr="00104F4B" w:rsidRDefault="0024547C" w:rsidP="0024547C">
      <w:pPr>
        <w:pStyle w:val="Prrafodelista"/>
        <w:shd w:val="clear" w:color="auto" w:fill="FFFFFF"/>
        <w:rPr>
          <w:rFonts w:ascii="Arial" w:eastAsia="Times New Roman" w:hAnsi="Arial" w:cs="Arial"/>
          <w:color w:val="222222"/>
        </w:rPr>
      </w:pPr>
    </w:p>
    <w:p w:rsidR="0024547C" w:rsidRPr="00104F4B" w:rsidRDefault="0024547C" w:rsidP="002625A5">
      <w:pPr>
        <w:pStyle w:val="Prrafodelista"/>
        <w:numPr>
          <w:ilvl w:val="0"/>
          <w:numId w:val="43"/>
        </w:numPr>
        <w:spacing w:before="0"/>
        <w:contextualSpacing/>
        <w:rPr>
          <w:rFonts w:ascii="Arial" w:eastAsiaTheme="minorEastAsia" w:hAnsi="Arial" w:cs="Arial"/>
          <w:kern w:val="24"/>
          <w:lang w:val="es-MX"/>
        </w:rPr>
      </w:pPr>
      <w:r w:rsidRPr="00104F4B">
        <w:rPr>
          <w:rFonts w:ascii="Arial" w:eastAsiaTheme="minorEastAsia" w:hAnsi="Arial" w:cs="Arial"/>
          <w:kern w:val="24"/>
          <w:lang w:val="es-MX"/>
        </w:rPr>
        <w:t>Construcción de bases de datos sobre impedimentos y sobre conceptos jurídicos de asesores jurídicos externos con el fin de estandarizar la información al interior de la entidad y unificar criterios jurídicos.</w:t>
      </w:r>
    </w:p>
    <w:p w:rsidR="0024547C" w:rsidRPr="00104F4B" w:rsidRDefault="0024547C" w:rsidP="002625A5">
      <w:pPr>
        <w:pStyle w:val="Prrafodelista"/>
        <w:numPr>
          <w:ilvl w:val="0"/>
          <w:numId w:val="43"/>
        </w:numPr>
        <w:spacing w:before="0"/>
        <w:contextualSpacing/>
        <w:rPr>
          <w:rFonts w:ascii="Arial" w:eastAsiaTheme="minorEastAsia" w:hAnsi="Arial" w:cs="Arial"/>
          <w:kern w:val="24"/>
          <w:lang w:val="es-MX"/>
        </w:rPr>
      </w:pPr>
      <w:r w:rsidRPr="00104F4B">
        <w:rPr>
          <w:rFonts w:ascii="Arial" w:eastAsiaTheme="minorEastAsia" w:hAnsi="Arial" w:cs="Arial"/>
          <w:kern w:val="24"/>
          <w:lang w:val="es-MX"/>
        </w:rPr>
        <w:t>Durante el año 2018 se generaron 330 sentencias en los diferentes despachos judiciales de las cuales 249 fueron favorables, para un nivel de éxito procesal del 75%.</w:t>
      </w:r>
    </w:p>
    <w:p w:rsidR="0024547C" w:rsidRPr="00104F4B" w:rsidRDefault="0024547C" w:rsidP="002625A5">
      <w:pPr>
        <w:pStyle w:val="Prrafodelista"/>
        <w:numPr>
          <w:ilvl w:val="0"/>
          <w:numId w:val="43"/>
        </w:numPr>
        <w:spacing w:before="0"/>
        <w:contextualSpacing/>
        <w:rPr>
          <w:rFonts w:ascii="Arial" w:eastAsiaTheme="minorEastAsia" w:hAnsi="Arial" w:cs="Arial"/>
          <w:kern w:val="24"/>
          <w:lang w:val="es-MX"/>
        </w:rPr>
      </w:pPr>
      <w:r w:rsidRPr="00104F4B">
        <w:rPr>
          <w:rFonts w:ascii="Arial" w:eastAsiaTheme="minorEastAsia" w:hAnsi="Arial" w:cs="Arial"/>
          <w:kern w:val="24"/>
          <w:lang w:val="es-MX"/>
        </w:rPr>
        <w:t>Durante el año 2018 la labor de defensa judicial de la entidad permitió la recuperación de un total de $1.183.070.587, correspondientes a proceso ejecutivo contractual (Rad: 2008-00173, se recibieron $115.727.329), acción de repetición,(2011-00262 se recibieron $17.564.000), responsabilidad civil extracontractual(Rad. 2017-00852 $18.000.000), y tribunal de arbitramento (Rad. 2017-048781.031.779.258).</w:t>
      </w:r>
    </w:p>
    <w:p w:rsidR="0024547C" w:rsidRPr="00104F4B" w:rsidRDefault="0024547C" w:rsidP="002625A5">
      <w:pPr>
        <w:pStyle w:val="Prrafodelista"/>
        <w:numPr>
          <w:ilvl w:val="0"/>
          <w:numId w:val="43"/>
        </w:numPr>
        <w:spacing w:before="0"/>
        <w:contextualSpacing/>
        <w:rPr>
          <w:rFonts w:ascii="Arial" w:eastAsia="Times New Roman" w:hAnsi="Arial" w:cs="Arial"/>
        </w:rPr>
      </w:pPr>
      <w:r w:rsidRPr="00104F4B">
        <w:rPr>
          <w:rFonts w:ascii="Arial" w:eastAsiaTheme="minorEastAsia" w:hAnsi="Arial" w:cs="Arial"/>
          <w:kern w:val="24"/>
        </w:rPr>
        <w:t>Conciliación bases de datos con la DTDP a fin de establecer todos los predios de propiedad del Distrito que se encuentran es restitución, con el acompañamiento de los entes de Control.</w:t>
      </w:r>
    </w:p>
    <w:p w:rsidR="0024547C" w:rsidRPr="00104F4B" w:rsidRDefault="0024547C" w:rsidP="002625A5">
      <w:pPr>
        <w:pStyle w:val="Prrafodelista"/>
        <w:numPr>
          <w:ilvl w:val="0"/>
          <w:numId w:val="43"/>
        </w:numPr>
        <w:shd w:val="clear" w:color="auto" w:fill="FFFFFF"/>
        <w:spacing w:before="0"/>
        <w:contextualSpacing/>
        <w:rPr>
          <w:rFonts w:ascii="Arial" w:eastAsia="Times New Roman" w:hAnsi="Arial" w:cs="Arial"/>
          <w:color w:val="222222"/>
        </w:rPr>
      </w:pPr>
      <w:r w:rsidRPr="00104F4B">
        <w:rPr>
          <w:rFonts w:ascii="Arial" w:eastAsiaTheme="minorEastAsia" w:hAnsi="Arial" w:cs="Arial"/>
          <w:kern w:val="24"/>
        </w:rPr>
        <w:t xml:space="preserve">Implementación al seguimiento de los procesos a través de </w:t>
      </w:r>
      <w:r w:rsidRPr="00104F4B">
        <w:rPr>
          <w:rFonts w:ascii="Arial" w:eastAsiaTheme="minorEastAsia" w:hAnsi="Arial" w:cs="Arial"/>
          <w:kern w:val="24"/>
          <w:lang w:val="es-ES"/>
        </w:rPr>
        <w:t>auditoria aleatoria, para lo cual se cuenta con un dependiente judicial que visita los diferentes despachos judiciales y permanentemente hace revisión de los procesos judiciales</w:t>
      </w:r>
    </w:p>
    <w:p w:rsidR="0024547C" w:rsidRPr="00104F4B" w:rsidRDefault="0024547C" w:rsidP="002625A5">
      <w:pPr>
        <w:pStyle w:val="Prrafodelista"/>
        <w:numPr>
          <w:ilvl w:val="0"/>
          <w:numId w:val="43"/>
        </w:numPr>
        <w:spacing w:before="0"/>
        <w:contextualSpacing/>
        <w:rPr>
          <w:rFonts w:ascii="Arial" w:hAnsi="Arial" w:cs="Arial"/>
        </w:rPr>
      </w:pPr>
      <w:r w:rsidRPr="00104F4B">
        <w:rPr>
          <w:rFonts w:ascii="Arial" w:hAnsi="Arial" w:cs="Arial"/>
        </w:rPr>
        <w:t xml:space="preserve">Se llevaron a cabo distintas reuniones con miembros de la academia, del sector de la construcción, la CCI, CCE y distintas entidades del gobierno, en las cuales se divulgo el modelo de pliego a adoptar por el IDU. Igualmente se participó en las reuniones que adelanto Colombia </w:t>
      </w:r>
      <w:r w:rsidRPr="00104F4B">
        <w:rPr>
          <w:rFonts w:ascii="Arial" w:hAnsi="Arial" w:cs="Arial"/>
        </w:rPr>
        <w:lastRenderedPageBreak/>
        <w:t>Compra Eficiente para la estandarización del modelo del pliego tipo, ordenado por la Ley 1882 de 2018.</w:t>
      </w:r>
    </w:p>
    <w:p w:rsidR="0024547C" w:rsidRPr="00104F4B" w:rsidRDefault="0024547C" w:rsidP="002625A5">
      <w:pPr>
        <w:pStyle w:val="Prrafodelista"/>
        <w:numPr>
          <w:ilvl w:val="0"/>
          <w:numId w:val="43"/>
        </w:numPr>
        <w:spacing w:before="0"/>
        <w:contextualSpacing/>
        <w:rPr>
          <w:rFonts w:ascii="Arial" w:hAnsi="Arial" w:cs="Arial"/>
        </w:rPr>
      </w:pPr>
      <w:r w:rsidRPr="00104F4B">
        <w:rPr>
          <w:rFonts w:ascii="Arial" w:hAnsi="Arial" w:cs="Arial"/>
        </w:rPr>
        <w:t>También se realizó la actualización y estandarización de los siguientes documentos que permiten a la DTPS agilizar tiempos y minimizar errores:</w:t>
      </w:r>
    </w:p>
    <w:p w:rsidR="0024547C" w:rsidRPr="00104F4B" w:rsidRDefault="0024547C" w:rsidP="002625A5">
      <w:pPr>
        <w:pStyle w:val="Prrafodelista"/>
        <w:numPr>
          <w:ilvl w:val="0"/>
          <w:numId w:val="38"/>
        </w:numPr>
        <w:spacing w:before="0"/>
        <w:contextualSpacing/>
        <w:rPr>
          <w:rFonts w:ascii="Arial" w:hAnsi="Arial" w:cs="Arial"/>
        </w:rPr>
      </w:pPr>
      <w:r w:rsidRPr="00104F4B">
        <w:rPr>
          <w:rFonts w:ascii="Arial" w:hAnsi="Arial" w:cs="Arial"/>
        </w:rPr>
        <w:t>Aviso de convocatoria L.P.</w:t>
      </w:r>
    </w:p>
    <w:p w:rsidR="0024547C" w:rsidRPr="00104F4B" w:rsidRDefault="0024547C" w:rsidP="002625A5">
      <w:pPr>
        <w:pStyle w:val="Prrafodelista"/>
        <w:numPr>
          <w:ilvl w:val="0"/>
          <w:numId w:val="38"/>
        </w:numPr>
        <w:spacing w:before="0"/>
        <w:contextualSpacing/>
        <w:rPr>
          <w:rFonts w:ascii="Arial" w:hAnsi="Arial" w:cs="Arial"/>
        </w:rPr>
      </w:pPr>
      <w:r w:rsidRPr="00104F4B">
        <w:rPr>
          <w:rFonts w:ascii="Arial" w:hAnsi="Arial" w:cs="Arial"/>
        </w:rPr>
        <w:t>Aviso de convocatoria C.M. y SASI.</w:t>
      </w:r>
    </w:p>
    <w:p w:rsidR="0024547C" w:rsidRPr="00104F4B" w:rsidRDefault="0024547C" w:rsidP="002625A5">
      <w:pPr>
        <w:pStyle w:val="Prrafodelista"/>
        <w:numPr>
          <w:ilvl w:val="0"/>
          <w:numId w:val="38"/>
        </w:numPr>
        <w:spacing w:before="0"/>
        <w:contextualSpacing/>
        <w:rPr>
          <w:rFonts w:ascii="Arial" w:hAnsi="Arial" w:cs="Arial"/>
        </w:rPr>
      </w:pPr>
      <w:r w:rsidRPr="00104F4B">
        <w:rPr>
          <w:rFonts w:ascii="Arial" w:hAnsi="Arial" w:cs="Arial"/>
        </w:rPr>
        <w:t>Documento de subsanabilidad.</w:t>
      </w:r>
    </w:p>
    <w:p w:rsidR="0024547C" w:rsidRPr="00104F4B" w:rsidRDefault="0024547C" w:rsidP="002625A5">
      <w:pPr>
        <w:pStyle w:val="Prrafodelista"/>
        <w:numPr>
          <w:ilvl w:val="0"/>
          <w:numId w:val="38"/>
        </w:numPr>
        <w:spacing w:before="0"/>
        <w:contextualSpacing/>
        <w:rPr>
          <w:rFonts w:ascii="Arial" w:hAnsi="Arial" w:cs="Arial"/>
        </w:rPr>
      </w:pPr>
      <w:r w:rsidRPr="00104F4B">
        <w:rPr>
          <w:rFonts w:ascii="Arial" w:hAnsi="Arial" w:cs="Arial"/>
        </w:rPr>
        <w:t>Documento de no requerir subsanabilidad.</w:t>
      </w:r>
    </w:p>
    <w:p w:rsidR="0024547C" w:rsidRPr="00104F4B" w:rsidRDefault="0024547C" w:rsidP="002625A5">
      <w:pPr>
        <w:pStyle w:val="Prrafodelista"/>
        <w:numPr>
          <w:ilvl w:val="0"/>
          <w:numId w:val="38"/>
        </w:numPr>
        <w:spacing w:before="0"/>
        <w:contextualSpacing/>
        <w:rPr>
          <w:rFonts w:ascii="Arial" w:hAnsi="Arial" w:cs="Arial"/>
        </w:rPr>
      </w:pPr>
      <w:r w:rsidRPr="00104F4B">
        <w:rPr>
          <w:rFonts w:ascii="Arial" w:hAnsi="Arial" w:cs="Arial"/>
        </w:rPr>
        <w:t>Cuadros de Informe de Evaluación.</w:t>
      </w:r>
    </w:p>
    <w:p w:rsidR="0024547C" w:rsidRPr="00104F4B" w:rsidRDefault="0024547C" w:rsidP="002625A5">
      <w:pPr>
        <w:pStyle w:val="Prrafodelista"/>
        <w:numPr>
          <w:ilvl w:val="0"/>
          <w:numId w:val="38"/>
        </w:numPr>
        <w:spacing w:before="0"/>
        <w:contextualSpacing/>
        <w:rPr>
          <w:rFonts w:ascii="Arial" w:hAnsi="Arial" w:cs="Arial"/>
        </w:rPr>
      </w:pPr>
      <w:r w:rsidRPr="00104F4B">
        <w:rPr>
          <w:rFonts w:ascii="Arial" w:hAnsi="Arial" w:cs="Arial"/>
        </w:rPr>
        <w:t>Documento de respuestas a observaciones y consolidado de observación.</w:t>
      </w:r>
    </w:p>
    <w:p w:rsidR="0024547C" w:rsidRPr="00104F4B" w:rsidRDefault="0024547C" w:rsidP="002625A5">
      <w:pPr>
        <w:pStyle w:val="Prrafodelista"/>
        <w:numPr>
          <w:ilvl w:val="0"/>
          <w:numId w:val="38"/>
        </w:numPr>
        <w:spacing w:before="0"/>
        <w:contextualSpacing/>
        <w:rPr>
          <w:rFonts w:ascii="Arial" w:hAnsi="Arial" w:cs="Arial"/>
        </w:rPr>
      </w:pPr>
      <w:r w:rsidRPr="00104F4B">
        <w:rPr>
          <w:rFonts w:ascii="Arial" w:hAnsi="Arial" w:cs="Arial"/>
        </w:rPr>
        <w:t>Adenda.</w:t>
      </w:r>
    </w:p>
    <w:p w:rsidR="0024547C" w:rsidRPr="00104F4B" w:rsidRDefault="0024547C" w:rsidP="002625A5">
      <w:pPr>
        <w:pStyle w:val="Prrafodelista"/>
        <w:numPr>
          <w:ilvl w:val="0"/>
          <w:numId w:val="38"/>
        </w:numPr>
        <w:spacing w:before="0" w:after="160"/>
        <w:contextualSpacing/>
        <w:rPr>
          <w:rFonts w:ascii="Arial" w:hAnsi="Arial" w:cs="Arial"/>
        </w:rPr>
      </w:pPr>
      <w:r w:rsidRPr="00104F4B">
        <w:rPr>
          <w:rFonts w:ascii="Arial" w:hAnsi="Arial" w:cs="Arial"/>
        </w:rPr>
        <w:t>Resolución de adjudicación.</w:t>
      </w:r>
    </w:p>
    <w:p w:rsidR="0024547C" w:rsidRPr="00104F4B" w:rsidRDefault="0024547C" w:rsidP="002625A5">
      <w:pPr>
        <w:pStyle w:val="Prrafodelista"/>
        <w:numPr>
          <w:ilvl w:val="0"/>
          <w:numId w:val="38"/>
        </w:numPr>
        <w:spacing w:before="0" w:after="160"/>
        <w:contextualSpacing/>
        <w:rPr>
          <w:rFonts w:ascii="Arial" w:hAnsi="Arial" w:cs="Arial"/>
        </w:rPr>
      </w:pPr>
      <w:r w:rsidRPr="00104F4B">
        <w:rPr>
          <w:rFonts w:ascii="Arial" w:hAnsi="Arial" w:cs="Arial"/>
        </w:rPr>
        <w:t>Resolución de apertura.</w:t>
      </w:r>
    </w:p>
    <w:p w:rsidR="0024547C" w:rsidRPr="00104F4B" w:rsidRDefault="0024547C" w:rsidP="002625A5">
      <w:pPr>
        <w:pStyle w:val="Prrafodelista"/>
        <w:numPr>
          <w:ilvl w:val="0"/>
          <w:numId w:val="38"/>
        </w:numPr>
        <w:spacing w:before="0" w:after="160"/>
        <w:contextualSpacing/>
        <w:rPr>
          <w:rFonts w:ascii="Arial" w:hAnsi="Arial" w:cs="Arial"/>
        </w:rPr>
      </w:pPr>
      <w:r w:rsidRPr="00104F4B">
        <w:rPr>
          <w:rFonts w:ascii="Arial" w:hAnsi="Arial" w:cs="Arial"/>
        </w:rPr>
        <w:t>Matriz de observaciones.</w:t>
      </w:r>
    </w:p>
    <w:p w:rsidR="0024547C" w:rsidRPr="00104F4B" w:rsidRDefault="0024547C" w:rsidP="0024547C">
      <w:pPr>
        <w:pStyle w:val="Prrafodelista"/>
        <w:ind w:left="1440"/>
        <w:rPr>
          <w:rFonts w:ascii="Arial" w:hAnsi="Arial" w:cs="Arial"/>
        </w:rPr>
      </w:pPr>
    </w:p>
    <w:p w:rsidR="0024547C" w:rsidRPr="00104F4B" w:rsidRDefault="0024547C" w:rsidP="002625A5">
      <w:pPr>
        <w:pStyle w:val="Prrafodelista"/>
        <w:numPr>
          <w:ilvl w:val="0"/>
          <w:numId w:val="42"/>
        </w:numPr>
        <w:spacing w:before="0" w:after="160"/>
        <w:contextualSpacing/>
        <w:rPr>
          <w:rFonts w:ascii="Arial" w:hAnsi="Arial" w:cs="Arial"/>
        </w:rPr>
      </w:pPr>
      <w:r w:rsidRPr="00104F4B">
        <w:rPr>
          <w:rFonts w:ascii="Arial" w:hAnsi="Arial" w:cs="Arial"/>
        </w:rPr>
        <w:t>Con relación a la implementación de los procesos de selección a través de la plataforma SECOP II, se han adoptado las medidas necesarias para la debida transferencia de conocimientos sobre la misma, es así como, se cuenta con el acompañamiento del gerente de cuenta designado por Colombia Compra Eficiente para el IDU, se actúa aplicando cada una de las directrices impartidas por el ente rector a través de sus guías y manuales.</w:t>
      </w:r>
    </w:p>
    <w:p w:rsidR="0024547C" w:rsidRPr="00104F4B" w:rsidRDefault="0024547C" w:rsidP="002625A5">
      <w:pPr>
        <w:pStyle w:val="Prrafodelista"/>
        <w:numPr>
          <w:ilvl w:val="0"/>
          <w:numId w:val="42"/>
        </w:numPr>
        <w:spacing w:before="0" w:line="259" w:lineRule="auto"/>
        <w:contextualSpacing/>
        <w:rPr>
          <w:rFonts w:ascii="Arial" w:eastAsia="Times New Roman" w:hAnsi="Arial" w:cs="Arial"/>
          <w:lang w:eastAsia="es-ES"/>
        </w:rPr>
      </w:pPr>
      <w:r w:rsidRPr="00104F4B">
        <w:rPr>
          <w:rFonts w:ascii="Arial" w:eastAsia="Times New Roman" w:hAnsi="Arial" w:cs="Arial"/>
          <w:lang w:eastAsia="es-ES"/>
        </w:rPr>
        <w:t>Se generaron minutas tipo para las diferentes modalidades de selección, con la participación de equipos técnico jurídicos, así: Contratos de Prestación de Servicios Profesionales y Apoyo a la Gestión, obra, interventoría de obra, consultoría, interventoría consultoría y mixtos (Estudios, diseños y construcción) e interventoría de contratos mixtos. Así mismo, se estructuraron minutas para proyectos de troncales.</w:t>
      </w:r>
    </w:p>
    <w:p w:rsidR="0024547C" w:rsidRPr="00104F4B" w:rsidRDefault="0024547C" w:rsidP="002625A5">
      <w:pPr>
        <w:pStyle w:val="Prrafodelista"/>
        <w:numPr>
          <w:ilvl w:val="0"/>
          <w:numId w:val="42"/>
        </w:numPr>
        <w:spacing w:before="0" w:line="259" w:lineRule="auto"/>
        <w:contextualSpacing/>
        <w:rPr>
          <w:rFonts w:ascii="Arial" w:eastAsia="Times New Roman" w:hAnsi="Arial" w:cs="Arial"/>
          <w:lang w:eastAsia="es-ES"/>
        </w:rPr>
      </w:pPr>
      <w:r w:rsidRPr="00104F4B">
        <w:rPr>
          <w:rFonts w:ascii="Arial" w:eastAsia="Times New Roman" w:hAnsi="Arial" w:cs="Arial"/>
          <w:lang w:eastAsia="es-ES"/>
        </w:rPr>
        <w:t xml:space="preserve">Se depuraron en conjunto con las áreas técnicas, las matrices de riesgo tipo, en especial la de proyectos troncales. </w:t>
      </w:r>
    </w:p>
    <w:p w:rsidR="0024547C" w:rsidRPr="00104F4B" w:rsidRDefault="0024547C" w:rsidP="002625A5">
      <w:pPr>
        <w:pStyle w:val="Prrafodelista"/>
        <w:numPr>
          <w:ilvl w:val="0"/>
          <w:numId w:val="42"/>
        </w:numPr>
        <w:spacing w:before="0" w:line="259" w:lineRule="auto"/>
        <w:contextualSpacing/>
        <w:rPr>
          <w:rFonts w:ascii="Arial" w:eastAsia="Times New Roman" w:hAnsi="Arial" w:cs="Arial"/>
          <w:lang w:eastAsia="es-ES"/>
        </w:rPr>
      </w:pPr>
      <w:r w:rsidRPr="00104F4B">
        <w:rPr>
          <w:rFonts w:ascii="Arial" w:eastAsia="Times New Roman" w:hAnsi="Arial" w:cs="Arial"/>
          <w:lang w:eastAsia="es-ES"/>
        </w:rPr>
        <w:t>Acompañamiento en mesas de trabajo a las solicitudes de procedimiento administrativo sancionatorio, lo que da celeridad al inicio y trámite de cada una de las etapas.</w:t>
      </w:r>
    </w:p>
    <w:p w:rsidR="0024547C" w:rsidRPr="00104F4B" w:rsidRDefault="0024547C" w:rsidP="002625A5">
      <w:pPr>
        <w:pStyle w:val="Prrafodelista"/>
        <w:numPr>
          <w:ilvl w:val="0"/>
          <w:numId w:val="42"/>
        </w:numPr>
        <w:spacing w:before="0" w:line="259" w:lineRule="auto"/>
        <w:contextualSpacing/>
        <w:rPr>
          <w:rFonts w:ascii="Arial" w:eastAsia="Times New Roman" w:hAnsi="Arial" w:cs="Arial"/>
          <w:lang w:eastAsia="es-ES"/>
        </w:rPr>
      </w:pPr>
      <w:r w:rsidRPr="00104F4B">
        <w:rPr>
          <w:rFonts w:ascii="Arial" w:eastAsia="Times New Roman" w:hAnsi="Arial" w:cs="Arial"/>
          <w:lang w:eastAsia="es-ES"/>
        </w:rPr>
        <w:t>Seguimiento permanente a la actualización de las garantías de los contratos con el fin de asegurar la cobertura de los amparos, para lo cual se envían correos y oficios solicitando las correcciones del caso.</w:t>
      </w:r>
    </w:p>
    <w:p w:rsidR="0024547C" w:rsidRPr="00104F4B" w:rsidRDefault="0024547C" w:rsidP="002625A5">
      <w:pPr>
        <w:pStyle w:val="Prrafodelista"/>
        <w:numPr>
          <w:ilvl w:val="0"/>
          <w:numId w:val="42"/>
        </w:numPr>
        <w:spacing w:before="0" w:line="259" w:lineRule="auto"/>
        <w:contextualSpacing/>
        <w:rPr>
          <w:rFonts w:ascii="Arial" w:eastAsia="Times New Roman" w:hAnsi="Arial" w:cs="Arial"/>
          <w:lang w:eastAsia="es-ES"/>
        </w:rPr>
      </w:pPr>
      <w:r w:rsidRPr="00104F4B">
        <w:rPr>
          <w:rFonts w:ascii="Arial" w:eastAsia="Times New Roman" w:hAnsi="Arial" w:cs="Arial"/>
          <w:lang w:eastAsia="es-ES"/>
        </w:rPr>
        <w:t>Mesas de trabajo con la DTPS y las dependencias técnicas, para la revisión de estructuración de los procesos, procurando evitar los reprocesos y agilizar la gestión contractual.</w:t>
      </w:r>
    </w:p>
    <w:p w:rsidR="0024547C" w:rsidRPr="00104F4B" w:rsidRDefault="0024547C" w:rsidP="009A4DDD">
      <w:pPr>
        <w:pStyle w:val="Prrafodelista"/>
        <w:numPr>
          <w:ilvl w:val="0"/>
          <w:numId w:val="42"/>
        </w:numPr>
        <w:spacing w:before="0" w:line="259" w:lineRule="auto"/>
        <w:contextualSpacing/>
        <w:rPr>
          <w:rFonts w:ascii="Arial" w:eastAsia="Times New Roman" w:hAnsi="Arial" w:cs="Arial"/>
          <w:lang w:eastAsia="es-ES"/>
        </w:rPr>
      </w:pPr>
      <w:r w:rsidRPr="00104F4B">
        <w:rPr>
          <w:rFonts w:ascii="Arial" w:eastAsia="Times New Roman" w:hAnsi="Arial" w:cs="Arial"/>
          <w:lang w:eastAsia="es-ES"/>
        </w:rPr>
        <w:t>Mesas de Trabajo con la SGJ y DTGC, para la solución de temas de ejecución contractual.</w:t>
      </w:r>
    </w:p>
    <w:p w:rsidR="0024547C" w:rsidRPr="00104F4B" w:rsidRDefault="0024547C" w:rsidP="009A4DDD">
      <w:pPr>
        <w:pStyle w:val="Ttulo1"/>
        <w:rPr>
          <w:rFonts w:ascii="Arial" w:hAnsi="Arial" w:cs="Arial"/>
          <w:color w:val="222222"/>
          <w:sz w:val="22"/>
          <w:szCs w:val="22"/>
          <w:lang w:eastAsia="es-CO"/>
        </w:rPr>
      </w:pPr>
      <w:bookmarkStart w:id="49" w:name="_Toc536195548"/>
      <w:r w:rsidRPr="00104F4B">
        <w:rPr>
          <w:rFonts w:ascii="Arial" w:hAnsi="Arial" w:cs="Arial"/>
          <w:color w:val="222222"/>
          <w:sz w:val="22"/>
          <w:szCs w:val="22"/>
          <w:lang w:eastAsia="es-CO"/>
        </w:rPr>
        <w:t>4.3</w:t>
      </w:r>
      <w:r w:rsidRPr="00104F4B">
        <w:rPr>
          <w:rFonts w:ascii="Arial" w:hAnsi="Arial" w:cs="Arial"/>
          <w:b w:val="0"/>
          <w:color w:val="222222"/>
          <w:sz w:val="22"/>
          <w:szCs w:val="22"/>
          <w:lang w:eastAsia="es-CO"/>
        </w:rPr>
        <w:t xml:space="preserve"> </w:t>
      </w:r>
      <w:r w:rsidRPr="00104F4B">
        <w:rPr>
          <w:rFonts w:ascii="Arial" w:hAnsi="Arial" w:cs="Arial"/>
          <w:color w:val="222222"/>
          <w:sz w:val="22"/>
          <w:szCs w:val="22"/>
          <w:lang w:eastAsia="es-CO"/>
        </w:rPr>
        <w:t>Recomendaciones</w:t>
      </w:r>
      <w:r w:rsidRPr="00104F4B">
        <w:rPr>
          <w:rFonts w:ascii="Arial" w:hAnsi="Arial" w:cs="Arial"/>
          <w:b w:val="0"/>
          <w:color w:val="222222"/>
          <w:sz w:val="22"/>
          <w:szCs w:val="22"/>
          <w:lang w:eastAsia="es-CO"/>
        </w:rPr>
        <w:t xml:space="preserve"> para el mejoramiento de la gestión</w:t>
      </w:r>
      <w:bookmarkEnd w:id="49"/>
    </w:p>
    <w:p w:rsidR="0024547C" w:rsidRPr="00104F4B" w:rsidRDefault="0024547C" w:rsidP="009A4DDD">
      <w:pPr>
        <w:pStyle w:val="Prrafodelista"/>
        <w:numPr>
          <w:ilvl w:val="0"/>
          <w:numId w:val="40"/>
        </w:numPr>
        <w:spacing w:before="0"/>
        <w:contextualSpacing/>
        <w:rPr>
          <w:rFonts w:ascii="Arial" w:eastAsiaTheme="minorEastAsia" w:hAnsi="Arial" w:cs="Arial"/>
          <w:kern w:val="24"/>
          <w:lang w:val="es-MX"/>
        </w:rPr>
      </w:pPr>
      <w:r w:rsidRPr="00104F4B">
        <w:rPr>
          <w:rFonts w:ascii="Arial" w:eastAsiaTheme="minorEastAsia" w:hAnsi="Arial" w:cs="Arial"/>
          <w:kern w:val="24"/>
          <w:lang w:val="es-MX"/>
        </w:rPr>
        <w:t>Optimización de las diferentes mesas de trabajo para resolver asuntos atinentes a la estructuración de procesos y a la ejecución contractual.</w:t>
      </w:r>
    </w:p>
    <w:p w:rsidR="0024547C" w:rsidRPr="00104F4B" w:rsidRDefault="0024547C" w:rsidP="009A4DDD">
      <w:pPr>
        <w:pStyle w:val="Prrafodelista"/>
        <w:numPr>
          <w:ilvl w:val="0"/>
          <w:numId w:val="40"/>
        </w:numPr>
        <w:spacing w:before="0"/>
        <w:contextualSpacing/>
        <w:rPr>
          <w:rFonts w:ascii="Arial" w:eastAsiaTheme="minorEastAsia" w:hAnsi="Arial" w:cs="Arial"/>
          <w:kern w:val="24"/>
          <w:lang w:val="es-MX"/>
        </w:rPr>
      </w:pPr>
      <w:r w:rsidRPr="00104F4B">
        <w:rPr>
          <w:rFonts w:ascii="Arial" w:eastAsiaTheme="minorEastAsia" w:hAnsi="Arial" w:cs="Arial"/>
          <w:kern w:val="24"/>
          <w:lang w:val="es-MX"/>
        </w:rPr>
        <w:t>Emisión de Instructivo para atender peticiones de entes de Control.</w:t>
      </w:r>
    </w:p>
    <w:p w:rsidR="0024547C" w:rsidRPr="00104F4B" w:rsidRDefault="0024547C" w:rsidP="009A4DDD">
      <w:pPr>
        <w:pStyle w:val="Prrafodelista"/>
        <w:numPr>
          <w:ilvl w:val="0"/>
          <w:numId w:val="40"/>
        </w:numPr>
        <w:spacing w:before="0"/>
        <w:contextualSpacing/>
        <w:rPr>
          <w:rFonts w:ascii="Arial" w:eastAsiaTheme="minorEastAsia" w:hAnsi="Arial" w:cs="Arial"/>
          <w:kern w:val="24"/>
          <w:lang w:val="es-MX"/>
        </w:rPr>
      </w:pPr>
      <w:r w:rsidRPr="00104F4B">
        <w:rPr>
          <w:rFonts w:ascii="Arial" w:eastAsiaTheme="minorEastAsia" w:hAnsi="Arial" w:cs="Arial"/>
          <w:kern w:val="24"/>
          <w:lang w:val="es-MX"/>
        </w:rPr>
        <w:t>Diagnóstico y levantamiento de información sobre el proceso sancionatorio.</w:t>
      </w:r>
    </w:p>
    <w:p w:rsidR="0024547C" w:rsidRPr="00104F4B" w:rsidRDefault="0024547C" w:rsidP="009A4DDD">
      <w:pPr>
        <w:pStyle w:val="Prrafodelista"/>
        <w:numPr>
          <w:ilvl w:val="0"/>
          <w:numId w:val="40"/>
        </w:numPr>
        <w:spacing w:before="0"/>
        <w:contextualSpacing/>
        <w:rPr>
          <w:rFonts w:ascii="Arial" w:eastAsiaTheme="minorEastAsia" w:hAnsi="Arial" w:cs="Arial"/>
          <w:kern w:val="24"/>
          <w:lang w:val="es-MX"/>
        </w:rPr>
      </w:pPr>
      <w:r w:rsidRPr="00104F4B">
        <w:rPr>
          <w:rFonts w:ascii="Arial" w:eastAsiaTheme="minorEastAsia" w:hAnsi="Arial" w:cs="Arial"/>
          <w:kern w:val="24"/>
          <w:lang w:val="es-MX"/>
        </w:rPr>
        <w:t xml:space="preserve">Modificación del procedimiento para procesos sancionatorios administrativos. </w:t>
      </w:r>
    </w:p>
    <w:p w:rsidR="0024547C" w:rsidRPr="00104F4B" w:rsidRDefault="0024547C" w:rsidP="009A4DDD">
      <w:pPr>
        <w:pStyle w:val="Prrafodelista"/>
        <w:numPr>
          <w:ilvl w:val="0"/>
          <w:numId w:val="40"/>
        </w:numPr>
        <w:spacing w:before="0"/>
        <w:contextualSpacing/>
        <w:rPr>
          <w:rFonts w:ascii="Arial" w:eastAsiaTheme="minorEastAsia" w:hAnsi="Arial" w:cs="Arial"/>
          <w:kern w:val="24"/>
          <w:lang w:val="es-MX"/>
        </w:rPr>
      </w:pPr>
      <w:r w:rsidRPr="00104F4B">
        <w:rPr>
          <w:rFonts w:ascii="Arial" w:eastAsiaTheme="minorEastAsia" w:hAnsi="Arial" w:cs="Arial"/>
          <w:kern w:val="24"/>
          <w:lang w:val="es-MX"/>
        </w:rPr>
        <w:t xml:space="preserve"> -Elaboración del Manual de Defensa Judicial y Extrajudicial.</w:t>
      </w:r>
    </w:p>
    <w:p w:rsidR="0024547C" w:rsidRPr="00104F4B" w:rsidRDefault="0024547C" w:rsidP="009A4DDD">
      <w:pPr>
        <w:pStyle w:val="Prrafodelista"/>
        <w:numPr>
          <w:ilvl w:val="0"/>
          <w:numId w:val="40"/>
        </w:numPr>
        <w:spacing w:before="0"/>
        <w:contextualSpacing/>
        <w:rPr>
          <w:rFonts w:ascii="Arial" w:eastAsiaTheme="minorEastAsia" w:hAnsi="Arial" w:cs="Arial"/>
          <w:kern w:val="24"/>
          <w:lang w:val="es-MX"/>
        </w:rPr>
      </w:pPr>
      <w:r w:rsidRPr="00104F4B">
        <w:rPr>
          <w:rFonts w:ascii="Arial" w:eastAsiaTheme="minorEastAsia" w:hAnsi="Arial" w:cs="Arial"/>
          <w:kern w:val="24"/>
          <w:lang w:val="es-MX"/>
        </w:rPr>
        <w:t>Creación del Procedimiento de verificación de la eficacia de las políticas de prevención.</w:t>
      </w:r>
    </w:p>
    <w:p w:rsidR="0024547C" w:rsidRPr="00104F4B" w:rsidRDefault="0024547C" w:rsidP="009A4DDD">
      <w:pPr>
        <w:pStyle w:val="Prrafodelista"/>
        <w:numPr>
          <w:ilvl w:val="0"/>
          <w:numId w:val="40"/>
        </w:numPr>
        <w:spacing w:before="0"/>
        <w:contextualSpacing/>
        <w:rPr>
          <w:rFonts w:ascii="Arial" w:hAnsi="Arial" w:cs="Arial"/>
          <w:lang w:val="es-MX"/>
        </w:rPr>
      </w:pPr>
      <w:r w:rsidRPr="00104F4B">
        <w:rPr>
          <w:rFonts w:ascii="Arial" w:eastAsiaTheme="minorEastAsia" w:hAnsi="Arial" w:cs="Arial"/>
          <w:kern w:val="24"/>
          <w:lang w:val="es-MX"/>
        </w:rPr>
        <w:t>Ampliar la plataforma del sistema de información de procesos judiciales para poder incorporar las querellas y procesos de cobro coactivo.</w:t>
      </w:r>
    </w:p>
    <w:p w:rsidR="0024547C" w:rsidRPr="00104F4B" w:rsidRDefault="0024547C" w:rsidP="009A4DDD">
      <w:pPr>
        <w:pStyle w:val="Prrafodelista"/>
        <w:numPr>
          <w:ilvl w:val="0"/>
          <w:numId w:val="40"/>
        </w:numPr>
        <w:spacing w:before="0"/>
        <w:contextualSpacing/>
        <w:rPr>
          <w:rFonts w:ascii="Arial" w:hAnsi="Arial" w:cs="Arial"/>
          <w:lang w:val="es-MX"/>
        </w:rPr>
      </w:pPr>
      <w:r w:rsidRPr="00104F4B">
        <w:rPr>
          <w:rFonts w:ascii="Arial" w:hAnsi="Arial" w:cs="Arial"/>
          <w:lang w:val="es-MX"/>
        </w:rPr>
        <w:t>Modificación del reglamento del Comité de Conciliación</w:t>
      </w:r>
    </w:p>
    <w:p w:rsidR="0024547C" w:rsidRPr="00104F4B" w:rsidRDefault="0024547C" w:rsidP="009A4DDD">
      <w:pPr>
        <w:pStyle w:val="Prrafodelista"/>
        <w:numPr>
          <w:ilvl w:val="0"/>
          <w:numId w:val="40"/>
        </w:numPr>
        <w:spacing w:before="0"/>
        <w:contextualSpacing/>
        <w:rPr>
          <w:rFonts w:ascii="Arial" w:hAnsi="Arial" w:cs="Arial"/>
          <w:lang w:val="es-MX"/>
        </w:rPr>
      </w:pPr>
      <w:r w:rsidRPr="00104F4B">
        <w:rPr>
          <w:rFonts w:ascii="Arial" w:hAnsi="Arial" w:cs="Arial"/>
          <w:lang w:val="es-MX"/>
        </w:rPr>
        <w:lastRenderedPageBreak/>
        <w:t>Hacer partícipe a las áreas técnicas en su obligación de aportar lo necesario para una adecuada defensa de sus propios actos administrativos y de la gestión en general.</w:t>
      </w:r>
    </w:p>
    <w:p w:rsidR="0024547C" w:rsidRPr="00104F4B" w:rsidRDefault="0024547C" w:rsidP="009A4DDD">
      <w:pPr>
        <w:pStyle w:val="Prrafodelista"/>
        <w:numPr>
          <w:ilvl w:val="0"/>
          <w:numId w:val="40"/>
        </w:numPr>
        <w:shd w:val="clear" w:color="auto" w:fill="FFFFFF"/>
        <w:spacing w:before="0"/>
        <w:contextualSpacing/>
        <w:rPr>
          <w:rFonts w:ascii="Arial" w:eastAsia="Times New Roman" w:hAnsi="Arial" w:cs="Arial"/>
          <w:color w:val="222222"/>
        </w:rPr>
      </w:pPr>
      <w:r w:rsidRPr="00104F4B">
        <w:rPr>
          <w:rFonts w:ascii="Arial" w:hAnsi="Arial" w:cs="Arial"/>
          <w:color w:val="000000"/>
        </w:rPr>
        <w:t>En cuanto a la plataforma SECOP II se hace necesario insistir, en capacitar constantemente al personal de la DTPS, en el manejo de la misma.</w:t>
      </w:r>
    </w:p>
    <w:p w:rsidR="0024547C" w:rsidRPr="00104F4B" w:rsidRDefault="0024547C" w:rsidP="009A4DDD">
      <w:pPr>
        <w:pStyle w:val="Prrafodelista"/>
        <w:numPr>
          <w:ilvl w:val="0"/>
          <w:numId w:val="40"/>
        </w:numPr>
        <w:shd w:val="clear" w:color="auto" w:fill="FFFFFF"/>
        <w:spacing w:before="0"/>
        <w:contextualSpacing/>
        <w:rPr>
          <w:rFonts w:ascii="Arial" w:eastAsia="Times New Roman" w:hAnsi="Arial" w:cs="Arial"/>
          <w:color w:val="222222"/>
        </w:rPr>
      </w:pPr>
      <w:r w:rsidRPr="00104F4B">
        <w:rPr>
          <w:rFonts w:ascii="Arial" w:eastAsia="Times New Roman" w:hAnsi="Arial" w:cs="Arial"/>
          <w:color w:val="222222"/>
        </w:rPr>
        <w:t>Se considera necesario fortalecer los esquemas internos de control en los mecanismos de evaluación de los procesos. En este aspecto se pretende dar un mayor rol de participación a la figura de los coordinadores de orden legal, técnico y financiero quienes adelantarán mesas de trabajo con los comités de evaluadores de los procesos previo a la  publicación de los informes, con el fin de revisar aspectos puntuales de  las evaluaciones y formular recomendaciones, aspecto que procura brindar mayores garantías a las instancias de evaluación y de ordenación de gasto.</w:t>
      </w:r>
    </w:p>
    <w:p w:rsidR="0024547C" w:rsidRPr="00104F4B" w:rsidRDefault="0024547C" w:rsidP="002625A5">
      <w:pPr>
        <w:pStyle w:val="Prrafodelista"/>
        <w:numPr>
          <w:ilvl w:val="0"/>
          <w:numId w:val="40"/>
        </w:numPr>
        <w:shd w:val="clear" w:color="auto" w:fill="FFFFFF"/>
        <w:spacing w:before="0"/>
        <w:contextualSpacing/>
        <w:rPr>
          <w:rFonts w:ascii="Arial" w:eastAsia="Times New Roman" w:hAnsi="Arial" w:cs="Arial"/>
          <w:color w:val="222222"/>
        </w:rPr>
      </w:pPr>
      <w:r w:rsidRPr="00104F4B">
        <w:rPr>
          <w:rFonts w:ascii="Arial" w:eastAsia="Times New Roman" w:hAnsi="Arial" w:cs="Arial"/>
          <w:color w:val="222222"/>
        </w:rPr>
        <w:t>Se considera que las reuniones previas a las audiencias de adjudicación con los ordenadores de gasto previstas dentro del procedimiento pueden optimizarse. Teniendo en cuenta que la finalidad es informar al ordenador de gasto sobre los resultados de la evaluación, y  a su vez evidenciando que los ordenadores de gasto deben atender múltiples compromisos derivados de las responsabilidades propias de sus cargos, se recomienda optimizar el proceso con la presentación de informes virtuales o electrónicos.</w:t>
      </w:r>
    </w:p>
    <w:p w:rsidR="0024547C" w:rsidRPr="00104F4B" w:rsidRDefault="0024547C" w:rsidP="002625A5">
      <w:pPr>
        <w:pStyle w:val="Prrafodelista"/>
        <w:numPr>
          <w:ilvl w:val="0"/>
          <w:numId w:val="40"/>
        </w:numPr>
        <w:spacing w:before="0" w:after="160" w:line="259" w:lineRule="auto"/>
        <w:contextualSpacing/>
        <w:rPr>
          <w:rFonts w:ascii="Arial" w:eastAsia="Times New Roman" w:hAnsi="Arial" w:cs="Arial"/>
          <w:lang w:eastAsia="es-ES"/>
        </w:rPr>
      </w:pPr>
      <w:r w:rsidRPr="00104F4B">
        <w:rPr>
          <w:rFonts w:ascii="Arial" w:eastAsia="Times New Roman" w:hAnsi="Arial" w:cs="Arial"/>
          <w:lang w:eastAsia="es-ES"/>
        </w:rPr>
        <w:t>Cumplimiento de los tiempos establecidos para la solicitud de elaboración de modificación de contratos y/o convenios los cuales se encuentran establecidos en las políticas operacionales de los procedimientos.</w:t>
      </w:r>
    </w:p>
    <w:p w:rsidR="0024547C" w:rsidRPr="00104F4B" w:rsidRDefault="0024547C" w:rsidP="002625A5">
      <w:pPr>
        <w:pStyle w:val="Prrafodelista"/>
        <w:numPr>
          <w:ilvl w:val="0"/>
          <w:numId w:val="40"/>
        </w:numPr>
        <w:spacing w:before="0" w:after="160" w:line="259" w:lineRule="auto"/>
        <w:contextualSpacing/>
        <w:rPr>
          <w:rFonts w:ascii="Arial" w:eastAsia="Times New Roman" w:hAnsi="Arial" w:cs="Arial"/>
          <w:color w:val="222222"/>
        </w:rPr>
      </w:pPr>
      <w:r w:rsidRPr="00104F4B">
        <w:rPr>
          <w:rFonts w:ascii="Arial" w:eastAsia="Times New Roman" w:hAnsi="Arial" w:cs="Arial"/>
          <w:lang w:eastAsia="es-ES"/>
        </w:rPr>
        <w:t>Actualización de los procedimientos atendiendo a los requerimientos de la plataforma transaccional SECOP II alineando las actividades de la Dirección Técnica de Procesos Selectivos y la Dirección Técnica de Gestión Contractual.</w:t>
      </w:r>
    </w:p>
    <w:p w:rsidR="0024547C" w:rsidRPr="00104F4B" w:rsidRDefault="0024547C" w:rsidP="0024547C">
      <w:pPr>
        <w:pStyle w:val="Ttulo1"/>
        <w:rPr>
          <w:rFonts w:ascii="Arial" w:hAnsi="Arial" w:cs="Arial"/>
          <w:color w:val="222222"/>
          <w:sz w:val="22"/>
          <w:szCs w:val="22"/>
          <w:lang w:eastAsia="es-CO"/>
        </w:rPr>
      </w:pPr>
      <w:bookmarkStart w:id="50" w:name="_Toc536195549"/>
      <w:r w:rsidRPr="00104F4B">
        <w:rPr>
          <w:rFonts w:ascii="Arial" w:hAnsi="Arial" w:cs="Arial"/>
          <w:color w:val="222222"/>
          <w:sz w:val="22"/>
          <w:szCs w:val="22"/>
          <w:lang w:eastAsia="es-CO"/>
        </w:rPr>
        <w:t>4.4 Dificultades en la ejecución de la Gestión a Cargo</w:t>
      </w:r>
      <w:bookmarkEnd w:id="50"/>
    </w:p>
    <w:p w:rsidR="0024547C" w:rsidRPr="00104F4B" w:rsidRDefault="0024547C" w:rsidP="0024547C">
      <w:pPr>
        <w:rPr>
          <w:rFonts w:cs="Arial"/>
          <w:szCs w:val="22"/>
        </w:rPr>
      </w:pPr>
    </w:p>
    <w:p w:rsidR="0024547C" w:rsidRPr="00104F4B" w:rsidRDefault="0024547C" w:rsidP="002625A5">
      <w:pPr>
        <w:pStyle w:val="Prrafodelista"/>
        <w:numPr>
          <w:ilvl w:val="0"/>
          <w:numId w:val="40"/>
        </w:numPr>
        <w:spacing w:before="0" w:after="160" w:line="259" w:lineRule="auto"/>
        <w:contextualSpacing/>
        <w:rPr>
          <w:rFonts w:ascii="Arial" w:eastAsia="Times New Roman" w:hAnsi="Arial" w:cs="Arial"/>
          <w:lang w:eastAsia="es-ES"/>
        </w:rPr>
      </w:pPr>
      <w:r w:rsidRPr="00104F4B">
        <w:rPr>
          <w:rFonts w:ascii="Arial" w:eastAsia="Times New Roman" w:hAnsi="Arial" w:cs="Arial"/>
          <w:lang w:eastAsia="es-ES"/>
        </w:rPr>
        <w:t xml:space="preserve">Las áreas radican respuestas a entes de control, el mismo día de vencimiento, respondiendo parcialmente o sin aportar los documentos que prueben las afirmaciones realizadas por el IDU. </w:t>
      </w:r>
    </w:p>
    <w:p w:rsidR="0024547C" w:rsidRPr="00104F4B" w:rsidRDefault="0024547C" w:rsidP="002625A5">
      <w:pPr>
        <w:pStyle w:val="Prrafodelista"/>
        <w:numPr>
          <w:ilvl w:val="0"/>
          <w:numId w:val="40"/>
        </w:numPr>
        <w:spacing w:before="0" w:after="160" w:line="259" w:lineRule="auto"/>
        <w:contextualSpacing/>
        <w:rPr>
          <w:rFonts w:ascii="Arial" w:eastAsia="Times New Roman" w:hAnsi="Arial" w:cs="Arial"/>
          <w:lang w:eastAsia="es-ES"/>
        </w:rPr>
      </w:pPr>
      <w:r w:rsidRPr="00104F4B">
        <w:rPr>
          <w:rFonts w:ascii="Arial" w:eastAsia="Times New Roman" w:hAnsi="Arial" w:cs="Arial"/>
          <w:lang w:eastAsia="es-ES"/>
        </w:rPr>
        <w:t>Entrega de trámite de PSP, con errores en estudios previos o sin los soportes requeridos, generando reprocesos por segunda revisión documental.</w:t>
      </w:r>
    </w:p>
    <w:p w:rsidR="0024547C" w:rsidRPr="00104F4B" w:rsidRDefault="0024547C" w:rsidP="002625A5">
      <w:pPr>
        <w:pStyle w:val="Prrafodelista"/>
        <w:numPr>
          <w:ilvl w:val="0"/>
          <w:numId w:val="40"/>
        </w:numPr>
        <w:spacing w:before="0" w:after="160" w:line="259" w:lineRule="auto"/>
        <w:contextualSpacing/>
        <w:rPr>
          <w:rFonts w:ascii="Arial" w:eastAsia="Times New Roman" w:hAnsi="Arial" w:cs="Arial"/>
          <w:lang w:eastAsia="es-ES"/>
        </w:rPr>
      </w:pPr>
      <w:r w:rsidRPr="00104F4B">
        <w:rPr>
          <w:rFonts w:ascii="Arial" w:eastAsia="Times New Roman" w:hAnsi="Arial" w:cs="Arial"/>
          <w:lang w:eastAsia="es-ES"/>
        </w:rPr>
        <w:t>Las áreas radican las solicitudes de modificación de contratos y/o convenios el mismo día en que vence el contrato.</w:t>
      </w:r>
    </w:p>
    <w:p w:rsidR="0024547C" w:rsidRPr="00104F4B" w:rsidRDefault="0024547C" w:rsidP="002625A5">
      <w:pPr>
        <w:pStyle w:val="Prrafodelista"/>
        <w:numPr>
          <w:ilvl w:val="0"/>
          <w:numId w:val="40"/>
        </w:numPr>
        <w:spacing w:before="0" w:after="160" w:line="259" w:lineRule="auto"/>
        <w:contextualSpacing/>
        <w:rPr>
          <w:rFonts w:ascii="Arial" w:eastAsia="Times New Roman" w:hAnsi="Arial" w:cs="Arial"/>
          <w:lang w:eastAsia="es-ES"/>
        </w:rPr>
      </w:pPr>
      <w:r w:rsidRPr="00104F4B">
        <w:rPr>
          <w:rFonts w:ascii="Arial" w:eastAsia="Times New Roman" w:hAnsi="Arial" w:cs="Arial"/>
          <w:lang w:eastAsia="es-ES"/>
        </w:rPr>
        <w:t>Se remiten los documentos para publicar en el Portal de contratación pública SECOP  el mismo día del vencimiento de los términos de ley.</w:t>
      </w:r>
    </w:p>
    <w:p w:rsidR="0024547C" w:rsidRPr="00104F4B" w:rsidRDefault="0024547C" w:rsidP="002625A5">
      <w:pPr>
        <w:pStyle w:val="Prrafodelista"/>
        <w:numPr>
          <w:ilvl w:val="0"/>
          <w:numId w:val="40"/>
        </w:numPr>
        <w:spacing w:before="0" w:after="160" w:line="259" w:lineRule="auto"/>
        <w:contextualSpacing/>
        <w:rPr>
          <w:rFonts w:ascii="Arial" w:eastAsia="Times New Roman" w:hAnsi="Arial" w:cs="Arial"/>
          <w:lang w:eastAsia="es-ES"/>
        </w:rPr>
      </w:pPr>
      <w:r w:rsidRPr="00104F4B">
        <w:rPr>
          <w:rFonts w:ascii="Arial" w:eastAsia="Times New Roman" w:hAnsi="Arial" w:cs="Arial"/>
          <w:lang w:eastAsia="es-ES"/>
        </w:rPr>
        <w:t>Radicación de los informes técnicos de presunto incumplimiento contractual sin el lleno de requisitos o sin  soportes probatorios o sin el tiempo suficiente para adelantar el debido proceso para la imposición de multas. .</w:t>
      </w:r>
    </w:p>
    <w:p w:rsidR="0024547C" w:rsidRPr="00104F4B" w:rsidRDefault="0024547C" w:rsidP="002625A5">
      <w:pPr>
        <w:pStyle w:val="Prrafodelista"/>
        <w:numPr>
          <w:ilvl w:val="0"/>
          <w:numId w:val="40"/>
        </w:numPr>
        <w:spacing w:before="0" w:after="160" w:line="259" w:lineRule="auto"/>
        <w:contextualSpacing/>
        <w:rPr>
          <w:rFonts w:ascii="Arial" w:eastAsia="Times New Roman" w:hAnsi="Arial" w:cs="Arial"/>
          <w:lang w:eastAsia="es-ES"/>
        </w:rPr>
      </w:pPr>
      <w:r w:rsidRPr="00104F4B">
        <w:rPr>
          <w:rFonts w:ascii="Arial" w:eastAsia="Times New Roman" w:hAnsi="Arial" w:cs="Arial"/>
          <w:lang w:eastAsia="es-ES"/>
        </w:rPr>
        <w:t xml:space="preserve">Demora en la radicación de los ajustes a los informes técnicos de presunto incumplimiento contractual solicitados en el trámite del Procedimiento Administrativo Sancionatorio. </w:t>
      </w:r>
    </w:p>
    <w:p w:rsidR="0024547C" w:rsidRPr="00104F4B" w:rsidRDefault="0024547C" w:rsidP="002625A5">
      <w:pPr>
        <w:pStyle w:val="Prrafodelista"/>
        <w:numPr>
          <w:ilvl w:val="0"/>
          <w:numId w:val="40"/>
        </w:numPr>
        <w:spacing w:before="0" w:after="160" w:line="259" w:lineRule="auto"/>
        <w:contextualSpacing/>
        <w:rPr>
          <w:rFonts w:ascii="Arial" w:eastAsia="Times New Roman" w:hAnsi="Arial" w:cs="Arial"/>
          <w:lang w:eastAsia="es-ES"/>
        </w:rPr>
      </w:pPr>
      <w:r w:rsidRPr="00104F4B">
        <w:rPr>
          <w:rFonts w:ascii="Arial" w:eastAsia="Times New Roman" w:hAnsi="Arial" w:cs="Arial"/>
          <w:lang w:eastAsia="es-ES"/>
        </w:rPr>
        <w:t>La apertura de sobres económicos en los procesos de selección CMA y LP, no es ágil, porque no se cuenta con apoyo tecnológico en sitio, impidiendo que se puedan revisar, al mismo tiempo, varias ofertas económicas.</w:t>
      </w:r>
    </w:p>
    <w:p w:rsidR="0024547C" w:rsidRPr="00104F4B" w:rsidRDefault="0024547C" w:rsidP="002625A5">
      <w:pPr>
        <w:pStyle w:val="Prrafodelista"/>
        <w:numPr>
          <w:ilvl w:val="0"/>
          <w:numId w:val="40"/>
        </w:numPr>
        <w:spacing w:before="0" w:after="160" w:line="259" w:lineRule="auto"/>
        <w:contextualSpacing/>
        <w:rPr>
          <w:rFonts w:ascii="Arial" w:eastAsia="Times New Roman" w:hAnsi="Arial" w:cs="Arial"/>
          <w:lang w:eastAsia="es-ES"/>
        </w:rPr>
      </w:pPr>
      <w:r w:rsidRPr="00104F4B">
        <w:rPr>
          <w:rFonts w:ascii="Arial" w:eastAsia="Times New Roman" w:hAnsi="Arial" w:cs="Arial"/>
          <w:lang w:eastAsia="es-ES"/>
        </w:rPr>
        <w:t>Dificultades en la entrega con soportes de avances de los proyectos que permitan adelantar la defensa judicial o extrajudicial de manera eficiente y efectiva.</w:t>
      </w:r>
    </w:p>
    <w:p w:rsidR="0024547C" w:rsidRDefault="0024547C" w:rsidP="0024547C">
      <w:pPr>
        <w:autoSpaceDE w:val="0"/>
        <w:autoSpaceDN w:val="0"/>
        <w:adjustRightInd w:val="0"/>
        <w:spacing w:before="0"/>
        <w:contextualSpacing/>
        <w:rPr>
          <w:rFonts w:cs="Arial"/>
          <w:lang w:val="es-CO"/>
        </w:rPr>
      </w:pPr>
    </w:p>
    <w:p w:rsidR="00661C9D" w:rsidRPr="00104F4B" w:rsidRDefault="00661C9D" w:rsidP="00661C9D">
      <w:pPr>
        <w:pStyle w:val="Ttulo1"/>
        <w:jc w:val="center"/>
        <w:rPr>
          <w:rFonts w:ascii="Arial" w:hAnsi="Arial" w:cs="Arial"/>
          <w:sz w:val="22"/>
          <w:szCs w:val="22"/>
        </w:rPr>
      </w:pPr>
      <w:bookmarkStart w:id="51" w:name="_Toc536195550"/>
      <w:r w:rsidRPr="00104F4B">
        <w:rPr>
          <w:rFonts w:ascii="Arial" w:hAnsi="Arial" w:cs="Arial"/>
          <w:sz w:val="22"/>
          <w:szCs w:val="22"/>
        </w:rPr>
        <w:lastRenderedPageBreak/>
        <w:t>CAPITULO 5. GESTIÓN DE INFRAESTRUCTURA</w:t>
      </w:r>
      <w:bookmarkEnd w:id="51"/>
    </w:p>
    <w:p w:rsidR="00661C9D" w:rsidRPr="00104F4B" w:rsidRDefault="00661C9D" w:rsidP="00661C9D">
      <w:pPr>
        <w:pStyle w:val="Ttulo1"/>
        <w:rPr>
          <w:rFonts w:ascii="Arial" w:hAnsi="Arial" w:cs="Arial"/>
          <w:sz w:val="22"/>
          <w:szCs w:val="22"/>
          <w:lang w:val="es-CO"/>
        </w:rPr>
      </w:pPr>
      <w:bookmarkStart w:id="52" w:name="_Toc536195551"/>
      <w:r w:rsidRPr="00104F4B">
        <w:rPr>
          <w:rFonts w:ascii="Arial" w:hAnsi="Arial" w:cs="Arial"/>
          <w:sz w:val="22"/>
          <w:szCs w:val="22"/>
          <w:lang w:val="es-CO"/>
        </w:rPr>
        <w:t>5.1 Gestiones a Cargo</w:t>
      </w:r>
      <w:bookmarkEnd w:id="52"/>
      <w:r w:rsidRPr="00104F4B">
        <w:rPr>
          <w:rFonts w:ascii="Arial" w:hAnsi="Arial" w:cs="Arial"/>
          <w:sz w:val="22"/>
          <w:szCs w:val="22"/>
          <w:lang w:val="es-CO"/>
        </w:rPr>
        <w:t xml:space="preserve"> </w:t>
      </w:r>
    </w:p>
    <w:p w:rsidR="00661C9D" w:rsidRPr="00104F4B" w:rsidRDefault="00661C9D" w:rsidP="0024547C">
      <w:pPr>
        <w:autoSpaceDE w:val="0"/>
        <w:autoSpaceDN w:val="0"/>
        <w:adjustRightInd w:val="0"/>
        <w:spacing w:before="0"/>
        <w:contextualSpacing/>
        <w:rPr>
          <w:rFonts w:cs="Arial"/>
          <w:lang w:val="es-CO"/>
        </w:rPr>
      </w:pPr>
    </w:p>
    <w:p w:rsidR="00661C9D" w:rsidRPr="00104F4B" w:rsidRDefault="00661C9D" w:rsidP="002625A5">
      <w:pPr>
        <w:pStyle w:val="Prrafodelista"/>
        <w:numPr>
          <w:ilvl w:val="0"/>
          <w:numId w:val="45"/>
        </w:numPr>
        <w:spacing w:before="0"/>
        <w:rPr>
          <w:rFonts w:ascii="Arial" w:hAnsi="Arial" w:cs="Arial"/>
        </w:rPr>
      </w:pPr>
      <w:r w:rsidRPr="00104F4B">
        <w:rPr>
          <w:rFonts w:ascii="Arial" w:hAnsi="Arial" w:cs="Arial"/>
        </w:rPr>
        <w:t>Seguimiento relacionado con requerimientos de Entes de Control, Planes de Mejoramiento, Acuerdos de Gestión e Indicadores de gestión, evaluación de desempeño, revisión de procesos y procedimientos, revisión y actualización a la matriz de riesgos por corrupción, riesgos antisoborno y riesgos operativos.</w:t>
      </w:r>
    </w:p>
    <w:p w:rsidR="00661C9D" w:rsidRPr="00104F4B" w:rsidRDefault="00661C9D" w:rsidP="002625A5">
      <w:pPr>
        <w:pStyle w:val="Prrafodelista"/>
        <w:numPr>
          <w:ilvl w:val="0"/>
          <w:numId w:val="45"/>
        </w:numPr>
        <w:spacing w:before="0"/>
        <w:rPr>
          <w:rFonts w:ascii="Arial" w:hAnsi="Arial" w:cs="Arial"/>
        </w:rPr>
      </w:pPr>
      <w:r w:rsidRPr="00104F4B">
        <w:rPr>
          <w:rFonts w:ascii="Arial" w:hAnsi="Arial" w:cs="Arial"/>
        </w:rPr>
        <w:t>Se promovieron mesas de trabajo generando mecanismos de coordinación interinstitucional en las cuales se identificaron puntos de interés y toma de decisiones, agilizando trámites y viabilizando aprobaciones a cargo de las empresas de servicios públicos y entidades Distritales.</w:t>
      </w:r>
    </w:p>
    <w:p w:rsidR="00661C9D" w:rsidRPr="00104F4B" w:rsidRDefault="00661C9D" w:rsidP="002625A5">
      <w:pPr>
        <w:pStyle w:val="Prrafodelista"/>
        <w:numPr>
          <w:ilvl w:val="0"/>
          <w:numId w:val="45"/>
        </w:numPr>
        <w:shd w:val="clear" w:color="auto" w:fill="FFFFFF"/>
        <w:spacing w:before="0" w:after="240"/>
        <w:contextualSpacing/>
        <w:rPr>
          <w:rFonts w:ascii="Arial" w:hAnsi="Arial" w:cs="Arial"/>
          <w:color w:val="222222"/>
        </w:rPr>
      </w:pPr>
      <w:r w:rsidRPr="00104F4B">
        <w:rPr>
          <w:rFonts w:ascii="Arial" w:hAnsi="Arial" w:cs="Arial"/>
        </w:rPr>
        <w:t>Vinculación de otras Entidades del Distrito en los procesos adelantados (Secretaria Distrital de Ambiental, Secretaria Distrital de Movilidad, Secretaria Distrital de Planeación, Secretaria Distrital de Hacienda entre otros, así como las Empresas de Servicios Públicos), trabajando en equipo y credibilidad</w:t>
      </w:r>
      <w:r w:rsidRPr="00104F4B">
        <w:rPr>
          <w:rFonts w:ascii="Arial" w:hAnsi="Arial" w:cs="Arial"/>
          <w:color w:val="222222"/>
        </w:rPr>
        <w:t xml:space="preserve">. </w:t>
      </w:r>
    </w:p>
    <w:p w:rsidR="00661C9D" w:rsidRPr="00104F4B" w:rsidRDefault="00661C9D" w:rsidP="002625A5">
      <w:pPr>
        <w:pStyle w:val="Prrafodelista"/>
        <w:numPr>
          <w:ilvl w:val="0"/>
          <w:numId w:val="45"/>
        </w:numPr>
        <w:spacing w:before="0"/>
        <w:rPr>
          <w:rFonts w:ascii="Arial" w:hAnsi="Arial" w:cs="Arial"/>
        </w:rPr>
      </w:pPr>
      <w:r w:rsidRPr="00104F4B">
        <w:rPr>
          <w:rFonts w:ascii="Arial" w:hAnsi="Arial" w:cs="Arial"/>
        </w:rPr>
        <w:t xml:space="preserve">Apoyo jurídico en la planeación, desarrollo y liquidación de los proyectos a cargo de la SGI. </w:t>
      </w:r>
    </w:p>
    <w:p w:rsidR="00661C9D" w:rsidRPr="00104F4B" w:rsidRDefault="00661C9D" w:rsidP="002625A5">
      <w:pPr>
        <w:pStyle w:val="Prrafodelista"/>
        <w:numPr>
          <w:ilvl w:val="0"/>
          <w:numId w:val="45"/>
        </w:numPr>
        <w:spacing w:before="0"/>
        <w:rPr>
          <w:rFonts w:ascii="Arial" w:hAnsi="Arial" w:cs="Arial"/>
        </w:rPr>
      </w:pPr>
      <w:r w:rsidRPr="00104F4B">
        <w:rPr>
          <w:rFonts w:ascii="Arial" w:hAnsi="Arial" w:cs="Arial"/>
        </w:rPr>
        <w:t>Se realizaron las actuaciones frente a la imposición de multas y declaratorias de incumplimiento de acuerdo con el respectivo proceso liderado por la Dirección Técnica de Gestión Contractual.</w:t>
      </w:r>
    </w:p>
    <w:p w:rsidR="00661C9D" w:rsidRPr="00104F4B" w:rsidRDefault="00661C9D" w:rsidP="002625A5">
      <w:pPr>
        <w:pStyle w:val="Prrafodelista"/>
        <w:numPr>
          <w:ilvl w:val="0"/>
          <w:numId w:val="45"/>
        </w:numPr>
        <w:spacing w:before="0"/>
        <w:rPr>
          <w:rFonts w:ascii="Arial" w:hAnsi="Arial" w:cs="Arial"/>
        </w:rPr>
      </w:pPr>
      <w:r w:rsidRPr="00104F4B">
        <w:rPr>
          <w:rFonts w:ascii="Arial" w:hAnsi="Arial" w:cs="Arial"/>
        </w:rPr>
        <w:t>Se continuó con el afianzamiento en el seguimiento y control a la supervisión de los contratos en curso.</w:t>
      </w:r>
    </w:p>
    <w:p w:rsidR="00661C9D" w:rsidRPr="00104F4B" w:rsidRDefault="00661C9D" w:rsidP="002625A5">
      <w:pPr>
        <w:pStyle w:val="Prrafodelista"/>
        <w:numPr>
          <w:ilvl w:val="0"/>
          <w:numId w:val="45"/>
        </w:numPr>
        <w:spacing w:before="0"/>
        <w:rPr>
          <w:rFonts w:ascii="Arial" w:hAnsi="Arial" w:cs="Arial"/>
        </w:rPr>
      </w:pPr>
      <w:r w:rsidRPr="00104F4B">
        <w:rPr>
          <w:rFonts w:ascii="Arial" w:hAnsi="Arial" w:cs="Arial"/>
        </w:rPr>
        <w:t>Se dio cumplimiento a las acciones propuestas para el tratamiento de los hallazgos internos y externos identificados al interior de la SGI.</w:t>
      </w:r>
    </w:p>
    <w:p w:rsidR="00661C9D" w:rsidRPr="00104F4B" w:rsidRDefault="00661C9D" w:rsidP="002625A5">
      <w:pPr>
        <w:pStyle w:val="Prrafodelista"/>
        <w:numPr>
          <w:ilvl w:val="0"/>
          <w:numId w:val="45"/>
        </w:numPr>
        <w:spacing w:before="0"/>
        <w:contextualSpacing/>
        <w:rPr>
          <w:rFonts w:ascii="Arial" w:hAnsi="Arial" w:cs="Arial"/>
          <w:shd w:val="clear" w:color="auto" w:fill="FFFFFF"/>
        </w:rPr>
      </w:pPr>
      <w:r w:rsidRPr="00104F4B">
        <w:rPr>
          <w:rFonts w:ascii="Arial" w:hAnsi="Arial" w:cs="Arial"/>
          <w:shd w:val="clear" w:color="auto" w:fill="FFFFFF"/>
        </w:rPr>
        <w:t>Acompañamiento y gestión en los diseños y construcción para la señalización, semaforización y PMT de los proyectos en ejecución, al igual que para la verificación técnica y recibo por parte de la SDM a la semaforización y señalización de los proyectos en liquidación.</w:t>
      </w:r>
    </w:p>
    <w:p w:rsidR="00661C9D" w:rsidRPr="00104F4B" w:rsidRDefault="00661C9D" w:rsidP="002625A5">
      <w:pPr>
        <w:pStyle w:val="Prrafodelista"/>
        <w:numPr>
          <w:ilvl w:val="0"/>
          <w:numId w:val="45"/>
        </w:numPr>
        <w:spacing w:before="0"/>
        <w:contextualSpacing/>
        <w:rPr>
          <w:rFonts w:ascii="Arial" w:hAnsi="Arial" w:cs="Arial"/>
          <w:shd w:val="clear" w:color="auto" w:fill="FFFFFF"/>
        </w:rPr>
      </w:pPr>
      <w:r w:rsidRPr="00104F4B">
        <w:rPr>
          <w:rFonts w:ascii="Arial" w:hAnsi="Arial" w:cs="Arial"/>
          <w:shd w:val="clear" w:color="auto" w:fill="FFFFFF"/>
        </w:rPr>
        <w:t>Acompañamiento y gestión a los estudios de tránsito de los proyectos a cargo de la SGI.</w:t>
      </w:r>
    </w:p>
    <w:p w:rsidR="00661C9D" w:rsidRPr="00104F4B" w:rsidRDefault="00661C9D" w:rsidP="002625A5">
      <w:pPr>
        <w:pStyle w:val="Prrafodelista"/>
        <w:numPr>
          <w:ilvl w:val="0"/>
          <w:numId w:val="45"/>
        </w:numPr>
        <w:spacing w:before="0"/>
        <w:contextualSpacing/>
        <w:rPr>
          <w:rFonts w:ascii="Arial" w:hAnsi="Arial" w:cs="Arial"/>
          <w:shd w:val="clear" w:color="auto" w:fill="FFFFFF"/>
        </w:rPr>
      </w:pPr>
      <w:r w:rsidRPr="00104F4B">
        <w:rPr>
          <w:rFonts w:ascii="Arial" w:hAnsi="Arial" w:cs="Arial"/>
          <w:shd w:val="clear" w:color="auto" w:fill="FFFFFF"/>
        </w:rPr>
        <w:t>Se desarrollaron actividades de gestión y apoyo al cumplimiento de las obligaciones para las etapas de construcción y mantenimiento, de las etapas de factibilidad, estudios y diseños, y adquisición predial acorde a lo definido en los convenios interinstitucionales suscritos con las empresas de servicios públicos EPS: Gas Natural, EAAB, Codensa y Colombia Telecomunicaciones.</w:t>
      </w:r>
    </w:p>
    <w:p w:rsidR="00661C9D" w:rsidRPr="00104F4B" w:rsidRDefault="00661C9D" w:rsidP="002625A5">
      <w:pPr>
        <w:pStyle w:val="Prrafodelista"/>
        <w:numPr>
          <w:ilvl w:val="0"/>
          <w:numId w:val="45"/>
        </w:numPr>
        <w:spacing w:before="0"/>
        <w:contextualSpacing/>
        <w:rPr>
          <w:rFonts w:ascii="Arial" w:hAnsi="Arial" w:cs="Arial"/>
          <w:color w:val="222222"/>
        </w:rPr>
      </w:pPr>
      <w:r w:rsidRPr="00104F4B">
        <w:rPr>
          <w:rFonts w:ascii="Arial" w:hAnsi="Arial" w:cs="Arial"/>
          <w:color w:val="222222"/>
        </w:rPr>
        <w:t>Se asistió durante el año a las Mesas de Emergencias Distritales, y se presidió el Comité SIGERDE, desde donde se adelantaron las sesiones necesarias para atender las funciones a cargo.</w:t>
      </w:r>
    </w:p>
    <w:p w:rsidR="00661C9D" w:rsidRPr="00104F4B" w:rsidRDefault="00661C9D" w:rsidP="002625A5">
      <w:pPr>
        <w:pStyle w:val="Prrafodelista"/>
        <w:numPr>
          <w:ilvl w:val="0"/>
          <w:numId w:val="45"/>
        </w:numPr>
        <w:spacing w:before="0"/>
        <w:rPr>
          <w:rFonts w:ascii="Arial" w:hAnsi="Arial" w:cs="Arial"/>
        </w:rPr>
      </w:pPr>
      <w:r w:rsidRPr="00104F4B">
        <w:rPr>
          <w:rFonts w:ascii="Arial" w:hAnsi="Arial" w:cs="Arial"/>
        </w:rPr>
        <w:t>Seguimiento a la liquidación de contratos y convenios, archivos, cierre de glosas de las áreas ejecutoras.</w:t>
      </w:r>
    </w:p>
    <w:p w:rsidR="00661C9D" w:rsidRPr="00104F4B" w:rsidRDefault="00661C9D" w:rsidP="00661C9D">
      <w:pPr>
        <w:rPr>
          <w:rFonts w:cs="Arial"/>
          <w:b/>
          <w:szCs w:val="22"/>
          <w:lang w:val="es-CO"/>
        </w:rPr>
      </w:pPr>
    </w:p>
    <w:p w:rsidR="00661C9D" w:rsidRPr="00104F4B" w:rsidRDefault="00661C9D" w:rsidP="00661C9D">
      <w:pPr>
        <w:rPr>
          <w:rFonts w:cs="Arial"/>
          <w:szCs w:val="22"/>
        </w:rPr>
      </w:pPr>
      <w:r w:rsidRPr="00104F4B">
        <w:rPr>
          <w:rFonts w:cs="Arial"/>
          <w:b/>
          <w:szCs w:val="22"/>
        </w:rPr>
        <w:t>Gráfica SGI</w:t>
      </w:r>
      <w:r w:rsidRPr="00104F4B">
        <w:rPr>
          <w:rFonts w:cs="Arial"/>
          <w:szCs w:val="22"/>
        </w:rPr>
        <w:t xml:space="preserve"> – Estado contratos liquidados</w:t>
      </w:r>
    </w:p>
    <w:p w:rsidR="00661C9D" w:rsidRPr="00104F4B" w:rsidRDefault="00661C9D" w:rsidP="00661C9D">
      <w:pPr>
        <w:rPr>
          <w:rFonts w:cs="Arial"/>
          <w:szCs w:val="22"/>
        </w:rPr>
      </w:pPr>
    </w:p>
    <w:p w:rsidR="00661C9D" w:rsidRPr="00104F4B" w:rsidRDefault="00661C9D" w:rsidP="00661C9D">
      <w:pPr>
        <w:jc w:val="center"/>
        <w:rPr>
          <w:rFonts w:cs="Arial"/>
          <w:szCs w:val="22"/>
        </w:rPr>
      </w:pPr>
      <w:r w:rsidRPr="00104F4B">
        <w:rPr>
          <w:rFonts w:cs="Arial"/>
          <w:b/>
          <w:noProof/>
          <w:szCs w:val="22"/>
          <w:lang w:val="es-CO" w:eastAsia="es-CO"/>
        </w:rPr>
        <w:lastRenderedPageBreak/>
        <w:drawing>
          <wp:inline distT="0" distB="0" distL="0" distR="0" wp14:anchorId="01E74786" wp14:editId="20AF830C">
            <wp:extent cx="4828346" cy="250137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830566" cy="2502525"/>
                    </a:xfrm>
                    <a:prstGeom prst="rect">
                      <a:avLst/>
                    </a:prstGeom>
                    <a:noFill/>
                  </pic:spPr>
                </pic:pic>
              </a:graphicData>
            </a:graphic>
          </wp:inline>
        </w:drawing>
      </w:r>
    </w:p>
    <w:p w:rsidR="00661C9D" w:rsidRPr="00104F4B" w:rsidRDefault="00661C9D" w:rsidP="00661C9D">
      <w:pPr>
        <w:jc w:val="center"/>
        <w:rPr>
          <w:rFonts w:cs="Arial"/>
          <w:sz w:val="16"/>
          <w:szCs w:val="16"/>
        </w:rPr>
      </w:pPr>
      <w:r w:rsidRPr="00104F4B">
        <w:rPr>
          <w:rFonts w:cs="Arial"/>
          <w:sz w:val="16"/>
          <w:szCs w:val="16"/>
        </w:rPr>
        <w:t>Fuente: SGI-Grupo de liquidación de contratos.</w:t>
      </w:r>
    </w:p>
    <w:p w:rsidR="00661C9D" w:rsidRPr="00104F4B" w:rsidRDefault="00661C9D" w:rsidP="00661C9D">
      <w:pPr>
        <w:rPr>
          <w:rFonts w:cs="Arial"/>
          <w:sz w:val="16"/>
          <w:szCs w:val="16"/>
        </w:rPr>
      </w:pPr>
    </w:p>
    <w:p w:rsidR="00661C9D" w:rsidRPr="00104F4B" w:rsidRDefault="00661C9D" w:rsidP="00661C9D">
      <w:pPr>
        <w:rPr>
          <w:rFonts w:cs="Arial"/>
          <w:szCs w:val="22"/>
        </w:rPr>
      </w:pPr>
      <w:r w:rsidRPr="00104F4B">
        <w:rPr>
          <w:rFonts w:cs="Arial"/>
          <w:szCs w:val="22"/>
        </w:rPr>
        <w:t>A continuación, se relaciona el balance de proyectos de la vigencia:</w:t>
      </w:r>
    </w:p>
    <w:p w:rsidR="00661C9D" w:rsidRPr="00104F4B" w:rsidRDefault="00661C9D" w:rsidP="00661C9D">
      <w:pPr>
        <w:rPr>
          <w:rFonts w:cs="Arial"/>
          <w:szCs w:val="22"/>
        </w:rPr>
      </w:pPr>
    </w:p>
    <w:p w:rsidR="00661C9D" w:rsidRPr="00104F4B" w:rsidRDefault="00661C9D" w:rsidP="00661C9D">
      <w:pPr>
        <w:rPr>
          <w:rFonts w:cs="Arial"/>
          <w:szCs w:val="22"/>
        </w:rPr>
      </w:pPr>
      <w:r w:rsidRPr="00104F4B">
        <w:rPr>
          <w:rFonts w:cs="Arial"/>
          <w:b/>
          <w:szCs w:val="22"/>
        </w:rPr>
        <w:t>Gráfica SGI</w:t>
      </w:r>
      <w:r w:rsidRPr="00104F4B">
        <w:rPr>
          <w:rFonts w:cs="Arial"/>
          <w:szCs w:val="22"/>
        </w:rPr>
        <w:t xml:space="preserve"> – Balance de los proyectos a diciembre 31 de 2018</w:t>
      </w:r>
    </w:p>
    <w:p w:rsidR="00661C9D" w:rsidRPr="00104F4B" w:rsidRDefault="00661C9D" w:rsidP="00661C9D">
      <w:pPr>
        <w:jc w:val="center"/>
        <w:rPr>
          <w:rFonts w:cs="Arial"/>
          <w:szCs w:val="22"/>
        </w:rPr>
      </w:pPr>
      <w:r w:rsidRPr="00104F4B">
        <w:rPr>
          <w:rFonts w:cs="Arial"/>
          <w:noProof/>
          <w:szCs w:val="22"/>
          <w:lang w:val="es-CO" w:eastAsia="es-CO"/>
        </w:rPr>
        <w:drawing>
          <wp:inline distT="0" distB="0" distL="0" distR="0" wp14:anchorId="08433304" wp14:editId="1508C7CB">
            <wp:extent cx="5090215" cy="2273983"/>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091328" cy="2274480"/>
                    </a:xfrm>
                    <a:prstGeom prst="rect">
                      <a:avLst/>
                    </a:prstGeom>
                  </pic:spPr>
                </pic:pic>
              </a:graphicData>
            </a:graphic>
          </wp:inline>
        </w:drawing>
      </w:r>
    </w:p>
    <w:p w:rsidR="00661C9D" w:rsidRPr="00104F4B" w:rsidRDefault="00661C9D" w:rsidP="00661C9D">
      <w:pPr>
        <w:rPr>
          <w:rFonts w:cs="Arial"/>
          <w:szCs w:val="22"/>
        </w:rPr>
      </w:pPr>
      <w:r w:rsidRPr="00104F4B">
        <w:rPr>
          <w:rFonts w:cs="Arial"/>
          <w:szCs w:val="22"/>
        </w:rPr>
        <w:t>Fuente: Presentación Dirección General-OAP</w:t>
      </w:r>
    </w:p>
    <w:p w:rsidR="00661C9D" w:rsidRPr="00104F4B" w:rsidRDefault="00661C9D" w:rsidP="00661C9D">
      <w:pPr>
        <w:rPr>
          <w:rFonts w:cs="Arial"/>
          <w:szCs w:val="22"/>
        </w:rPr>
      </w:pPr>
    </w:p>
    <w:p w:rsidR="00661C9D" w:rsidRPr="00104F4B" w:rsidRDefault="00661C9D" w:rsidP="00661C9D">
      <w:pPr>
        <w:rPr>
          <w:rFonts w:cs="Arial"/>
          <w:szCs w:val="22"/>
        </w:rPr>
      </w:pPr>
    </w:p>
    <w:p w:rsidR="00661C9D" w:rsidRPr="00104F4B" w:rsidRDefault="00661C9D" w:rsidP="00661C9D">
      <w:pPr>
        <w:rPr>
          <w:rFonts w:cs="Arial"/>
          <w:szCs w:val="22"/>
        </w:rPr>
      </w:pPr>
      <w:r w:rsidRPr="00104F4B">
        <w:rPr>
          <w:rFonts w:cs="Arial"/>
          <w:b/>
          <w:szCs w:val="22"/>
        </w:rPr>
        <w:t>Tabla SGI</w:t>
      </w:r>
      <w:r w:rsidRPr="00104F4B">
        <w:rPr>
          <w:rFonts w:cs="Arial"/>
          <w:szCs w:val="22"/>
        </w:rPr>
        <w:t>-Construcción contratada inicia obra en 2019</w:t>
      </w:r>
    </w:p>
    <w:p w:rsidR="00661C9D" w:rsidRPr="00104F4B" w:rsidRDefault="00661C9D" w:rsidP="00661C9D">
      <w:pPr>
        <w:rPr>
          <w:rFonts w:cs="Arial"/>
          <w:szCs w:val="22"/>
        </w:rPr>
      </w:pPr>
      <w:r w:rsidRPr="00104F4B">
        <w:rPr>
          <w:rFonts w:cs="Arial"/>
          <w:noProof/>
          <w:szCs w:val="22"/>
          <w:lang w:val="es-CO" w:eastAsia="es-CO"/>
        </w:rPr>
        <w:lastRenderedPageBreak/>
        <w:drawing>
          <wp:inline distT="0" distB="0" distL="0" distR="0" wp14:anchorId="0CE57816" wp14:editId="5A3CA674">
            <wp:extent cx="5972810" cy="3411220"/>
            <wp:effectExtent l="0" t="0" r="8890" b="0"/>
            <wp:docPr id="17"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pic:cNvPicPr>
                  </pic:nvPicPr>
                  <pic:blipFill>
                    <a:blip r:embed="rId49"/>
                    <a:stretch>
                      <a:fillRect/>
                    </a:stretch>
                  </pic:blipFill>
                  <pic:spPr>
                    <a:xfrm>
                      <a:off x="0" y="0"/>
                      <a:ext cx="5972810" cy="3411220"/>
                    </a:xfrm>
                    <a:prstGeom prst="rect">
                      <a:avLst/>
                    </a:prstGeom>
                  </pic:spPr>
                </pic:pic>
              </a:graphicData>
            </a:graphic>
          </wp:inline>
        </w:drawing>
      </w:r>
    </w:p>
    <w:p w:rsidR="00661C9D" w:rsidRPr="00104F4B" w:rsidRDefault="00661C9D" w:rsidP="00661C9D">
      <w:pPr>
        <w:rPr>
          <w:rFonts w:cs="Arial"/>
          <w:sz w:val="16"/>
          <w:szCs w:val="16"/>
        </w:rPr>
      </w:pPr>
      <w:r w:rsidRPr="00104F4B">
        <w:rPr>
          <w:rFonts w:cs="Arial"/>
          <w:sz w:val="16"/>
          <w:szCs w:val="16"/>
        </w:rPr>
        <w:t>Fuente: Presentación Dirección General-OAP</w:t>
      </w:r>
    </w:p>
    <w:p w:rsidR="00700491" w:rsidRPr="00104F4B" w:rsidRDefault="00047E20" w:rsidP="00047E20">
      <w:pPr>
        <w:pStyle w:val="Ttulo1"/>
        <w:rPr>
          <w:rFonts w:ascii="Arial" w:hAnsi="Arial" w:cs="Arial"/>
          <w:sz w:val="22"/>
          <w:szCs w:val="22"/>
        </w:rPr>
      </w:pPr>
      <w:bookmarkStart w:id="53" w:name="_Toc536195552"/>
      <w:r w:rsidRPr="00104F4B">
        <w:rPr>
          <w:rFonts w:ascii="Arial" w:hAnsi="Arial" w:cs="Arial"/>
          <w:sz w:val="22"/>
          <w:szCs w:val="22"/>
        </w:rPr>
        <w:t xml:space="preserve">5.1.1 </w:t>
      </w:r>
      <w:r w:rsidR="00661C9D" w:rsidRPr="00104F4B">
        <w:rPr>
          <w:rFonts w:ascii="Arial" w:hAnsi="Arial" w:cs="Arial"/>
          <w:sz w:val="22"/>
          <w:szCs w:val="22"/>
        </w:rPr>
        <w:t>Administración de Infraestructura</w:t>
      </w:r>
      <w:bookmarkEnd w:id="53"/>
    </w:p>
    <w:p w:rsidR="00661C9D" w:rsidRPr="00104F4B" w:rsidRDefault="00661C9D" w:rsidP="002625A5">
      <w:pPr>
        <w:pStyle w:val="subtitulodel3"/>
        <w:numPr>
          <w:ilvl w:val="0"/>
          <w:numId w:val="46"/>
        </w:numPr>
        <w:rPr>
          <w:sz w:val="22"/>
          <w:szCs w:val="22"/>
          <w:u w:val="none"/>
        </w:rPr>
      </w:pPr>
      <w:bookmarkStart w:id="54" w:name="_Toc447015170"/>
      <w:r w:rsidRPr="00104F4B">
        <w:rPr>
          <w:caps w:val="0"/>
          <w:sz w:val="22"/>
          <w:szCs w:val="22"/>
          <w:u w:val="none"/>
        </w:rPr>
        <w:t>Seguimiento a obras con póliza de estabilidad vigente</w:t>
      </w:r>
      <w:bookmarkEnd w:id="54"/>
    </w:p>
    <w:p w:rsidR="00661C9D" w:rsidRPr="00104F4B" w:rsidRDefault="00661C9D" w:rsidP="00661C9D">
      <w:pPr>
        <w:rPr>
          <w:rFonts w:cs="Arial"/>
          <w:szCs w:val="22"/>
        </w:rPr>
      </w:pPr>
      <w:r w:rsidRPr="00104F4B">
        <w:rPr>
          <w:rFonts w:cs="Arial"/>
          <w:szCs w:val="22"/>
        </w:rPr>
        <w:t>La tabla a continuación presenta el resumen de la gestión adelantada durante el año 2018 en la función de seguimiento a obras con póliza de estabilidad, la cual garantiza la conservación y durabilidad de los proyectos IDU:</w:t>
      </w:r>
    </w:p>
    <w:p w:rsidR="00661C9D" w:rsidRPr="00104F4B" w:rsidRDefault="00661C9D" w:rsidP="00661C9D">
      <w:pPr>
        <w:rPr>
          <w:rFonts w:cs="Arial"/>
          <w:sz w:val="16"/>
          <w:szCs w:val="16"/>
        </w:rPr>
      </w:pPr>
      <w:r w:rsidRPr="00104F4B">
        <w:rPr>
          <w:rFonts w:cs="Arial"/>
          <w:b/>
          <w:sz w:val="16"/>
          <w:szCs w:val="16"/>
        </w:rPr>
        <w:t>Tabla SGI</w:t>
      </w:r>
      <w:r w:rsidRPr="00104F4B">
        <w:rPr>
          <w:rFonts w:cs="Arial"/>
          <w:sz w:val="16"/>
          <w:szCs w:val="16"/>
        </w:rPr>
        <w:t xml:space="preserve"> –Seguimiento a obras con póliza de estabilidad – Consolidado de cifras 2018</w:t>
      </w:r>
    </w:p>
    <w:tbl>
      <w:tblPr>
        <w:tblStyle w:val="Tablanormal1"/>
        <w:tblW w:w="8926" w:type="dxa"/>
        <w:jc w:val="center"/>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531"/>
        <w:gridCol w:w="4395"/>
      </w:tblGrid>
      <w:tr w:rsidR="00661C9D" w:rsidRPr="00104F4B" w:rsidTr="00661C9D">
        <w:trPr>
          <w:cnfStyle w:val="100000000000" w:firstRow="1" w:lastRow="0" w:firstColumn="0" w:lastColumn="0" w:oddVBand="0" w:evenVBand="0" w:oddHBand="0"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4531" w:type="dxa"/>
            <w:vAlign w:val="center"/>
            <w:hideMark/>
          </w:tcPr>
          <w:p w:rsidR="00661C9D" w:rsidRPr="00104F4B" w:rsidRDefault="00661C9D" w:rsidP="00067EA9">
            <w:pPr>
              <w:rPr>
                <w:rFonts w:cs="Arial"/>
                <w:b w:val="0"/>
                <w:sz w:val="16"/>
                <w:szCs w:val="16"/>
              </w:rPr>
            </w:pPr>
            <w:r w:rsidRPr="00104F4B">
              <w:rPr>
                <w:rFonts w:cs="Arial"/>
                <w:b w:val="0"/>
                <w:sz w:val="16"/>
                <w:szCs w:val="16"/>
              </w:rPr>
              <w:t>Contratos en seguimiento</w:t>
            </w:r>
          </w:p>
        </w:tc>
        <w:tc>
          <w:tcPr>
            <w:tcW w:w="4395" w:type="dxa"/>
          </w:tcPr>
          <w:p w:rsidR="00661C9D" w:rsidRPr="00104F4B" w:rsidRDefault="00661C9D" w:rsidP="00661C9D">
            <w:pPr>
              <w:jc w:val="right"/>
              <w:cnfStyle w:val="100000000000" w:firstRow="1" w:lastRow="0" w:firstColumn="0" w:lastColumn="0" w:oddVBand="0" w:evenVBand="0" w:oddHBand="0" w:evenHBand="0" w:firstRowFirstColumn="0" w:firstRowLastColumn="0" w:lastRowFirstColumn="0" w:lastRowLastColumn="0"/>
              <w:rPr>
                <w:rFonts w:cs="Arial"/>
                <w:b w:val="0"/>
                <w:sz w:val="16"/>
                <w:szCs w:val="16"/>
              </w:rPr>
            </w:pPr>
            <w:r w:rsidRPr="00104F4B">
              <w:rPr>
                <w:rFonts w:cs="Arial"/>
                <w:b w:val="0"/>
                <w:sz w:val="16"/>
                <w:szCs w:val="16"/>
              </w:rPr>
              <w:t>158</w:t>
            </w:r>
          </w:p>
        </w:tc>
      </w:tr>
      <w:tr w:rsidR="00661C9D" w:rsidRPr="00104F4B" w:rsidTr="00661C9D">
        <w:trPr>
          <w:cnfStyle w:val="000000100000" w:firstRow="0" w:lastRow="0" w:firstColumn="0" w:lastColumn="0" w:oddVBand="0" w:evenVBand="0" w:oddHBand="1"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4531" w:type="dxa"/>
            <w:vAlign w:val="center"/>
            <w:hideMark/>
          </w:tcPr>
          <w:p w:rsidR="00661C9D" w:rsidRPr="00104F4B" w:rsidRDefault="00661C9D" w:rsidP="00067EA9">
            <w:pPr>
              <w:rPr>
                <w:rFonts w:cs="Arial"/>
                <w:b w:val="0"/>
                <w:sz w:val="16"/>
                <w:szCs w:val="16"/>
              </w:rPr>
            </w:pPr>
            <w:r w:rsidRPr="00104F4B">
              <w:rPr>
                <w:rFonts w:cs="Arial"/>
                <w:b w:val="0"/>
                <w:sz w:val="16"/>
                <w:szCs w:val="16"/>
              </w:rPr>
              <w:t>Área de contratos en seguimiento (m²)</w:t>
            </w:r>
          </w:p>
        </w:tc>
        <w:tc>
          <w:tcPr>
            <w:tcW w:w="4395" w:type="dxa"/>
          </w:tcPr>
          <w:p w:rsidR="00661C9D" w:rsidRPr="00104F4B" w:rsidRDefault="00661C9D" w:rsidP="00661C9D">
            <w:pPr>
              <w:jc w:val="right"/>
              <w:cnfStyle w:val="000000100000" w:firstRow="0" w:lastRow="0" w:firstColumn="0" w:lastColumn="0" w:oddVBand="0" w:evenVBand="0" w:oddHBand="1" w:evenHBand="0" w:firstRowFirstColumn="0" w:firstRowLastColumn="0" w:lastRowFirstColumn="0" w:lastRowLastColumn="0"/>
              <w:rPr>
                <w:rFonts w:cs="Arial"/>
                <w:sz w:val="16"/>
                <w:szCs w:val="16"/>
              </w:rPr>
            </w:pPr>
            <w:r w:rsidRPr="00104F4B">
              <w:rPr>
                <w:rFonts w:cs="Arial"/>
                <w:sz w:val="16"/>
                <w:szCs w:val="16"/>
              </w:rPr>
              <w:t>3.501.782</w:t>
            </w:r>
          </w:p>
        </w:tc>
      </w:tr>
      <w:tr w:rsidR="00661C9D" w:rsidRPr="00104F4B" w:rsidTr="00661C9D">
        <w:trPr>
          <w:trHeight w:val="70"/>
          <w:jc w:val="center"/>
        </w:trPr>
        <w:tc>
          <w:tcPr>
            <w:cnfStyle w:val="001000000000" w:firstRow="0" w:lastRow="0" w:firstColumn="1" w:lastColumn="0" w:oddVBand="0" w:evenVBand="0" w:oddHBand="0" w:evenHBand="0" w:firstRowFirstColumn="0" w:firstRowLastColumn="0" w:lastRowFirstColumn="0" w:lastRowLastColumn="0"/>
            <w:tcW w:w="4531" w:type="dxa"/>
            <w:noWrap/>
            <w:vAlign w:val="center"/>
          </w:tcPr>
          <w:p w:rsidR="00661C9D" w:rsidRPr="00104F4B" w:rsidRDefault="00661C9D" w:rsidP="00067EA9">
            <w:pPr>
              <w:rPr>
                <w:rFonts w:cs="Arial"/>
                <w:b w:val="0"/>
                <w:sz w:val="16"/>
                <w:szCs w:val="16"/>
              </w:rPr>
            </w:pPr>
            <w:r w:rsidRPr="00104F4B">
              <w:rPr>
                <w:rFonts w:cs="Arial"/>
                <w:b w:val="0"/>
                <w:sz w:val="16"/>
                <w:szCs w:val="16"/>
              </w:rPr>
              <w:t>Visitas de ley realizadas</w:t>
            </w:r>
          </w:p>
        </w:tc>
        <w:tc>
          <w:tcPr>
            <w:tcW w:w="4395" w:type="dxa"/>
          </w:tcPr>
          <w:p w:rsidR="00661C9D" w:rsidRPr="00104F4B" w:rsidRDefault="00661C9D" w:rsidP="00661C9D">
            <w:pPr>
              <w:jc w:val="right"/>
              <w:cnfStyle w:val="000000000000" w:firstRow="0" w:lastRow="0" w:firstColumn="0" w:lastColumn="0" w:oddVBand="0" w:evenVBand="0" w:oddHBand="0" w:evenHBand="0" w:firstRowFirstColumn="0" w:firstRowLastColumn="0" w:lastRowFirstColumn="0" w:lastRowLastColumn="0"/>
              <w:rPr>
                <w:rFonts w:cs="Arial"/>
                <w:sz w:val="16"/>
                <w:szCs w:val="16"/>
              </w:rPr>
            </w:pPr>
            <w:r w:rsidRPr="00104F4B">
              <w:rPr>
                <w:rFonts w:cs="Arial"/>
                <w:sz w:val="16"/>
                <w:szCs w:val="16"/>
              </w:rPr>
              <w:t>612</w:t>
            </w:r>
          </w:p>
        </w:tc>
      </w:tr>
      <w:tr w:rsidR="00661C9D" w:rsidRPr="00104F4B" w:rsidTr="00661C9D">
        <w:trPr>
          <w:cnfStyle w:val="000000100000" w:firstRow="0" w:lastRow="0" w:firstColumn="0" w:lastColumn="0" w:oddVBand="0" w:evenVBand="0" w:oddHBand="1"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4531" w:type="dxa"/>
            <w:noWrap/>
            <w:vAlign w:val="center"/>
          </w:tcPr>
          <w:p w:rsidR="00661C9D" w:rsidRPr="00104F4B" w:rsidRDefault="00661C9D" w:rsidP="00067EA9">
            <w:pPr>
              <w:rPr>
                <w:rFonts w:cs="Arial"/>
                <w:b w:val="0"/>
                <w:sz w:val="16"/>
                <w:szCs w:val="16"/>
              </w:rPr>
            </w:pPr>
            <w:r w:rsidRPr="00104F4B">
              <w:rPr>
                <w:rFonts w:cs="Arial"/>
                <w:b w:val="0"/>
                <w:sz w:val="16"/>
                <w:szCs w:val="16"/>
              </w:rPr>
              <w:t>Requerimientos para reparaciones</w:t>
            </w:r>
            <w:r w:rsidRPr="00104F4B">
              <w:rPr>
                <w:rFonts w:cs="Arial"/>
                <w:b w:val="0"/>
                <w:sz w:val="16"/>
                <w:szCs w:val="16"/>
              </w:rPr>
              <w:tab/>
            </w:r>
          </w:p>
        </w:tc>
        <w:tc>
          <w:tcPr>
            <w:tcW w:w="4395" w:type="dxa"/>
          </w:tcPr>
          <w:p w:rsidR="00661C9D" w:rsidRPr="00104F4B" w:rsidRDefault="00661C9D" w:rsidP="00661C9D">
            <w:pPr>
              <w:jc w:val="right"/>
              <w:cnfStyle w:val="000000100000" w:firstRow="0" w:lastRow="0" w:firstColumn="0" w:lastColumn="0" w:oddVBand="0" w:evenVBand="0" w:oddHBand="1" w:evenHBand="0" w:firstRowFirstColumn="0" w:firstRowLastColumn="0" w:lastRowFirstColumn="0" w:lastRowLastColumn="0"/>
              <w:rPr>
                <w:rFonts w:cs="Arial"/>
                <w:sz w:val="16"/>
                <w:szCs w:val="16"/>
              </w:rPr>
            </w:pPr>
            <w:r w:rsidRPr="00104F4B">
              <w:rPr>
                <w:rFonts w:cs="Arial"/>
                <w:sz w:val="16"/>
                <w:szCs w:val="16"/>
              </w:rPr>
              <w:t>108</w:t>
            </w:r>
          </w:p>
        </w:tc>
      </w:tr>
      <w:tr w:rsidR="00661C9D" w:rsidRPr="00104F4B" w:rsidTr="00661C9D">
        <w:trPr>
          <w:trHeight w:val="70"/>
          <w:jc w:val="center"/>
        </w:trPr>
        <w:tc>
          <w:tcPr>
            <w:cnfStyle w:val="001000000000" w:firstRow="0" w:lastRow="0" w:firstColumn="1" w:lastColumn="0" w:oddVBand="0" w:evenVBand="0" w:oddHBand="0" w:evenHBand="0" w:firstRowFirstColumn="0" w:firstRowLastColumn="0" w:lastRowFirstColumn="0" w:lastRowLastColumn="0"/>
            <w:tcW w:w="4531" w:type="dxa"/>
            <w:noWrap/>
            <w:vAlign w:val="center"/>
          </w:tcPr>
          <w:p w:rsidR="00661C9D" w:rsidRPr="00104F4B" w:rsidRDefault="00661C9D" w:rsidP="00067EA9">
            <w:pPr>
              <w:rPr>
                <w:rFonts w:cs="Arial"/>
                <w:b w:val="0"/>
                <w:sz w:val="16"/>
                <w:szCs w:val="16"/>
              </w:rPr>
            </w:pPr>
            <w:r w:rsidRPr="00104F4B">
              <w:rPr>
                <w:rFonts w:cs="Arial"/>
                <w:b w:val="0"/>
                <w:sz w:val="16"/>
                <w:szCs w:val="16"/>
              </w:rPr>
              <w:t>Daños identificados</w:t>
            </w:r>
          </w:p>
        </w:tc>
        <w:tc>
          <w:tcPr>
            <w:tcW w:w="4395" w:type="dxa"/>
          </w:tcPr>
          <w:p w:rsidR="00661C9D" w:rsidRPr="00104F4B" w:rsidRDefault="00661C9D" w:rsidP="00661C9D">
            <w:pPr>
              <w:jc w:val="right"/>
              <w:cnfStyle w:val="000000000000" w:firstRow="0" w:lastRow="0" w:firstColumn="0" w:lastColumn="0" w:oddVBand="0" w:evenVBand="0" w:oddHBand="0" w:evenHBand="0" w:firstRowFirstColumn="0" w:firstRowLastColumn="0" w:lastRowFirstColumn="0" w:lastRowLastColumn="0"/>
              <w:rPr>
                <w:rFonts w:cs="Arial"/>
                <w:sz w:val="16"/>
                <w:szCs w:val="16"/>
              </w:rPr>
            </w:pPr>
            <w:r w:rsidRPr="00104F4B">
              <w:rPr>
                <w:rFonts w:cs="Arial"/>
                <w:sz w:val="16"/>
                <w:szCs w:val="16"/>
              </w:rPr>
              <w:t>1.763</w:t>
            </w:r>
          </w:p>
        </w:tc>
      </w:tr>
      <w:tr w:rsidR="00661C9D" w:rsidRPr="00104F4B" w:rsidTr="00661C9D">
        <w:trPr>
          <w:cnfStyle w:val="000000100000" w:firstRow="0" w:lastRow="0" w:firstColumn="0" w:lastColumn="0" w:oddVBand="0" w:evenVBand="0" w:oddHBand="1"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4531" w:type="dxa"/>
            <w:vAlign w:val="center"/>
            <w:hideMark/>
          </w:tcPr>
          <w:p w:rsidR="00661C9D" w:rsidRPr="00104F4B" w:rsidRDefault="00661C9D" w:rsidP="00067EA9">
            <w:pPr>
              <w:rPr>
                <w:rFonts w:cs="Arial"/>
                <w:b w:val="0"/>
                <w:sz w:val="16"/>
                <w:szCs w:val="16"/>
              </w:rPr>
            </w:pPr>
            <w:r w:rsidRPr="00104F4B">
              <w:rPr>
                <w:rFonts w:cs="Arial"/>
                <w:b w:val="0"/>
                <w:sz w:val="16"/>
                <w:szCs w:val="16"/>
              </w:rPr>
              <w:t>Valor recuperado por reparación directa de contratistas</w:t>
            </w:r>
          </w:p>
        </w:tc>
        <w:tc>
          <w:tcPr>
            <w:tcW w:w="4395" w:type="dxa"/>
          </w:tcPr>
          <w:p w:rsidR="00661C9D" w:rsidRPr="00104F4B" w:rsidRDefault="00661C9D" w:rsidP="00661C9D">
            <w:pPr>
              <w:jc w:val="right"/>
              <w:cnfStyle w:val="000000100000" w:firstRow="0" w:lastRow="0" w:firstColumn="0" w:lastColumn="0" w:oddVBand="0" w:evenVBand="0" w:oddHBand="1" w:evenHBand="0" w:firstRowFirstColumn="0" w:firstRowLastColumn="0" w:lastRowFirstColumn="0" w:lastRowLastColumn="0"/>
              <w:rPr>
                <w:rFonts w:cs="Arial"/>
                <w:sz w:val="16"/>
                <w:szCs w:val="16"/>
              </w:rPr>
            </w:pPr>
            <w:r w:rsidRPr="00104F4B">
              <w:rPr>
                <w:rFonts w:cs="Arial"/>
                <w:sz w:val="16"/>
                <w:szCs w:val="16"/>
              </w:rPr>
              <w:t>$ 1.961.333.864</w:t>
            </w:r>
          </w:p>
        </w:tc>
      </w:tr>
      <w:tr w:rsidR="00661C9D" w:rsidRPr="00104F4B" w:rsidTr="00661C9D">
        <w:trPr>
          <w:trHeight w:val="70"/>
          <w:jc w:val="center"/>
        </w:trPr>
        <w:tc>
          <w:tcPr>
            <w:cnfStyle w:val="001000000000" w:firstRow="0" w:lastRow="0" w:firstColumn="1" w:lastColumn="0" w:oddVBand="0" w:evenVBand="0" w:oddHBand="0" w:evenHBand="0" w:firstRowFirstColumn="0" w:firstRowLastColumn="0" w:lastRowFirstColumn="0" w:lastRowLastColumn="0"/>
            <w:tcW w:w="4531" w:type="dxa"/>
            <w:vAlign w:val="center"/>
            <w:hideMark/>
          </w:tcPr>
          <w:p w:rsidR="00661C9D" w:rsidRPr="00104F4B" w:rsidRDefault="00661C9D" w:rsidP="00067EA9">
            <w:pPr>
              <w:rPr>
                <w:rFonts w:cs="Arial"/>
                <w:b w:val="0"/>
                <w:sz w:val="16"/>
                <w:szCs w:val="16"/>
              </w:rPr>
            </w:pPr>
            <w:r w:rsidRPr="00104F4B">
              <w:rPr>
                <w:rFonts w:cs="Arial"/>
                <w:b w:val="0"/>
                <w:sz w:val="16"/>
                <w:szCs w:val="16"/>
              </w:rPr>
              <w:t>Valor recuperado por aplicación de Pólizas</w:t>
            </w:r>
          </w:p>
        </w:tc>
        <w:tc>
          <w:tcPr>
            <w:tcW w:w="4395" w:type="dxa"/>
          </w:tcPr>
          <w:p w:rsidR="00661C9D" w:rsidRPr="00104F4B" w:rsidRDefault="00661C9D" w:rsidP="00661C9D">
            <w:pPr>
              <w:jc w:val="right"/>
              <w:cnfStyle w:val="000000000000" w:firstRow="0" w:lastRow="0" w:firstColumn="0" w:lastColumn="0" w:oddVBand="0" w:evenVBand="0" w:oddHBand="0" w:evenHBand="0" w:firstRowFirstColumn="0" w:firstRowLastColumn="0" w:lastRowFirstColumn="0" w:lastRowLastColumn="0"/>
              <w:rPr>
                <w:rFonts w:cs="Arial"/>
                <w:sz w:val="16"/>
                <w:szCs w:val="16"/>
              </w:rPr>
            </w:pPr>
            <w:r w:rsidRPr="00104F4B">
              <w:rPr>
                <w:rFonts w:cs="Arial"/>
                <w:sz w:val="16"/>
                <w:szCs w:val="16"/>
              </w:rPr>
              <w:t>Durante la vigencia 2018 no se declararon siniestros.</w:t>
            </w:r>
          </w:p>
        </w:tc>
      </w:tr>
    </w:tbl>
    <w:p w:rsidR="00661C9D" w:rsidRPr="00104F4B" w:rsidRDefault="00661C9D" w:rsidP="00661C9D">
      <w:pPr>
        <w:rPr>
          <w:rFonts w:cs="Arial"/>
          <w:sz w:val="16"/>
          <w:szCs w:val="16"/>
        </w:rPr>
      </w:pPr>
      <w:r w:rsidRPr="00104F4B">
        <w:rPr>
          <w:rFonts w:cs="Arial"/>
          <w:b/>
          <w:sz w:val="16"/>
          <w:szCs w:val="16"/>
        </w:rPr>
        <w:t>Fuente</w:t>
      </w:r>
      <w:r w:rsidRPr="00104F4B">
        <w:rPr>
          <w:rFonts w:cs="Arial"/>
          <w:sz w:val="16"/>
          <w:szCs w:val="16"/>
        </w:rPr>
        <w:t xml:space="preserve"> – Grupo de Seguimiento a obras con póliza de estabilidad vigente DTAI. </w:t>
      </w:r>
    </w:p>
    <w:p w:rsidR="00661C9D" w:rsidRPr="00104F4B" w:rsidRDefault="00661C9D" w:rsidP="002625A5">
      <w:pPr>
        <w:pStyle w:val="subtitulodel3"/>
        <w:numPr>
          <w:ilvl w:val="0"/>
          <w:numId w:val="46"/>
        </w:numPr>
        <w:rPr>
          <w:caps w:val="0"/>
          <w:sz w:val="22"/>
          <w:szCs w:val="22"/>
          <w:u w:val="none"/>
        </w:rPr>
      </w:pPr>
      <w:bookmarkStart w:id="55" w:name="_Toc447015178"/>
      <w:r w:rsidRPr="00104F4B">
        <w:rPr>
          <w:caps w:val="0"/>
          <w:sz w:val="22"/>
          <w:szCs w:val="22"/>
          <w:u w:val="none"/>
        </w:rPr>
        <w:t>Expedición y recibo de licencias de excavación</w:t>
      </w:r>
      <w:bookmarkEnd w:id="55"/>
    </w:p>
    <w:p w:rsidR="00661C9D" w:rsidRPr="00104F4B" w:rsidRDefault="00661C9D" w:rsidP="00661C9D">
      <w:pPr>
        <w:rPr>
          <w:rFonts w:eastAsia="Arial Unicode MS" w:cs="Arial"/>
          <w:szCs w:val="22"/>
        </w:rPr>
      </w:pPr>
      <w:r w:rsidRPr="00104F4B">
        <w:rPr>
          <w:rFonts w:eastAsia="Arial Unicode MS" w:cs="Arial"/>
          <w:szCs w:val="22"/>
        </w:rPr>
        <w:t>Durante la vigencia 2018 se otorgaron 490 licencias de excavación, se desistieron 9 solicitudes de licencia.</w:t>
      </w:r>
    </w:p>
    <w:p w:rsidR="00661C9D" w:rsidRPr="00104F4B" w:rsidRDefault="00661C9D" w:rsidP="00661C9D">
      <w:pPr>
        <w:rPr>
          <w:rFonts w:eastAsia="Arial Unicode MS" w:cs="Arial"/>
          <w:szCs w:val="22"/>
        </w:rPr>
      </w:pPr>
      <w:r w:rsidRPr="00104F4B">
        <w:rPr>
          <w:rFonts w:eastAsia="Arial Unicode MS" w:cs="Arial"/>
          <w:szCs w:val="22"/>
        </w:rPr>
        <w:t>Se evaluaron 14567 intervenciones puntuales para aprobación de Plan de Manejo de Tránsito (PMT) y el reporte de 420 emergencias de redes de servicios públicos. En cuanto al recibo de espacio público se expidieron 165 certificados de recibo de obra.</w:t>
      </w:r>
    </w:p>
    <w:p w:rsidR="00661C9D" w:rsidRPr="00104F4B" w:rsidRDefault="00661C9D" w:rsidP="00661C9D">
      <w:pPr>
        <w:rPr>
          <w:rFonts w:eastAsia="Arial Unicode MS" w:cs="Arial"/>
          <w:szCs w:val="22"/>
        </w:rPr>
      </w:pPr>
      <w:r w:rsidRPr="00104F4B">
        <w:rPr>
          <w:rFonts w:eastAsia="Arial Unicode MS" w:cs="Arial"/>
          <w:szCs w:val="22"/>
        </w:rPr>
        <w:lastRenderedPageBreak/>
        <w:t>Se presidió el Comité Operativo de Obras de Infraestructura del Distrito Capital conforme a lo dispuesto en el Decreto 550 de 1998.</w:t>
      </w:r>
    </w:p>
    <w:p w:rsidR="00661C9D" w:rsidRPr="00104F4B" w:rsidRDefault="00661C9D" w:rsidP="002625A5">
      <w:pPr>
        <w:pStyle w:val="subtitulodel3"/>
        <w:numPr>
          <w:ilvl w:val="0"/>
          <w:numId w:val="46"/>
        </w:numPr>
        <w:rPr>
          <w:caps w:val="0"/>
          <w:sz w:val="22"/>
          <w:szCs w:val="22"/>
          <w:u w:val="none"/>
        </w:rPr>
      </w:pPr>
      <w:bookmarkStart w:id="56" w:name="_Toc447015187"/>
      <w:r w:rsidRPr="00104F4B">
        <w:rPr>
          <w:caps w:val="0"/>
          <w:sz w:val="22"/>
          <w:szCs w:val="22"/>
          <w:u w:val="none"/>
        </w:rPr>
        <w:t>Intervención de urbanizadores</w:t>
      </w:r>
      <w:bookmarkEnd w:id="56"/>
    </w:p>
    <w:p w:rsidR="00661C9D" w:rsidRPr="00104F4B" w:rsidRDefault="00661C9D" w:rsidP="00661C9D">
      <w:pPr>
        <w:rPr>
          <w:rFonts w:cs="Arial"/>
          <w:szCs w:val="22"/>
        </w:rPr>
      </w:pPr>
      <w:r w:rsidRPr="00104F4B">
        <w:rPr>
          <w:rFonts w:cs="Arial"/>
          <w:szCs w:val="22"/>
        </w:rPr>
        <w:t>Se realizó el seguimiento a los 420 proyectos (1’640.059 m</w:t>
      </w:r>
      <w:r w:rsidRPr="00104F4B">
        <w:rPr>
          <w:rFonts w:cs="Arial"/>
          <w:szCs w:val="22"/>
          <w:vertAlign w:val="superscript"/>
        </w:rPr>
        <w:t>2</w:t>
      </w:r>
      <w:r w:rsidRPr="00104F4B">
        <w:rPr>
          <w:rFonts w:cs="Arial"/>
          <w:szCs w:val="22"/>
        </w:rPr>
        <w:t xml:space="preserve">) que se encuentran en trámite en las diferentes especialidades (topografía, pavimentos, geotecnia, espacio público, geometría, tránsito y estructuras), así: </w:t>
      </w:r>
    </w:p>
    <w:p w:rsidR="00661C9D" w:rsidRPr="00104F4B" w:rsidRDefault="00661C9D" w:rsidP="002625A5">
      <w:pPr>
        <w:pStyle w:val="Prrafodelista"/>
        <w:numPr>
          <w:ilvl w:val="0"/>
          <w:numId w:val="47"/>
        </w:numPr>
        <w:spacing w:before="0"/>
        <w:ind w:left="360"/>
        <w:rPr>
          <w:rFonts w:ascii="Arial" w:hAnsi="Arial" w:cs="Arial"/>
        </w:rPr>
      </w:pPr>
      <w:r w:rsidRPr="00104F4B">
        <w:rPr>
          <w:rFonts w:ascii="Arial" w:hAnsi="Arial" w:cs="Arial"/>
        </w:rPr>
        <w:t>Asesoramiento previo a 70 proyectos (128.812 m</w:t>
      </w:r>
      <w:r w:rsidRPr="00104F4B">
        <w:rPr>
          <w:rFonts w:ascii="Arial" w:hAnsi="Arial" w:cs="Arial"/>
          <w:vertAlign w:val="superscript"/>
        </w:rPr>
        <w:t>2</w:t>
      </w:r>
      <w:r w:rsidRPr="00104F4B">
        <w:rPr>
          <w:rFonts w:ascii="Arial" w:hAnsi="Arial" w:cs="Arial"/>
        </w:rPr>
        <w:t>) que no han realizado la radicación formal de la documentación e inicio del trámite de áreas de cesión.</w:t>
      </w:r>
    </w:p>
    <w:p w:rsidR="00661C9D" w:rsidRPr="00104F4B" w:rsidRDefault="00661C9D" w:rsidP="002625A5">
      <w:pPr>
        <w:pStyle w:val="Prrafodelista"/>
        <w:numPr>
          <w:ilvl w:val="0"/>
          <w:numId w:val="47"/>
        </w:numPr>
        <w:spacing w:before="0"/>
        <w:ind w:left="360"/>
        <w:rPr>
          <w:rFonts w:ascii="Arial" w:hAnsi="Arial" w:cs="Arial"/>
        </w:rPr>
      </w:pPr>
      <w:r w:rsidRPr="00104F4B">
        <w:rPr>
          <w:rFonts w:ascii="Arial" w:hAnsi="Arial" w:cs="Arial"/>
        </w:rPr>
        <w:t>Acompañamiento técnico a 139 proyectos (705.026 m</w:t>
      </w:r>
      <w:r w:rsidRPr="00104F4B">
        <w:rPr>
          <w:rFonts w:ascii="Arial" w:hAnsi="Arial" w:cs="Arial"/>
          <w:vertAlign w:val="superscript"/>
        </w:rPr>
        <w:t>2</w:t>
      </w:r>
      <w:r w:rsidRPr="00104F4B">
        <w:rPr>
          <w:rFonts w:ascii="Arial" w:hAnsi="Arial" w:cs="Arial"/>
        </w:rPr>
        <w:t>) que se encuentran ejecución, así: 46 proyectos a los que se les revisaron los estudios y diseños, 48 proyectos seguimiento a la ejecución de las obras y acompañamiento al proceso de recibo final de las áreas de cesión de 45 proyectos.</w:t>
      </w:r>
    </w:p>
    <w:p w:rsidR="00661C9D" w:rsidRPr="00104F4B" w:rsidRDefault="00661C9D" w:rsidP="002625A5">
      <w:pPr>
        <w:pStyle w:val="Prrafodelista"/>
        <w:numPr>
          <w:ilvl w:val="0"/>
          <w:numId w:val="47"/>
        </w:numPr>
        <w:spacing w:before="0"/>
        <w:ind w:left="360"/>
        <w:rPr>
          <w:rFonts w:ascii="Arial" w:hAnsi="Arial" w:cs="Arial"/>
        </w:rPr>
      </w:pPr>
      <w:r w:rsidRPr="00104F4B">
        <w:rPr>
          <w:rFonts w:ascii="Arial" w:hAnsi="Arial" w:cs="Arial"/>
        </w:rPr>
        <w:t>Seguimiento de 211 proyectos (806.222 m</w:t>
      </w:r>
      <w:r w:rsidRPr="00104F4B">
        <w:rPr>
          <w:rFonts w:ascii="Arial" w:hAnsi="Arial" w:cs="Arial"/>
          <w:vertAlign w:val="superscript"/>
        </w:rPr>
        <w:t>2</w:t>
      </w:r>
      <w:r w:rsidRPr="00104F4B">
        <w:rPr>
          <w:rFonts w:ascii="Arial" w:hAnsi="Arial" w:cs="Arial"/>
        </w:rPr>
        <w:t>) que se encuentran suspendidos, dado que el Urbanizador no ha realizados los ajustes solicitados por el IDU.</w:t>
      </w:r>
    </w:p>
    <w:p w:rsidR="00661C9D" w:rsidRPr="00104F4B" w:rsidRDefault="00661C9D" w:rsidP="002625A5">
      <w:pPr>
        <w:pStyle w:val="Prrafodelista"/>
        <w:numPr>
          <w:ilvl w:val="0"/>
          <w:numId w:val="47"/>
        </w:numPr>
        <w:spacing w:before="0"/>
        <w:ind w:left="360"/>
        <w:rPr>
          <w:rFonts w:ascii="Arial" w:hAnsi="Arial" w:cs="Arial"/>
        </w:rPr>
      </w:pPr>
      <w:r w:rsidRPr="00104F4B">
        <w:rPr>
          <w:rFonts w:ascii="Arial" w:hAnsi="Arial" w:cs="Arial"/>
        </w:rPr>
        <w:t>Recibo de 15 proyectos (52.066 m²) de espacio público discriminados así: 31.460 m² que corresponden a 9 desarrollos urbanísticos a los cuales se efectuó acompañamiento y seguimiento técnico del proceso, y 20.606 m² que corresponden a 6 proyectos de entregas simplificadas que hacen parte de los 354 proyectos que se encuentran registrados en la base de datos como terminados.</w:t>
      </w:r>
    </w:p>
    <w:p w:rsidR="00661C9D" w:rsidRPr="00104F4B" w:rsidRDefault="00661C9D" w:rsidP="00661C9D">
      <w:pPr>
        <w:rPr>
          <w:rFonts w:cs="Arial"/>
          <w:szCs w:val="22"/>
        </w:rPr>
      </w:pPr>
      <w:r w:rsidRPr="00104F4B">
        <w:rPr>
          <w:rFonts w:cs="Arial"/>
          <w:b/>
          <w:i/>
          <w:szCs w:val="22"/>
        </w:rPr>
        <w:t>Observación</w:t>
      </w:r>
      <w:r w:rsidRPr="00104F4B">
        <w:rPr>
          <w:rFonts w:cs="Arial"/>
          <w:szCs w:val="22"/>
        </w:rPr>
        <w:t>: Entre los proyectos antes mencionados, se encuentran 18 proyectos que corresponden a Acciones Populares ya falladas por vía judicial y 42 proyectos que corresponden a entregas simplificadas relacionadas con el Decreto 545 del 2016.</w:t>
      </w:r>
    </w:p>
    <w:p w:rsidR="00661C9D" w:rsidRPr="00104F4B" w:rsidRDefault="00661C9D" w:rsidP="00661C9D">
      <w:pPr>
        <w:rPr>
          <w:rFonts w:cs="Arial"/>
          <w:szCs w:val="22"/>
        </w:rPr>
      </w:pPr>
      <w:r w:rsidRPr="00104F4B">
        <w:rPr>
          <w:rFonts w:cs="Arial"/>
          <w:szCs w:val="22"/>
        </w:rPr>
        <w:t>Se emitieron 1341 conceptos técnicos correspondientes a proyectos en ejecución, se realizó el seguimiento a la ejecución y recibo de las obras a través de 596 visitas a terreno y finalmente se realizaron 524 mesas de trabajo y reuniones para asesorar o revisar ajustes de observaciones y así lograr agilizar el trámite por parte del Urbanizador.</w:t>
      </w:r>
    </w:p>
    <w:p w:rsidR="00661C9D" w:rsidRPr="00104F4B" w:rsidRDefault="00661C9D" w:rsidP="00661C9D">
      <w:pPr>
        <w:rPr>
          <w:rFonts w:cs="Arial"/>
          <w:szCs w:val="22"/>
        </w:rPr>
      </w:pPr>
      <w:r w:rsidRPr="00104F4B">
        <w:rPr>
          <w:rFonts w:cs="Arial"/>
          <w:szCs w:val="22"/>
        </w:rPr>
        <w:t>Para el periodo 2016-2018, se han recibido 67 proyectos (300.436 m²) de espacio público (vías y andenes), de los cuales 56 proyectos (251.812 m²) corresponden al trámite que se realiza con seguimiento del IDU, y 11 proyectos (48.624 m²) corresponden a la modalidad de entrega simplificada que se tramita ante el DADEP para urbanismos antiguos.</w:t>
      </w:r>
    </w:p>
    <w:p w:rsidR="00CC20D2" w:rsidRPr="00104F4B" w:rsidRDefault="00CC20D2" w:rsidP="002625A5">
      <w:pPr>
        <w:pStyle w:val="subtitulodel3"/>
        <w:numPr>
          <w:ilvl w:val="0"/>
          <w:numId w:val="46"/>
        </w:numPr>
        <w:rPr>
          <w:caps w:val="0"/>
          <w:sz w:val="22"/>
          <w:szCs w:val="22"/>
          <w:u w:val="none"/>
        </w:rPr>
      </w:pPr>
      <w:bookmarkStart w:id="57" w:name="_Toc447015199"/>
      <w:r w:rsidRPr="00104F4B">
        <w:rPr>
          <w:caps w:val="0"/>
          <w:sz w:val="22"/>
          <w:szCs w:val="22"/>
          <w:u w:val="none"/>
        </w:rPr>
        <w:t>Aprovechamiento del espacio público.</w:t>
      </w:r>
      <w:bookmarkEnd w:id="57"/>
    </w:p>
    <w:p w:rsidR="00CC20D2" w:rsidRPr="00104F4B" w:rsidRDefault="00CC20D2" w:rsidP="00CC20D2">
      <w:pPr>
        <w:rPr>
          <w:rFonts w:cs="Arial"/>
          <w:szCs w:val="22"/>
        </w:rPr>
      </w:pPr>
      <w:r w:rsidRPr="00104F4B">
        <w:rPr>
          <w:rFonts w:cs="Arial"/>
          <w:szCs w:val="22"/>
        </w:rPr>
        <w:t>En busca de optimizar el uso del espacio público a cargo del Instituto, se realizaron las siguientes gestiones durante la vigencia 2018:</w:t>
      </w:r>
    </w:p>
    <w:p w:rsidR="00CC20D2" w:rsidRPr="00104F4B" w:rsidRDefault="00CC20D2" w:rsidP="00CC20D2">
      <w:pPr>
        <w:rPr>
          <w:rFonts w:cs="Arial"/>
          <w:szCs w:val="22"/>
        </w:rPr>
      </w:pPr>
      <w:r w:rsidRPr="00104F4B">
        <w:rPr>
          <w:rFonts w:cs="Arial"/>
          <w:b/>
          <w:i/>
          <w:color w:val="404040" w:themeColor="text1" w:themeTint="BF"/>
          <w:szCs w:val="22"/>
        </w:rPr>
        <w:t>Usos temporales de espacio público</w:t>
      </w:r>
      <w:r w:rsidRPr="00104F4B">
        <w:rPr>
          <w:rFonts w:cs="Arial"/>
          <w:b/>
          <w:color w:val="404040" w:themeColor="text1" w:themeTint="BF"/>
          <w:szCs w:val="22"/>
        </w:rPr>
        <w:t xml:space="preserve">. </w:t>
      </w:r>
      <w:r w:rsidRPr="00104F4B">
        <w:rPr>
          <w:rFonts w:cs="Arial"/>
          <w:szCs w:val="22"/>
        </w:rPr>
        <w:t>Se aprobaron 11 permisos para uso de antejardines, se negaron 124 debido a que no cumplían con la reglamentación del Decreto 190 de 2004 y se tramitaron 27 requerimientos relacionados con antejardines. Así mismo se aprobaron 603 permisos para la realización de actividades sin ánimo de lucro; se negaron 77 permisos por no cumplir con requisitos; y se tramitaron 670 requerimientos relacionados con espacio público.</w:t>
      </w:r>
    </w:p>
    <w:p w:rsidR="00CC20D2" w:rsidRPr="00104F4B" w:rsidRDefault="00CC20D2" w:rsidP="00CC20D2">
      <w:pPr>
        <w:rPr>
          <w:rFonts w:cs="Arial"/>
          <w:szCs w:val="22"/>
        </w:rPr>
      </w:pPr>
      <w:r w:rsidRPr="00104F4B">
        <w:rPr>
          <w:rFonts w:cs="Arial"/>
          <w:b/>
          <w:i/>
          <w:color w:val="404040" w:themeColor="text1" w:themeTint="BF"/>
          <w:szCs w:val="22"/>
        </w:rPr>
        <w:t xml:space="preserve">Aprovechamiento económico del espacio Público. </w:t>
      </w:r>
      <w:r w:rsidRPr="00104F4B">
        <w:rPr>
          <w:rFonts w:cs="Arial"/>
          <w:szCs w:val="22"/>
        </w:rPr>
        <w:t>Como gestor se suscribieron 19 contratos para actividades publicitarias en el espacio público con un recaudo de $291’407.010.  Así mismo se suscribieron 5 contratos para ocupaciones de obra por valor de $84’615.768; y 5 contratos por valor de $90’912.606 para campamentos de obra, que, sumado a los ingresos por contratos firmados en año anteriores que se encuentran vigentes, se tuvo un recaudo de total de $937’880.152.</w:t>
      </w:r>
    </w:p>
    <w:p w:rsidR="00CC20D2" w:rsidRPr="00104F4B" w:rsidRDefault="00CC20D2" w:rsidP="00CC20D2">
      <w:pPr>
        <w:rPr>
          <w:rFonts w:cs="Arial"/>
          <w:szCs w:val="22"/>
        </w:rPr>
      </w:pPr>
      <w:r w:rsidRPr="00104F4B">
        <w:rPr>
          <w:rFonts w:cs="Arial"/>
          <w:szCs w:val="22"/>
        </w:rPr>
        <w:lastRenderedPageBreak/>
        <w:t xml:space="preserve">En total el IDU ha recaudo en total por concepto de aprovechamiento económico del espacio público de </w:t>
      </w:r>
      <w:r w:rsidRPr="00104F4B">
        <w:rPr>
          <w:rFonts w:cs="Arial"/>
          <w:b/>
          <w:szCs w:val="22"/>
        </w:rPr>
        <w:t>$5.900’623.513</w:t>
      </w:r>
      <w:r w:rsidRPr="00104F4B">
        <w:rPr>
          <w:rFonts w:cs="Arial"/>
          <w:szCs w:val="22"/>
        </w:rPr>
        <w:t xml:space="preserve"> desde el año 2014 hasta diciembre de 2018.</w:t>
      </w:r>
    </w:p>
    <w:p w:rsidR="00B72E08" w:rsidRPr="00104F4B" w:rsidRDefault="00B72E08" w:rsidP="002625A5">
      <w:pPr>
        <w:pStyle w:val="subtitulodel3"/>
        <w:numPr>
          <w:ilvl w:val="0"/>
          <w:numId w:val="46"/>
        </w:numPr>
        <w:rPr>
          <w:caps w:val="0"/>
          <w:sz w:val="22"/>
          <w:szCs w:val="22"/>
          <w:u w:val="none"/>
        </w:rPr>
      </w:pPr>
      <w:bookmarkStart w:id="58" w:name="_Toc447015216"/>
      <w:r w:rsidRPr="00104F4B">
        <w:rPr>
          <w:caps w:val="0"/>
          <w:sz w:val="22"/>
          <w:szCs w:val="22"/>
          <w:u w:val="none"/>
        </w:rPr>
        <w:t>Monitoreo de puentes</w:t>
      </w:r>
      <w:bookmarkEnd w:id="58"/>
    </w:p>
    <w:p w:rsidR="00B72E08" w:rsidRPr="00104F4B" w:rsidRDefault="00B72E08" w:rsidP="00B72E08">
      <w:pPr>
        <w:rPr>
          <w:rFonts w:cs="Arial"/>
          <w:szCs w:val="22"/>
        </w:rPr>
      </w:pPr>
      <w:r w:rsidRPr="00104F4B">
        <w:rPr>
          <w:rFonts w:cs="Arial"/>
          <w:szCs w:val="22"/>
        </w:rPr>
        <w:t>En desarrollo de la función de monitoreo de puentes cuyo inventario para la vigencia 2018 es 1016 puentes, donde se cubrió el 100% de las estructuras que componen la red vital de la ciudad, la malla arterial, malla vial intermedia, malla vial local, rural y circuitos de movilidad, así como un cubrimiento del 100 % de la malla vial local, disponiendo actualmente de 1016 estructuras con informe de monitoreo correspondiente al 100 % del inventario.</w:t>
      </w:r>
    </w:p>
    <w:p w:rsidR="00B72E08" w:rsidRPr="00104F4B" w:rsidRDefault="00B72E08" w:rsidP="002625A5">
      <w:pPr>
        <w:pStyle w:val="subtitulodel3"/>
        <w:numPr>
          <w:ilvl w:val="0"/>
          <w:numId w:val="46"/>
        </w:numPr>
        <w:rPr>
          <w:caps w:val="0"/>
          <w:sz w:val="22"/>
          <w:szCs w:val="22"/>
          <w:u w:val="none"/>
        </w:rPr>
      </w:pPr>
      <w:bookmarkStart w:id="59" w:name="_Toc447015223"/>
      <w:r w:rsidRPr="00104F4B">
        <w:rPr>
          <w:caps w:val="0"/>
          <w:sz w:val="22"/>
          <w:szCs w:val="22"/>
          <w:u w:val="none"/>
        </w:rPr>
        <w:t>Administración de parqueaderos</w:t>
      </w:r>
      <w:bookmarkEnd w:id="59"/>
    </w:p>
    <w:p w:rsidR="00B72E08" w:rsidRPr="00104F4B" w:rsidRDefault="00B72E08" w:rsidP="00B72E08">
      <w:pPr>
        <w:rPr>
          <w:rFonts w:cs="Arial"/>
          <w:szCs w:val="22"/>
        </w:rPr>
      </w:pPr>
      <w:r w:rsidRPr="00104F4B">
        <w:rPr>
          <w:rFonts w:cs="Arial"/>
          <w:szCs w:val="22"/>
        </w:rPr>
        <w:t>El Instituto administra 10 parqueaderos, 4 parqueaderos subterráneos y 6 parqueaderos a nivel, para lo cual se adelantaron las siguientes gestiones durante el 2018:</w:t>
      </w:r>
    </w:p>
    <w:p w:rsidR="00B72E08" w:rsidRPr="00104F4B" w:rsidRDefault="00B72E08" w:rsidP="00B72E08">
      <w:pPr>
        <w:rPr>
          <w:rFonts w:cs="Arial"/>
          <w:szCs w:val="22"/>
        </w:rPr>
      </w:pPr>
    </w:p>
    <w:p w:rsidR="00B72E08" w:rsidRPr="00104F4B" w:rsidRDefault="00B72E08" w:rsidP="002625A5">
      <w:pPr>
        <w:pStyle w:val="Prrafodelista"/>
        <w:numPr>
          <w:ilvl w:val="0"/>
          <w:numId w:val="48"/>
        </w:numPr>
        <w:spacing w:before="0"/>
        <w:rPr>
          <w:rFonts w:ascii="Arial" w:eastAsia="Times New Roman" w:hAnsi="Arial" w:cs="Arial"/>
          <w:b/>
          <w:i/>
          <w:color w:val="404040" w:themeColor="text1" w:themeTint="BF"/>
          <w:lang w:val="es-ES" w:eastAsia="es-ES"/>
        </w:rPr>
      </w:pPr>
      <w:bookmarkStart w:id="60" w:name="_Toc412204843"/>
      <w:bookmarkStart w:id="61" w:name="_Toc447015226"/>
      <w:r w:rsidRPr="00104F4B">
        <w:rPr>
          <w:rFonts w:ascii="Arial" w:eastAsia="Times New Roman" w:hAnsi="Arial" w:cs="Arial"/>
          <w:b/>
          <w:i/>
          <w:color w:val="404040" w:themeColor="text1" w:themeTint="BF"/>
          <w:lang w:val="es-ES" w:eastAsia="es-ES"/>
        </w:rPr>
        <w:t>Concesiones Corredor Carrera 15 de Calle 72 a Calle 100</w:t>
      </w:r>
      <w:bookmarkEnd w:id="60"/>
      <w:bookmarkEnd w:id="61"/>
      <w:r w:rsidRPr="00104F4B">
        <w:rPr>
          <w:rFonts w:ascii="Arial" w:eastAsia="Times New Roman" w:hAnsi="Arial" w:cs="Arial"/>
          <w:b/>
          <w:i/>
          <w:color w:val="404040" w:themeColor="text1" w:themeTint="BF"/>
          <w:lang w:val="es-ES" w:eastAsia="es-ES"/>
        </w:rPr>
        <w:t xml:space="preserve"> (4 parqueaderos)</w:t>
      </w:r>
    </w:p>
    <w:p w:rsidR="00B72E08" w:rsidRPr="00104F4B" w:rsidRDefault="00B72E08" w:rsidP="00B72E08">
      <w:pPr>
        <w:rPr>
          <w:rFonts w:eastAsiaTheme="minorEastAsia" w:cs="Arial"/>
          <w:szCs w:val="22"/>
        </w:rPr>
      </w:pPr>
      <w:r w:rsidRPr="00104F4B">
        <w:rPr>
          <w:rFonts w:eastAsiaTheme="minorEastAsia" w:cs="Arial"/>
          <w:szCs w:val="22"/>
        </w:rPr>
        <w:t>Los contratos de concesión de los 4 parqueaderos subterráneos administrados por el IDU, tienen un plazo de ejecución de 20 años a partir del 23 de julio de 1999. Los parqueaderos están construidos en espacio público entregado en comodato a 30 años por el DADEP, y administrados por el IDU mediante 4 convenios, están localizados en la Carrera 16 No. 78-10, Calle 85 No. 16-07, Calle 92 No. 16-05 y Carrera 14 No. 96-55 y actualmente son operados por las Concesiones Parqueadero Calle 77 S.A, Parqueadero Calle 85 S.A, parqueadero Calle 90 S.A y Parqueadero Calle 97 S.A., respectivamente, mediante la firma City parking.</w:t>
      </w:r>
    </w:p>
    <w:p w:rsidR="00B72E08" w:rsidRPr="00104F4B" w:rsidRDefault="00B72E08" w:rsidP="00B72E08">
      <w:pPr>
        <w:rPr>
          <w:rFonts w:cs="Arial"/>
          <w:szCs w:val="22"/>
        </w:rPr>
      </w:pPr>
      <w:r w:rsidRPr="00104F4B">
        <w:rPr>
          <w:rFonts w:cs="Arial"/>
          <w:szCs w:val="22"/>
        </w:rPr>
        <w:t>Los 4 contratos de concesión cuentan actualmente con el seguimiento de la firma GC&amp;Q Ingenieros Consultores SAS, mediante el contrato de interventoría 854 de 2017, cuyo pago es realizado mensualmente por las concesiones.</w:t>
      </w:r>
    </w:p>
    <w:p w:rsidR="00B72E08" w:rsidRPr="00104F4B" w:rsidRDefault="00B72E08" w:rsidP="00B72E08">
      <w:pPr>
        <w:rPr>
          <w:rFonts w:cs="Arial"/>
          <w:szCs w:val="22"/>
        </w:rPr>
      </w:pPr>
      <w:r w:rsidRPr="00104F4B">
        <w:rPr>
          <w:rFonts w:cs="Arial"/>
          <w:szCs w:val="22"/>
        </w:rPr>
        <w:t>Teniendo en cuenta que los contratos de concesión se encuentran próximos a finalizar (03/sep/2019 y 01/jun/2020), actualmente el seguimiento enfoca gran parte de sus esfuerzos en las siguientes tareas:</w:t>
      </w:r>
    </w:p>
    <w:p w:rsidR="00B72E08" w:rsidRPr="00104F4B" w:rsidRDefault="00B72E08" w:rsidP="002625A5">
      <w:pPr>
        <w:pStyle w:val="Prrafodelista"/>
        <w:numPr>
          <w:ilvl w:val="0"/>
          <w:numId w:val="49"/>
        </w:numPr>
        <w:spacing w:before="0"/>
        <w:rPr>
          <w:rFonts w:ascii="Arial" w:hAnsi="Arial" w:cs="Arial"/>
        </w:rPr>
      </w:pPr>
      <w:r w:rsidRPr="00104F4B">
        <w:rPr>
          <w:rFonts w:ascii="Arial" w:hAnsi="Arial" w:cs="Arial"/>
        </w:rPr>
        <w:t>Seguimiento de la infraestructura y equipos, requiriendo continuamente el mantenimiento preventivo y correctivo.</w:t>
      </w:r>
    </w:p>
    <w:p w:rsidR="00B72E08" w:rsidRPr="00104F4B" w:rsidRDefault="00B72E08" w:rsidP="002625A5">
      <w:pPr>
        <w:pStyle w:val="Prrafodelista"/>
        <w:numPr>
          <w:ilvl w:val="0"/>
          <w:numId w:val="49"/>
        </w:numPr>
        <w:spacing w:before="0"/>
        <w:rPr>
          <w:rFonts w:ascii="Arial" w:hAnsi="Arial" w:cs="Arial"/>
        </w:rPr>
      </w:pPr>
      <w:r w:rsidRPr="00104F4B">
        <w:rPr>
          <w:rFonts w:ascii="Arial" w:hAnsi="Arial" w:cs="Arial"/>
        </w:rPr>
        <w:t>Inventario físico de elementos e infraestructura.</w:t>
      </w:r>
    </w:p>
    <w:p w:rsidR="00B72E08" w:rsidRPr="00104F4B" w:rsidRDefault="00B72E08" w:rsidP="002625A5">
      <w:pPr>
        <w:pStyle w:val="Prrafodelista"/>
        <w:numPr>
          <w:ilvl w:val="0"/>
          <w:numId w:val="49"/>
        </w:numPr>
        <w:spacing w:before="0"/>
        <w:rPr>
          <w:rFonts w:ascii="Arial" w:hAnsi="Arial" w:cs="Arial"/>
        </w:rPr>
      </w:pPr>
      <w:r w:rsidRPr="00104F4B">
        <w:rPr>
          <w:rFonts w:ascii="Arial" w:hAnsi="Arial" w:cs="Arial"/>
        </w:rPr>
        <w:t>Inventario documental.</w:t>
      </w:r>
    </w:p>
    <w:p w:rsidR="00B72E08" w:rsidRPr="00104F4B" w:rsidRDefault="00B72E08" w:rsidP="002625A5">
      <w:pPr>
        <w:pStyle w:val="Prrafodelista"/>
        <w:numPr>
          <w:ilvl w:val="0"/>
          <w:numId w:val="49"/>
        </w:numPr>
        <w:spacing w:before="0"/>
        <w:rPr>
          <w:rFonts w:ascii="Arial" w:hAnsi="Arial" w:cs="Arial"/>
        </w:rPr>
      </w:pPr>
      <w:r w:rsidRPr="00104F4B">
        <w:rPr>
          <w:rFonts w:ascii="Arial" w:hAnsi="Arial" w:cs="Arial"/>
        </w:rPr>
        <w:t>Estudio vulnerabilidad estructural tendiente al reforzamiento de varios elementos en los parqueaderos de la calle 85 y calle 90.</w:t>
      </w:r>
    </w:p>
    <w:p w:rsidR="00B72E08" w:rsidRPr="00104F4B" w:rsidRDefault="00B72E08" w:rsidP="002625A5">
      <w:pPr>
        <w:pStyle w:val="Prrafodelista"/>
        <w:numPr>
          <w:ilvl w:val="0"/>
          <w:numId w:val="49"/>
        </w:numPr>
        <w:spacing w:before="0"/>
        <w:rPr>
          <w:rFonts w:ascii="Arial" w:hAnsi="Arial" w:cs="Arial"/>
        </w:rPr>
      </w:pPr>
      <w:r w:rsidRPr="00104F4B">
        <w:rPr>
          <w:rFonts w:ascii="Arial" w:hAnsi="Arial" w:cs="Arial"/>
        </w:rPr>
        <w:t>Actualización de garantías y seguros.</w:t>
      </w:r>
    </w:p>
    <w:p w:rsidR="00B72E08" w:rsidRPr="00104F4B" w:rsidRDefault="00B72E08" w:rsidP="00B72E08">
      <w:pPr>
        <w:rPr>
          <w:rFonts w:cs="Arial"/>
          <w:szCs w:val="22"/>
        </w:rPr>
      </w:pPr>
      <w:r w:rsidRPr="00104F4B">
        <w:rPr>
          <w:rFonts w:cs="Arial"/>
          <w:szCs w:val="22"/>
        </w:rPr>
        <w:t>Teniendo en cuenta la proximidad de la terminación de los contratos 386, 387 y 388 de 1999 en septiembre de 2018, y la solicitud de entrega de la administración de dichos espacios por parte del DADEP, es necesario que se defina la hoja de ruta a seguir por parte del Instituto, dado que en caso de seguir en manos del IDU se debe iniciar procesos licitatorios para garantizar la continuidad en la prestación del servicio así como el mejoramiento y actualización de las estructuras.</w:t>
      </w:r>
    </w:p>
    <w:p w:rsidR="00B72E08" w:rsidRPr="00104F4B" w:rsidRDefault="00B72E08" w:rsidP="00B72E08">
      <w:pPr>
        <w:rPr>
          <w:rFonts w:cs="Arial"/>
          <w:szCs w:val="22"/>
        </w:rPr>
      </w:pPr>
    </w:p>
    <w:p w:rsidR="00B72E08" w:rsidRPr="00104F4B" w:rsidRDefault="00B72E08" w:rsidP="002625A5">
      <w:pPr>
        <w:pStyle w:val="Prrafodelista"/>
        <w:numPr>
          <w:ilvl w:val="0"/>
          <w:numId w:val="48"/>
        </w:numPr>
        <w:spacing w:before="0"/>
        <w:rPr>
          <w:rFonts w:ascii="Arial" w:eastAsia="Times New Roman" w:hAnsi="Arial" w:cs="Arial"/>
          <w:b/>
          <w:i/>
          <w:color w:val="404040" w:themeColor="text1" w:themeTint="BF"/>
          <w:lang w:val="es-ES" w:eastAsia="es-ES"/>
        </w:rPr>
      </w:pPr>
      <w:bookmarkStart w:id="62" w:name="_Toc447015227"/>
      <w:r w:rsidRPr="00104F4B">
        <w:rPr>
          <w:rFonts w:ascii="Arial" w:eastAsia="Times New Roman" w:hAnsi="Arial" w:cs="Arial"/>
          <w:b/>
          <w:i/>
          <w:color w:val="404040" w:themeColor="text1" w:themeTint="BF"/>
          <w:lang w:val="es-ES" w:eastAsia="es-ES"/>
        </w:rPr>
        <w:t>Parqueaderos a nivel Carreras 11, 12 y Diagonal 109 (5 parqueaderos).</w:t>
      </w:r>
      <w:bookmarkEnd w:id="62"/>
    </w:p>
    <w:p w:rsidR="00B72E08" w:rsidRPr="00104F4B" w:rsidRDefault="00B72E08" w:rsidP="00B72E08">
      <w:pPr>
        <w:rPr>
          <w:rFonts w:eastAsia="Calibri" w:cs="Arial"/>
          <w:szCs w:val="22"/>
        </w:rPr>
      </w:pPr>
      <w:r w:rsidRPr="00104F4B">
        <w:rPr>
          <w:rFonts w:eastAsia="Calibri" w:cs="Arial"/>
          <w:szCs w:val="22"/>
        </w:rPr>
        <w:t>Los 5 parqueaderos a nivel de propiedad del IDU están localizados en la Av. Calle 72 No. 5-67, Carrera 12 No. 84-42, Carrera 11 A No. 88-49, Carrera 11 No. 93 A-72 y Calle 109 No. 17-45.</w:t>
      </w:r>
    </w:p>
    <w:p w:rsidR="00B72E08" w:rsidRPr="00104F4B" w:rsidRDefault="00B72E08" w:rsidP="00B72E08">
      <w:pPr>
        <w:rPr>
          <w:rFonts w:cs="Arial"/>
          <w:szCs w:val="22"/>
        </w:rPr>
      </w:pPr>
      <w:r w:rsidRPr="00104F4B">
        <w:rPr>
          <w:rFonts w:cs="Arial"/>
          <w:szCs w:val="22"/>
        </w:rPr>
        <w:lastRenderedPageBreak/>
        <w:t>El mantenimiento, administración y operación de estos parqueaderos se realiza a través de terceros que contrata el IDU, durante el 2018 finalizó el contrato de concesión 1706 de 2015, celebrado con la Unión Temporal City Parking, posteriormente se firmó el contrato interadministrativo IDU-1436-2018 con la Terminal de Transporte S.A., que inició el 17 de octubre de 2018 y tiene previsto finalizar el 16 de abril de 2019.</w:t>
      </w:r>
    </w:p>
    <w:p w:rsidR="00B72E08" w:rsidRPr="00104F4B" w:rsidRDefault="00B72E08" w:rsidP="00B72E08">
      <w:pPr>
        <w:rPr>
          <w:rFonts w:cs="Arial"/>
          <w:szCs w:val="22"/>
        </w:rPr>
      </w:pPr>
      <w:r w:rsidRPr="00104F4B">
        <w:rPr>
          <w:rFonts w:cs="Arial"/>
          <w:szCs w:val="22"/>
        </w:rPr>
        <w:t>En virtud de los contratos antes mencionados el IDU recibió ingresos durante el año 2018 de $1.817.683.445.</w:t>
      </w:r>
    </w:p>
    <w:p w:rsidR="00B72E08" w:rsidRPr="00104F4B" w:rsidRDefault="00B72E08" w:rsidP="00B72E08">
      <w:pPr>
        <w:rPr>
          <w:rFonts w:eastAsiaTheme="minorEastAsia" w:cs="Arial"/>
          <w:szCs w:val="22"/>
        </w:rPr>
      </w:pPr>
      <w:r w:rsidRPr="00104F4B">
        <w:rPr>
          <w:rFonts w:eastAsiaTheme="minorEastAsia" w:cs="Arial"/>
          <w:szCs w:val="22"/>
        </w:rPr>
        <w:t>La Supervisión del contrato la ejerce directamente el IDU</w:t>
      </w:r>
    </w:p>
    <w:p w:rsidR="009F1996" w:rsidRPr="00104F4B" w:rsidRDefault="009F1996" w:rsidP="002625A5">
      <w:pPr>
        <w:pStyle w:val="subtitulodel3"/>
        <w:numPr>
          <w:ilvl w:val="0"/>
          <w:numId w:val="46"/>
        </w:numPr>
        <w:rPr>
          <w:caps w:val="0"/>
          <w:sz w:val="22"/>
          <w:szCs w:val="22"/>
          <w:u w:val="none"/>
        </w:rPr>
      </w:pPr>
      <w:bookmarkStart w:id="63" w:name="_Toc447015231"/>
      <w:r w:rsidRPr="00104F4B">
        <w:rPr>
          <w:caps w:val="0"/>
          <w:sz w:val="22"/>
          <w:szCs w:val="22"/>
          <w:u w:val="none"/>
        </w:rPr>
        <w:t>Cruces de cuentas con ESP.</w:t>
      </w:r>
      <w:bookmarkEnd w:id="63"/>
    </w:p>
    <w:p w:rsidR="009F1996" w:rsidRPr="00104F4B" w:rsidRDefault="009F1996" w:rsidP="009F1996">
      <w:pPr>
        <w:rPr>
          <w:rFonts w:cs="Arial"/>
          <w:szCs w:val="22"/>
        </w:rPr>
      </w:pPr>
      <w:r w:rsidRPr="00104F4B">
        <w:rPr>
          <w:rFonts w:cs="Arial"/>
          <w:szCs w:val="22"/>
        </w:rPr>
        <w:t xml:space="preserve">Se adelantaron las gestiones para la liquidación de los convenios suscritos con las ESP para cruce de cuentas y se realizó el seguimiento a los pendientes de liquidación. </w:t>
      </w:r>
    </w:p>
    <w:p w:rsidR="009F1996" w:rsidRPr="00104F4B" w:rsidRDefault="009F1996" w:rsidP="009F1996">
      <w:pPr>
        <w:rPr>
          <w:rFonts w:cs="Arial"/>
          <w:szCs w:val="22"/>
        </w:rPr>
      </w:pPr>
      <w:r w:rsidRPr="00104F4B">
        <w:rPr>
          <w:rFonts w:cs="Arial"/>
          <w:b/>
          <w:color w:val="404040" w:themeColor="text1" w:themeTint="BF"/>
          <w:szCs w:val="22"/>
        </w:rPr>
        <w:t>Convenios liquidados:</w:t>
      </w:r>
      <w:r w:rsidRPr="00104F4B">
        <w:rPr>
          <w:rFonts w:cs="Arial"/>
          <w:szCs w:val="22"/>
        </w:rPr>
        <w:t xml:space="preserve"> </w:t>
      </w:r>
    </w:p>
    <w:p w:rsidR="009F1996" w:rsidRPr="00104F4B" w:rsidRDefault="009F1996" w:rsidP="002625A5">
      <w:pPr>
        <w:pStyle w:val="Prrafodelista"/>
        <w:numPr>
          <w:ilvl w:val="0"/>
          <w:numId w:val="48"/>
        </w:numPr>
        <w:spacing w:before="0"/>
        <w:rPr>
          <w:rFonts w:ascii="Arial" w:hAnsi="Arial" w:cs="Arial"/>
        </w:rPr>
      </w:pPr>
      <w:r w:rsidRPr="00104F4B">
        <w:rPr>
          <w:rFonts w:ascii="Arial" w:hAnsi="Arial" w:cs="Arial"/>
        </w:rPr>
        <w:t>Convenio 24-2004 IDU-CODENSA con acta de liquidación del 28/mayo/2018 en la cual se relacionan contratos con pendientes de entrega de obras a CODENSA.</w:t>
      </w:r>
    </w:p>
    <w:p w:rsidR="009F1996" w:rsidRPr="00104F4B" w:rsidRDefault="009F1996" w:rsidP="009F1996">
      <w:pPr>
        <w:rPr>
          <w:rFonts w:cs="Arial"/>
          <w:b/>
          <w:color w:val="404040" w:themeColor="text1" w:themeTint="BF"/>
          <w:szCs w:val="22"/>
        </w:rPr>
      </w:pPr>
      <w:r w:rsidRPr="00104F4B">
        <w:rPr>
          <w:rFonts w:cs="Arial"/>
          <w:b/>
          <w:color w:val="404040" w:themeColor="text1" w:themeTint="BF"/>
          <w:szCs w:val="22"/>
        </w:rPr>
        <w:t xml:space="preserve">Seguimiento a pendientes convenios liquidados: </w:t>
      </w:r>
    </w:p>
    <w:p w:rsidR="009F1996" w:rsidRPr="00104F4B" w:rsidRDefault="009F1996" w:rsidP="002625A5">
      <w:pPr>
        <w:pStyle w:val="Prrafodelista"/>
        <w:numPr>
          <w:ilvl w:val="0"/>
          <w:numId w:val="50"/>
        </w:numPr>
        <w:shd w:val="clear" w:color="auto" w:fill="FFFFFF"/>
        <w:spacing w:before="0"/>
        <w:rPr>
          <w:rFonts w:ascii="Arial" w:eastAsia="Times New Roman" w:hAnsi="Arial" w:cs="Arial"/>
          <w:lang w:val="es-ES" w:eastAsia="es-ES"/>
        </w:rPr>
      </w:pPr>
      <w:r w:rsidRPr="00104F4B">
        <w:rPr>
          <w:rFonts w:ascii="Arial" w:eastAsia="Times New Roman" w:hAnsi="Arial" w:cs="Arial"/>
          <w:lang w:val="es-ES" w:eastAsia="es-ES"/>
        </w:rPr>
        <w:t>Convenio 10-2008 IDU-EAB, se establecieron 7 pendientes; de los cuales a 31 de diciembre de 2018, se dio cumplimiento al 81% de los mismos.</w:t>
      </w:r>
    </w:p>
    <w:p w:rsidR="009F1996" w:rsidRPr="00104F4B" w:rsidRDefault="009F1996" w:rsidP="009F1996">
      <w:pPr>
        <w:pStyle w:val="Prrafodelista"/>
        <w:shd w:val="clear" w:color="auto" w:fill="FFFFFF"/>
        <w:ind w:left="360"/>
        <w:rPr>
          <w:rFonts w:ascii="Arial" w:eastAsia="Times New Roman" w:hAnsi="Arial" w:cs="Arial"/>
          <w:lang w:val="es-ES" w:eastAsia="es-ES"/>
        </w:rPr>
      </w:pPr>
      <w:r w:rsidRPr="00104F4B">
        <w:rPr>
          <w:rFonts w:ascii="Arial" w:eastAsia="Times New Roman" w:hAnsi="Arial" w:cs="Arial"/>
          <w:lang w:val="es-ES" w:eastAsia="es-ES"/>
        </w:rPr>
        <w:t>Se elaboró un borrador del balance financiero, en donde se relacionan las actas suscritas después de la liquidación del convenio, con el cual se tiene un valor a favor del IDU de $ 351.881.484; valor que incluye el descuento de los giros anticipados realizados por EAB que a la fecha no se han soportado con la entrega de las respectivas obras. </w:t>
      </w:r>
    </w:p>
    <w:p w:rsidR="009F1996" w:rsidRPr="00104F4B" w:rsidRDefault="009F1996" w:rsidP="002625A5">
      <w:pPr>
        <w:pStyle w:val="Prrafodelista"/>
        <w:numPr>
          <w:ilvl w:val="0"/>
          <w:numId w:val="50"/>
        </w:numPr>
        <w:spacing w:before="0"/>
        <w:rPr>
          <w:rFonts w:ascii="Arial" w:eastAsia="Times New Roman" w:hAnsi="Arial" w:cs="Arial"/>
          <w:lang w:val="es-ES" w:eastAsia="es-ES"/>
        </w:rPr>
      </w:pPr>
      <w:r w:rsidRPr="00104F4B">
        <w:rPr>
          <w:rFonts w:ascii="Arial" w:eastAsia="Times New Roman" w:hAnsi="Arial" w:cs="Arial"/>
          <w:lang w:val="es-ES" w:eastAsia="es-ES"/>
        </w:rPr>
        <w:t>Convenio 005-2000 IDU-TELECOM (COTELCO) con acta de liquidación del 01/ago/2017 con pendiente de pago de maniobra del contrato IDU-5-2012.</w:t>
      </w:r>
    </w:p>
    <w:p w:rsidR="009F1996" w:rsidRPr="00104F4B" w:rsidRDefault="009F1996" w:rsidP="002625A5">
      <w:pPr>
        <w:pStyle w:val="Prrafodelista"/>
        <w:numPr>
          <w:ilvl w:val="0"/>
          <w:numId w:val="50"/>
        </w:numPr>
        <w:spacing w:before="0"/>
        <w:rPr>
          <w:rFonts w:ascii="Arial" w:eastAsia="Times New Roman" w:hAnsi="Arial" w:cs="Arial"/>
          <w:lang w:val="es-ES" w:eastAsia="es-ES"/>
        </w:rPr>
      </w:pPr>
      <w:r w:rsidRPr="00104F4B">
        <w:rPr>
          <w:rFonts w:ascii="Arial" w:eastAsia="Times New Roman" w:hAnsi="Arial" w:cs="Arial"/>
          <w:lang w:val="es-ES" w:eastAsia="es-ES"/>
        </w:rPr>
        <w:t xml:space="preserve">Convenio 24-2004 IDU-CODENSA. Dentro del seguimiento de pendientes (Anexos 3, 4 y 5 del acta de liquidación), se suscribieron dos actas de cruce de cuentas y se tramitaron pagos de cinco actas de cruce de cuentas. </w:t>
      </w:r>
    </w:p>
    <w:p w:rsidR="009F1996" w:rsidRPr="00104F4B" w:rsidRDefault="009F1996" w:rsidP="009F1996">
      <w:pPr>
        <w:rPr>
          <w:rFonts w:cs="Arial"/>
          <w:b/>
          <w:color w:val="404040" w:themeColor="text1" w:themeTint="BF"/>
          <w:szCs w:val="22"/>
        </w:rPr>
      </w:pPr>
      <w:r w:rsidRPr="00104F4B">
        <w:rPr>
          <w:rFonts w:cs="Arial"/>
          <w:b/>
          <w:color w:val="404040" w:themeColor="text1" w:themeTint="BF"/>
          <w:szCs w:val="22"/>
        </w:rPr>
        <w:t xml:space="preserve">Convenio vigente. </w:t>
      </w:r>
    </w:p>
    <w:p w:rsidR="009F1996" w:rsidRPr="00104F4B" w:rsidRDefault="009F1996" w:rsidP="009F1996">
      <w:pPr>
        <w:rPr>
          <w:rFonts w:cs="Arial"/>
          <w:szCs w:val="22"/>
        </w:rPr>
      </w:pPr>
      <w:r w:rsidRPr="00104F4B">
        <w:rPr>
          <w:rFonts w:cs="Arial"/>
          <w:szCs w:val="22"/>
        </w:rPr>
        <w:t>Convenio 3501-1994 IDU-ETB, se adelantan las gestiones para la terminación y liquidación del convenio, se elaboraron los siguientes anexos: Anexo 1 relaciona los cruces de cuentas realizados durante la ejecución del convenio y con corte al 31/dic/2017, Anexo N° 2 relaciona los contratos con Actas de recibo de obra con valor $00 por obras a cargo de ETB que no van a cruce de cuentas; se encuentran en revisión por ETB. Se realizó el cruce de cuentas para contratos con fuente IDU con saldo a favor IDU por $175.199.519.</w:t>
      </w:r>
    </w:p>
    <w:p w:rsidR="009F1996" w:rsidRPr="00104F4B" w:rsidRDefault="009F1996" w:rsidP="009F1996">
      <w:pPr>
        <w:rPr>
          <w:rFonts w:cs="Arial"/>
          <w:szCs w:val="22"/>
        </w:rPr>
      </w:pPr>
      <w:r w:rsidRPr="00104F4B">
        <w:rPr>
          <w:rFonts w:cs="Arial"/>
          <w:szCs w:val="22"/>
        </w:rPr>
        <w:t>Se adelantan mesas de trabajo con la ETB para el recibo de obra de los contratos liquidados, en liquidación judicial o en proceso de recibo con el fin de lograr la liquidación del convenio sin pendientes.</w:t>
      </w:r>
    </w:p>
    <w:p w:rsidR="009F1996" w:rsidRPr="00104F4B" w:rsidRDefault="009F1996" w:rsidP="009F1996">
      <w:pPr>
        <w:rPr>
          <w:rFonts w:cs="Arial"/>
          <w:sz w:val="16"/>
          <w:szCs w:val="16"/>
        </w:rPr>
      </w:pPr>
      <w:r w:rsidRPr="00104F4B">
        <w:rPr>
          <w:rFonts w:cs="Arial"/>
          <w:b/>
          <w:sz w:val="16"/>
          <w:szCs w:val="16"/>
        </w:rPr>
        <w:t>Tabla SGI</w:t>
      </w:r>
      <w:r w:rsidRPr="00104F4B">
        <w:rPr>
          <w:rFonts w:cs="Arial"/>
          <w:sz w:val="16"/>
          <w:szCs w:val="16"/>
        </w:rPr>
        <w:t xml:space="preserve"> – Cruces de cuentas con las ESP realizados en 2018 y en trámite en 2019</w:t>
      </w:r>
    </w:p>
    <w:p w:rsidR="009F1996" w:rsidRPr="00104F4B" w:rsidRDefault="009F1996" w:rsidP="009F1996">
      <w:pPr>
        <w:jc w:val="center"/>
        <w:rPr>
          <w:rFonts w:cs="Arial"/>
          <w:szCs w:val="22"/>
        </w:rPr>
      </w:pPr>
      <w:r w:rsidRPr="00104F4B">
        <w:rPr>
          <w:rFonts w:cs="Arial"/>
          <w:noProof/>
          <w:szCs w:val="22"/>
          <w:lang w:val="es-CO" w:eastAsia="es-CO"/>
        </w:rPr>
        <w:lastRenderedPageBreak/>
        <w:drawing>
          <wp:inline distT="0" distB="0" distL="0" distR="0" wp14:anchorId="60557DF0" wp14:editId="4ACD5620">
            <wp:extent cx="4153187" cy="2089388"/>
            <wp:effectExtent l="0" t="0" r="0" b="635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161468" cy="2093554"/>
                    </a:xfrm>
                    <a:prstGeom prst="rect">
                      <a:avLst/>
                    </a:prstGeom>
                    <a:noFill/>
                    <a:ln>
                      <a:noFill/>
                    </a:ln>
                  </pic:spPr>
                </pic:pic>
              </a:graphicData>
            </a:graphic>
          </wp:inline>
        </w:drawing>
      </w:r>
    </w:p>
    <w:p w:rsidR="009F1996" w:rsidRPr="00104F4B" w:rsidRDefault="009F1996" w:rsidP="009F1996">
      <w:pPr>
        <w:jc w:val="center"/>
        <w:rPr>
          <w:rFonts w:cs="Arial"/>
          <w:sz w:val="16"/>
          <w:szCs w:val="16"/>
        </w:rPr>
      </w:pPr>
      <w:r w:rsidRPr="00104F4B">
        <w:rPr>
          <w:rFonts w:cs="Arial"/>
          <w:b/>
          <w:sz w:val="16"/>
          <w:szCs w:val="16"/>
        </w:rPr>
        <w:t>Fuente</w:t>
      </w:r>
      <w:r w:rsidRPr="00104F4B">
        <w:rPr>
          <w:rFonts w:cs="Arial"/>
          <w:sz w:val="16"/>
          <w:szCs w:val="16"/>
        </w:rPr>
        <w:t xml:space="preserve"> – Grupo de Cruce de Cuentas DTAI.</w:t>
      </w:r>
    </w:p>
    <w:p w:rsidR="00853E0B" w:rsidRPr="00104F4B" w:rsidRDefault="00047E20" w:rsidP="00047E20">
      <w:pPr>
        <w:pStyle w:val="Ttulo1"/>
        <w:rPr>
          <w:rFonts w:ascii="Arial" w:hAnsi="Arial" w:cs="Arial"/>
          <w:sz w:val="22"/>
          <w:szCs w:val="22"/>
        </w:rPr>
      </w:pPr>
      <w:bookmarkStart w:id="64" w:name="_Toc536195553"/>
      <w:r w:rsidRPr="00104F4B">
        <w:rPr>
          <w:rFonts w:ascii="Arial" w:hAnsi="Arial" w:cs="Arial"/>
          <w:sz w:val="22"/>
          <w:szCs w:val="22"/>
        </w:rPr>
        <w:t xml:space="preserve">5.1.2 </w:t>
      </w:r>
      <w:r w:rsidR="00853E0B" w:rsidRPr="00104F4B">
        <w:rPr>
          <w:rFonts w:ascii="Arial" w:hAnsi="Arial" w:cs="Arial"/>
          <w:sz w:val="22"/>
          <w:szCs w:val="22"/>
        </w:rPr>
        <w:t>Dirección Técnica de Mantenimiento</w:t>
      </w:r>
      <w:bookmarkEnd w:id="64"/>
    </w:p>
    <w:p w:rsidR="00853E0B" w:rsidRPr="00104F4B" w:rsidRDefault="00853E0B" w:rsidP="00853E0B">
      <w:pPr>
        <w:rPr>
          <w:rFonts w:eastAsia="Calibri" w:cs="Arial"/>
          <w:szCs w:val="22"/>
          <w:lang w:val="es-CO" w:eastAsia="en-US"/>
        </w:rPr>
      </w:pPr>
      <w:r w:rsidRPr="00104F4B">
        <w:rPr>
          <w:rFonts w:eastAsia="Calibri" w:cs="Arial"/>
          <w:szCs w:val="22"/>
          <w:lang w:val="es-CO" w:eastAsia="en-US"/>
        </w:rPr>
        <w:t xml:space="preserve">La Dirección Técnica de Mantenimiento contribuye al sostenimiento de la vida útil de las vías de Bogotá D.C. a través de diferentes programas que permiten ejecutar labores preventivas y correctivas, mediante actividades de mantenimiento rutinario, mantenimiento periódico y rehabilitación con el fin de optimizar los tiempos de desplazamiento, e interconectando las rutas alimentadoras y las vías locales con la malla vial principal. </w:t>
      </w:r>
    </w:p>
    <w:p w:rsidR="00853E0B" w:rsidRPr="00104F4B" w:rsidRDefault="00853E0B" w:rsidP="00853E0B">
      <w:pPr>
        <w:rPr>
          <w:rFonts w:eastAsia="Calibri" w:cs="Arial"/>
          <w:szCs w:val="22"/>
          <w:lang w:val="es-CO" w:eastAsia="en-US"/>
        </w:rPr>
      </w:pPr>
      <w:r w:rsidRPr="00104F4B">
        <w:rPr>
          <w:rFonts w:eastAsia="Calibri" w:cs="Arial"/>
          <w:szCs w:val="22"/>
          <w:lang w:val="es-CO" w:eastAsia="en-US"/>
        </w:rPr>
        <w:t xml:space="preserve">Con el fin de coordinar y controlar la debida ejecución de los contratos a su cargo, se estableció con las Subdirecciones Técnicas de Mantenimiento del Subsistema Vial y del Subsistema de Transporte, realizar comités para implementar acciones de acuerdo con las directrices emitidas por la Dirección General y la Subdirección General de Infraestructura en los comités directivos y técnicos, así como para revisar los avances, las necesidades e inconvenientes y analizar las diferentes alternativas de solución. </w:t>
      </w:r>
    </w:p>
    <w:p w:rsidR="00853E0B" w:rsidRPr="00104F4B" w:rsidRDefault="00853E0B" w:rsidP="00853E0B">
      <w:pPr>
        <w:rPr>
          <w:rFonts w:eastAsia="Calibri" w:cs="Arial"/>
          <w:szCs w:val="22"/>
          <w:lang w:val="es-CO" w:eastAsia="en-US"/>
        </w:rPr>
      </w:pPr>
      <w:r w:rsidRPr="00104F4B">
        <w:rPr>
          <w:rFonts w:eastAsia="Calibri" w:cs="Arial"/>
          <w:szCs w:val="22"/>
          <w:lang w:val="es-CO" w:eastAsia="en-US"/>
        </w:rPr>
        <w:t>De igual manera, con el apoyo de la base de datos para el seguimiento a la contratación, se logra monitorear los aspectos legales, financieros y de avance físico de cada contrato para dirigir y orientar debidamente durante la ejecución de la obra en temas sociales, ambientales y de seguridad integral, la Dirección y las Subdirecciones cuentan con personal de apoyo capacitado para monitorear cada uno de los proyectos a cargo.</w:t>
      </w:r>
    </w:p>
    <w:p w:rsidR="00853E0B" w:rsidRPr="00104F4B" w:rsidRDefault="00853E0B" w:rsidP="00853E0B">
      <w:pPr>
        <w:rPr>
          <w:rFonts w:eastAsia="Calibri" w:cs="Arial"/>
          <w:szCs w:val="22"/>
          <w:lang w:val="es-CO" w:eastAsia="en-US"/>
        </w:rPr>
      </w:pPr>
      <w:r w:rsidRPr="00104F4B">
        <w:rPr>
          <w:rFonts w:eastAsia="Calibri" w:cs="Arial"/>
          <w:szCs w:val="22"/>
          <w:lang w:val="es-CO" w:eastAsia="en-US"/>
        </w:rPr>
        <w:t xml:space="preserve">A través de las Subdirecciones Técnicas, las cuales reportan directamente a la Dirección, se coordina y controla el cumplimiento de las especificaciones, presupuestos, planes y calidad de las obras a cargo. </w:t>
      </w:r>
    </w:p>
    <w:p w:rsidR="00853E0B" w:rsidRPr="00104F4B" w:rsidRDefault="00853E0B" w:rsidP="00853E0B">
      <w:pPr>
        <w:rPr>
          <w:rFonts w:eastAsia="Calibri" w:cs="Arial"/>
          <w:szCs w:val="22"/>
          <w:lang w:val="es-CO" w:eastAsia="en-US"/>
        </w:rPr>
      </w:pPr>
      <w:r w:rsidRPr="00104F4B">
        <w:rPr>
          <w:rFonts w:eastAsia="Calibri" w:cs="Arial"/>
          <w:szCs w:val="22"/>
          <w:lang w:val="es-CO" w:eastAsia="en-US"/>
        </w:rPr>
        <w:t>La DTM cuenta con un equipo de apoyo a la gestión para desarrollar o ejecutar los diferentes temas a su cargo:</w:t>
      </w:r>
    </w:p>
    <w:p w:rsidR="00853E0B" w:rsidRPr="00104F4B" w:rsidRDefault="00853E0B" w:rsidP="00853E0B">
      <w:pPr>
        <w:rPr>
          <w:rFonts w:eastAsia="Calibri" w:cs="Arial"/>
          <w:szCs w:val="22"/>
          <w:lang w:val="es-CO" w:eastAsia="en-US"/>
        </w:rPr>
      </w:pPr>
    </w:p>
    <w:p w:rsidR="00853E0B" w:rsidRPr="00104F4B" w:rsidRDefault="00853E0B" w:rsidP="002625A5">
      <w:pPr>
        <w:numPr>
          <w:ilvl w:val="0"/>
          <w:numId w:val="52"/>
        </w:numPr>
        <w:tabs>
          <w:tab w:val="num" w:pos="284"/>
        </w:tabs>
        <w:spacing w:before="0"/>
        <w:ind w:left="284" w:hanging="284"/>
        <w:rPr>
          <w:rFonts w:eastAsia="Calibri" w:cs="Arial"/>
          <w:szCs w:val="22"/>
          <w:lang w:val="es-CO" w:eastAsia="en-US"/>
        </w:rPr>
      </w:pPr>
      <w:r w:rsidRPr="00104F4B">
        <w:rPr>
          <w:rFonts w:eastAsia="Calibri" w:cs="Arial"/>
          <w:b/>
          <w:szCs w:val="22"/>
          <w:lang w:val="es-CO" w:eastAsia="en-US"/>
        </w:rPr>
        <w:t xml:space="preserve">Gestión técnica: </w:t>
      </w:r>
      <w:r w:rsidRPr="00104F4B">
        <w:rPr>
          <w:rFonts w:eastAsia="Calibri" w:cs="Arial"/>
          <w:szCs w:val="22"/>
          <w:lang w:val="es-CO" w:eastAsia="en-US"/>
        </w:rPr>
        <w:t>Seguimiento a las actividades ejecutadas por las Subdirecciones Técnicas, con el fin de dar cumplimiento a planes y programas de la Dirección Técnica; coordinación de actividades necesarias para el desarrollo de temas y trabajos asignados por la Dirección General y Subdirección General de Infraestructura;  coordinación y seguimiento de los temas técnicos relacionados con la ejecución de las obras; así mismo se verifica la implementación en los contratos a cargo, de asfalto con grano de caucho reciclado y de procesos constructivos con RCD, dando cumplimiento a las normativas ambientales dispuestas por la SDA.</w:t>
      </w:r>
    </w:p>
    <w:p w:rsidR="00853E0B" w:rsidRPr="00104F4B" w:rsidRDefault="00853E0B" w:rsidP="002625A5">
      <w:pPr>
        <w:numPr>
          <w:ilvl w:val="0"/>
          <w:numId w:val="52"/>
        </w:numPr>
        <w:tabs>
          <w:tab w:val="num" w:pos="284"/>
        </w:tabs>
        <w:spacing w:before="0"/>
        <w:ind w:left="284" w:hanging="284"/>
        <w:rPr>
          <w:rFonts w:eastAsia="Calibri" w:cs="Arial"/>
          <w:szCs w:val="22"/>
          <w:lang w:val="es-CO" w:eastAsia="en-US"/>
        </w:rPr>
      </w:pPr>
      <w:r w:rsidRPr="00104F4B">
        <w:rPr>
          <w:rFonts w:eastAsia="Calibri" w:cs="Arial"/>
          <w:szCs w:val="22"/>
          <w:lang w:val="es-CO" w:eastAsia="en-US"/>
        </w:rPr>
        <w:lastRenderedPageBreak/>
        <w:t>Se realiza seguimiento con registro fotográfico a los frentes que se intervienen en cada contrato que se encuentra en ejecución asignado a cada Subdirección Técnica, se establecen parámetros y directrices a tener en cuenta en todos los contratos con el fin de prevenir futuros retrasos e incumplimientos.</w:t>
      </w:r>
    </w:p>
    <w:p w:rsidR="00853E0B" w:rsidRPr="00104F4B" w:rsidRDefault="00853E0B" w:rsidP="002625A5">
      <w:pPr>
        <w:numPr>
          <w:ilvl w:val="0"/>
          <w:numId w:val="52"/>
        </w:numPr>
        <w:tabs>
          <w:tab w:val="num" w:pos="284"/>
        </w:tabs>
        <w:spacing w:before="0"/>
        <w:ind w:left="284" w:hanging="284"/>
        <w:rPr>
          <w:rFonts w:eastAsia="Calibri" w:cs="Arial"/>
          <w:szCs w:val="22"/>
          <w:lang w:val="es-CO" w:eastAsia="en-US"/>
        </w:rPr>
      </w:pPr>
      <w:r w:rsidRPr="00104F4B">
        <w:rPr>
          <w:rFonts w:eastAsia="Calibri" w:cs="Arial"/>
          <w:szCs w:val="22"/>
          <w:lang w:val="es-CO" w:eastAsia="en-US"/>
        </w:rPr>
        <w:t>A través del aplicativo ZIPA se realiza el seguimiento a los contratos, para lo cual cada supervisor de apoyo técnico a los contratos alimenta semanalmente, los avances físicos y financieros, frentes en ejecución y registro fotográfico de cada contrato a cargo. Adicionalmente con personal de apoyo a la gestión, la DTM realiza seguimiento generando las recomendaciones y alertas al Director técnico para toma de decisiones.</w:t>
      </w:r>
    </w:p>
    <w:p w:rsidR="00853E0B" w:rsidRPr="00104F4B" w:rsidRDefault="00853E0B" w:rsidP="002625A5">
      <w:pPr>
        <w:numPr>
          <w:ilvl w:val="0"/>
          <w:numId w:val="51"/>
        </w:numPr>
        <w:tabs>
          <w:tab w:val="num" w:pos="284"/>
        </w:tabs>
        <w:spacing w:before="0"/>
        <w:ind w:left="284" w:hanging="284"/>
        <w:rPr>
          <w:rFonts w:eastAsia="Calibri" w:cs="Arial"/>
          <w:szCs w:val="22"/>
          <w:lang w:val="es-CO" w:eastAsia="en-US"/>
        </w:rPr>
      </w:pPr>
      <w:r w:rsidRPr="00104F4B">
        <w:rPr>
          <w:rFonts w:eastAsia="Calibri" w:cs="Arial"/>
          <w:b/>
          <w:szCs w:val="22"/>
          <w:lang w:val="es-CO" w:eastAsia="en-US"/>
        </w:rPr>
        <w:t xml:space="preserve">Gestión Contractual: </w:t>
      </w:r>
      <w:r w:rsidRPr="00104F4B">
        <w:rPr>
          <w:rFonts w:eastAsia="Calibri" w:cs="Arial"/>
          <w:szCs w:val="22"/>
          <w:lang w:val="es-CO" w:eastAsia="en-US"/>
        </w:rPr>
        <w:t>La DTM cuenta con profesionales de apoyo, que realizan revisión y seguimiento a la gestión de los contratos terminados y en proceso de liquidación, en los cuales se realizan reuniones con los contratistas e interventores, supervisores y delegados de las Empresas de Servicios Públicos cuando hubiere lugar; conceptos; revisión de documentos, análisis y propuestas de alternativas se facilita la liquidación oportuna de los contratos.</w:t>
      </w:r>
    </w:p>
    <w:p w:rsidR="009A4DDD" w:rsidRPr="00104F4B" w:rsidRDefault="009A4DDD" w:rsidP="009A4DDD">
      <w:pPr>
        <w:numPr>
          <w:ilvl w:val="0"/>
          <w:numId w:val="51"/>
        </w:numPr>
        <w:tabs>
          <w:tab w:val="num" w:pos="284"/>
        </w:tabs>
        <w:spacing w:before="0"/>
        <w:ind w:left="284" w:hanging="284"/>
        <w:rPr>
          <w:rFonts w:eastAsia="Calibri" w:cs="Arial"/>
          <w:szCs w:val="22"/>
          <w:lang w:val="es-CO" w:eastAsia="en-US"/>
        </w:rPr>
      </w:pPr>
      <w:r w:rsidRPr="00104F4B">
        <w:rPr>
          <w:rFonts w:eastAsia="Calibri" w:cs="Arial"/>
          <w:b/>
          <w:szCs w:val="22"/>
          <w:lang w:val="es-CO" w:eastAsia="en-US"/>
        </w:rPr>
        <w:t xml:space="preserve">Gestión administrativa: </w:t>
      </w:r>
      <w:r w:rsidRPr="00104F4B">
        <w:rPr>
          <w:rFonts w:eastAsia="Calibri" w:cs="Arial"/>
          <w:szCs w:val="22"/>
          <w:lang w:val="es-CO" w:eastAsia="en-US"/>
        </w:rPr>
        <w:t>Seguimiento relacionado con requerimientos de Entes de Control, Planes de Mejoramiento, Acuerdos de Gestión e Indicadores de gestión, correspondencia, evaluación de desempeño, liquidaciones, reclamaciones, revisión de procesos y procedimientos, revisión y actualización a la matriz de riesgos por corrupción y riesgos operativos, revisión y apoyo en la estructuración de estudios previos y pliegos de condiciones, actualización del SIAC y coordinación con las diferentes Empresas de Servicios Públicos y otras entidades involucradas en la ejecución de las obras.</w:t>
      </w:r>
    </w:p>
    <w:p w:rsidR="009A4DDD" w:rsidRPr="00104F4B" w:rsidRDefault="009A4DDD" w:rsidP="009A4DDD">
      <w:pPr>
        <w:numPr>
          <w:ilvl w:val="0"/>
          <w:numId w:val="51"/>
        </w:numPr>
        <w:tabs>
          <w:tab w:val="num" w:pos="284"/>
        </w:tabs>
        <w:spacing w:before="0"/>
        <w:ind w:left="284" w:hanging="284"/>
        <w:rPr>
          <w:rFonts w:eastAsia="Calibri" w:cs="Arial"/>
          <w:szCs w:val="22"/>
          <w:lang w:val="es-CO" w:eastAsia="en-US"/>
        </w:rPr>
      </w:pPr>
      <w:r w:rsidRPr="00104F4B">
        <w:rPr>
          <w:rFonts w:eastAsia="Calibri" w:cs="Arial"/>
          <w:b/>
          <w:szCs w:val="22"/>
          <w:lang w:val="es-CO" w:eastAsia="en-US"/>
        </w:rPr>
        <w:t xml:space="preserve">Gestión financiera: </w:t>
      </w:r>
      <w:r w:rsidRPr="00104F4B">
        <w:rPr>
          <w:rFonts w:eastAsia="Calibri" w:cs="Arial"/>
          <w:szCs w:val="22"/>
          <w:lang w:val="es-CO" w:eastAsia="en-US"/>
        </w:rPr>
        <w:t>Se realiza un estricto control y vigilancia al trámite de cuentas y programación PAC, ejecución de Pasivos Exigibles, Reservas Presupuestales, Presupuesto de la vigencia actual, rendimientos de anticipos y anteproyecto de presupuesto. Con esta labor se obtiene un control periódico de los recursos asignados en los presupuestos IDU, UEL y Transmilenio.</w:t>
      </w:r>
    </w:p>
    <w:p w:rsidR="009A4DDD" w:rsidRPr="00104F4B" w:rsidRDefault="009A4DDD" w:rsidP="00F53726">
      <w:pPr>
        <w:spacing w:before="0"/>
        <w:contextualSpacing/>
        <w:rPr>
          <w:rFonts w:eastAsia="Calibri" w:cs="Arial"/>
          <w:b/>
          <w:szCs w:val="22"/>
          <w:lang w:eastAsia="en-US"/>
        </w:rPr>
      </w:pPr>
    </w:p>
    <w:p w:rsidR="00F53726" w:rsidRPr="00104F4B" w:rsidRDefault="00F53726" w:rsidP="00F53726">
      <w:pPr>
        <w:spacing w:before="0"/>
        <w:contextualSpacing/>
        <w:rPr>
          <w:rFonts w:eastAsia="Calibri" w:cs="Arial"/>
          <w:b/>
          <w:szCs w:val="22"/>
          <w:lang w:eastAsia="en-US"/>
        </w:rPr>
      </w:pPr>
      <w:r w:rsidRPr="00104F4B">
        <w:rPr>
          <w:rFonts w:eastAsia="Calibri" w:cs="Arial"/>
          <w:b/>
          <w:szCs w:val="22"/>
          <w:lang w:eastAsia="en-US"/>
        </w:rPr>
        <w:t>Ejecución Metas Físicas</w:t>
      </w:r>
    </w:p>
    <w:p w:rsidR="00F53726" w:rsidRPr="00104F4B" w:rsidRDefault="00F53726" w:rsidP="00F53726">
      <w:pPr>
        <w:rPr>
          <w:rFonts w:eastAsia="Calibri" w:cs="Arial"/>
          <w:szCs w:val="22"/>
          <w:lang w:eastAsia="en-US"/>
        </w:rPr>
      </w:pPr>
      <w:r w:rsidRPr="00104F4B">
        <w:rPr>
          <w:rFonts w:eastAsia="Calibri" w:cs="Arial"/>
          <w:szCs w:val="22"/>
          <w:lang w:eastAsia="en-US"/>
        </w:rPr>
        <w:t xml:space="preserve">A continuación, se relacionan las metas físicas ejecutadas durante el 2018, para el mantenimiento de la infraestructura vial de la ciudad, la reparación de losas, el mantenimiento de la malla vial y la limpieza y lavado de taches que separan las calzadas solo bus de las de trafico particular. </w:t>
      </w:r>
    </w:p>
    <w:p w:rsidR="00F53726" w:rsidRPr="00104F4B" w:rsidRDefault="00F53726" w:rsidP="00F53726">
      <w:pPr>
        <w:rPr>
          <w:rFonts w:eastAsia="Calibri" w:cs="Arial"/>
          <w:b/>
          <w:sz w:val="16"/>
          <w:szCs w:val="16"/>
          <w:lang w:eastAsia="en-US"/>
        </w:rPr>
      </w:pPr>
      <w:r w:rsidRPr="00104F4B">
        <w:rPr>
          <w:rFonts w:eastAsia="Calibri" w:cs="Arial"/>
          <w:b/>
          <w:sz w:val="16"/>
          <w:szCs w:val="16"/>
          <w:lang w:eastAsia="en-US"/>
        </w:rPr>
        <w:t xml:space="preserve">Tabla SGI - </w:t>
      </w:r>
      <w:r w:rsidRPr="00104F4B">
        <w:rPr>
          <w:rFonts w:eastAsia="Calibri" w:cs="Arial"/>
          <w:sz w:val="16"/>
          <w:szCs w:val="16"/>
          <w:lang w:eastAsia="en-US"/>
        </w:rPr>
        <w:t>Metas Físicas Ejecutadas DTM-2018</w:t>
      </w:r>
    </w:p>
    <w:tbl>
      <w:tblPr>
        <w:tblW w:w="8890" w:type="dxa"/>
        <w:tblCellMar>
          <w:left w:w="70" w:type="dxa"/>
          <w:right w:w="70" w:type="dxa"/>
        </w:tblCellMar>
        <w:tblLook w:val="04A0" w:firstRow="1" w:lastRow="0" w:firstColumn="1" w:lastColumn="0" w:noHBand="0" w:noVBand="1"/>
      </w:tblPr>
      <w:tblGrid>
        <w:gridCol w:w="2878"/>
        <w:gridCol w:w="2380"/>
        <w:gridCol w:w="3632"/>
      </w:tblGrid>
      <w:tr w:rsidR="00F53726" w:rsidRPr="00104F4B" w:rsidTr="0077150E">
        <w:trPr>
          <w:trHeight w:val="261"/>
        </w:trPr>
        <w:tc>
          <w:tcPr>
            <w:tcW w:w="2878" w:type="dxa"/>
            <w:tcBorders>
              <w:top w:val="single" w:sz="4" w:space="0" w:color="auto"/>
              <w:left w:val="single" w:sz="4" w:space="0" w:color="auto"/>
              <w:bottom w:val="single" w:sz="4" w:space="0" w:color="auto"/>
              <w:right w:val="single" w:sz="4" w:space="0" w:color="auto"/>
            </w:tcBorders>
            <w:shd w:val="clear" w:color="000000" w:fill="B8CCE4"/>
            <w:noWrap/>
            <w:vAlign w:val="bottom"/>
            <w:hideMark/>
          </w:tcPr>
          <w:p w:rsidR="00F53726" w:rsidRPr="00104F4B" w:rsidRDefault="00F53726" w:rsidP="0077150E">
            <w:pPr>
              <w:jc w:val="center"/>
              <w:rPr>
                <w:rFonts w:cs="Arial"/>
                <w:b/>
                <w:bCs/>
                <w:color w:val="000000"/>
                <w:sz w:val="16"/>
                <w:szCs w:val="16"/>
                <w:lang w:val="es-CO" w:eastAsia="es-CO"/>
              </w:rPr>
            </w:pPr>
            <w:r w:rsidRPr="00104F4B">
              <w:rPr>
                <w:rFonts w:cs="Arial"/>
                <w:b/>
                <w:bCs/>
                <w:color w:val="000000"/>
                <w:sz w:val="16"/>
                <w:szCs w:val="16"/>
                <w:lang w:val="es-CO" w:eastAsia="es-CO"/>
              </w:rPr>
              <w:t>META FISICA</w:t>
            </w:r>
          </w:p>
        </w:tc>
        <w:tc>
          <w:tcPr>
            <w:tcW w:w="2380" w:type="dxa"/>
            <w:tcBorders>
              <w:top w:val="single" w:sz="4" w:space="0" w:color="auto"/>
              <w:left w:val="nil"/>
              <w:bottom w:val="single" w:sz="4" w:space="0" w:color="auto"/>
              <w:right w:val="single" w:sz="4" w:space="0" w:color="auto"/>
            </w:tcBorders>
            <w:shd w:val="clear" w:color="000000" w:fill="B8CCE4"/>
            <w:noWrap/>
            <w:vAlign w:val="bottom"/>
            <w:hideMark/>
          </w:tcPr>
          <w:p w:rsidR="00F53726" w:rsidRPr="00104F4B" w:rsidRDefault="00F53726" w:rsidP="0077150E">
            <w:pPr>
              <w:jc w:val="center"/>
              <w:rPr>
                <w:rFonts w:cs="Arial"/>
                <w:b/>
                <w:bCs/>
                <w:color w:val="000000"/>
                <w:sz w:val="16"/>
                <w:szCs w:val="16"/>
                <w:lang w:val="es-CO" w:eastAsia="es-CO"/>
              </w:rPr>
            </w:pPr>
            <w:r w:rsidRPr="00104F4B">
              <w:rPr>
                <w:rFonts w:cs="Arial"/>
                <w:b/>
                <w:bCs/>
                <w:color w:val="000000"/>
                <w:sz w:val="16"/>
                <w:szCs w:val="16"/>
                <w:lang w:val="es-CO" w:eastAsia="es-CO"/>
              </w:rPr>
              <w:t>UNIDAD</w:t>
            </w:r>
          </w:p>
        </w:tc>
        <w:tc>
          <w:tcPr>
            <w:tcW w:w="3632" w:type="dxa"/>
            <w:tcBorders>
              <w:top w:val="single" w:sz="4" w:space="0" w:color="auto"/>
              <w:left w:val="nil"/>
              <w:bottom w:val="single" w:sz="4" w:space="0" w:color="auto"/>
              <w:right w:val="single" w:sz="4" w:space="0" w:color="auto"/>
            </w:tcBorders>
            <w:shd w:val="clear" w:color="000000" w:fill="B8CCE4"/>
            <w:noWrap/>
            <w:vAlign w:val="bottom"/>
            <w:hideMark/>
          </w:tcPr>
          <w:p w:rsidR="00F53726" w:rsidRPr="00104F4B" w:rsidRDefault="00F53726" w:rsidP="0077150E">
            <w:pPr>
              <w:jc w:val="center"/>
              <w:rPr>
                <w:rFonts w:cs="Arial"/>
                <w:b/>
                <w:bCs/>
                <w:color w:val="000000"/>
                <w:sz w:val="16"/>
                <w:szCs w:val="16"/>
                <w:lang w:val="es-CO" w:eastAsia="es-CO"/>
              </w:rPr>
            </w:pPr>
            <w:r w:rsidRPr="00104F4B">
              <w:rPr>
                <w:rFonts w:cs="Arial"/>
                <w:b/>
                <w:bCs/>
                <w:color w:val="000000"/>
                <w:sz w:val="16"/>
                <w:szCs w:val="16"/>
                <w:lang w:val="es-CO" w:eastAsia="es-CO"/>
              </w:rPr>
              <w:t>CANTIDAD</w:t>
            </w:r>
          </w:p>
        </w:tc>
      </w:tr>
      <w:tr w:rsidR="00F53726" w:rsidRPr="00104F4B" w:rsidTr="0077150E">
        <w:trPr>
          <w:trHeight w:val="261"/>
        </w:trPr>
        <w:tc>
          <w:tcPr>
            <w:tcW w:w="2878" w:type="dxa"/>
            <w:tcBorders>
              <w:top w:val="nil"/>
              <w:left w:val="single" w:sz="4" w:space="0" w:color="auto"/>
              <w:bottom w:val="single" w:sz="4" w:space="0" w:color="auto"/>
              <w:right w:val="single" w:sz="4" w:space="0" w:color="auto"/>
            </w:tcBorders>
            <w:shd w:val="clear" w:color="000000" w:fill="B8CCE4"/>
            <w:noWrap/>
            <w:vAlign w:val="bottom"/>
            <w:hideMark/>
          </w:tcPr>
          <w:p w:rsidR="00F53726" w:rsidRPr="00104F4B" w:rsidRDefault="00F53726" w:rsidP="0077150E">
            <w:pPr>
              <w:rPr>
                <w:rFonts w:cs="Arial"/>
                <w:b/>
                <w:bCs/>
                <w:color w:val="000000"/>
                <w:sz w:val="16"/>
                <w:szCs w:val="16"/>
                <w:lang w:val="es-CO" w:eastAsia="es-CO"/>
              </w:rPr>
            </w:pPr>
            <w:r w:rsidRPr="00104F4B">
              <w:rPr>
                <w:rFonts w:cs="Arial"/>
                <w:b/>
                <w:bCs/>
                <w:color w:val="000000"/>
                <w:sz w:val="16"/>
                <w:szCs w:val="16"/>
                <w:lang w:val="es-CO" w:eastAsia="es-CO"/>
              </w:rPr>
              <w:t>MALLA VIAL ARTERIAL</w:t>
            </w:r>
          </w:p>
        </w:tc>
        <w:tc>
          <w:tcPr>
            <w:tcW w:w="2380" w:type="dxa"/>
            <w:tcBorders>
              <w:top w:val="nil"/>
              <w:left w:val="nil"/>
              <w:bottom w:val="single" w:sz="4" w:space="0" w:color="auto"/>
              <w:right w:val="single" w:sz="4" w:space="0" w:color="auto"/>
            </w:tcBorders>
            <w:shd w:val="clear" w:color="auto" w:fill="auto"/>
            <w:noWrap/>
            <w:vAlign w:val="bottom"/>
            <w:hideMark/>
          </w:tcPr>
          <w:p w:rsidR="00F53726" w:rsidRPr="00104F4B" w:rsidRDefault="00F53726" w:rsidP="0077150E">
            <w:pPr>
              <w:rPr>
                <w:rFonts w:cs="Arial"/>
                <w:color w:val="000000"/>
                <w:sz w:val="16"/>
                <w:szCs w:val="16"/>
                <w:lang w:val="es-CO" w:eastAsia="es-CO"/>
              </w:rPr>
            </w:pPr>
            <w:r w:rsidRPr="00104F4B">
              <w:rPr>
                <w:rFonts w:cs="Arial"/>
                <w:color w:val="000000"/>
                <w:sz w:val="16"/>
                <w:szCs w:val="16"/>
                <w:lang w:val="es-CO" w:eastAsia="es-CO"/>
              </w:rPr>
              <w:t>KM-CARRIL</w:t>
            </w:r>
          </w:p>
        </w:tc>
        <w:tc>
          <w:tcPr>
            <w:tcW w:w="3632" w:type="dxa"/>
            <w:tcBorders>
              <w:top w:val="nil"/>
              <w:left w:val="nil"/>
              <w:bottom w:val="single" w:sz="4" w:space="0" w:color="auto"/>
              <w:right w:val="single" w:sz="4" w:space="0" w:color="auto"/>
            </w:tcBorders>
            <w:shd w:val="clear" w:color="auto" w:fill="auto"/>
            <w:noWrap/>
            <w:vAlign w:val="bottom"/>
            <w:hideMark/>
          </w:tcPr>
          <w:p w:rsidR="00F53726" w:rsidRPr="00104F4B" w:rsidRDefault="00F53726" w:rsidP="0077150E">
            <w:pPr>
              <w:rPr>
                <w:rFonts w:cs="Arial"/>
                <w:color w:val="000000"/>
                <w:sz w:val="16"/>
                <w:szCs w:val="16"/>
                <w:lang w:val="es-CO" w:eastAsia="es-CO"/>
              </w:rPr>
            </w:pPr>
            <w:r w:rsidRPr="00104F4B">
              <w:rPr>
                <w:rFonts w:cs="Arial"/>
                <w:color w:val="000000"/>
                <w:sz w:val="16"/>
                <w:szCs w:val="16"/>
                <w:lang w:val="es-CO" w:eastAsia="es-CO"/>
              </w:rPr>
              <w:t>132,63</w:t>
            </w:r>
          </w:p>
        </w:tc>
      </w:tr>
      <w:tr w:rsidR="00F53726" w:rsidRPr="00104F4B" w:rsidTr="0077150E">
        <w:trPr>
          <w:trHeight w:val="261"/>
        </w:trPr>
        <w:tc>
          <w:tcPr>
            <w:tcW w:w="2878" w:type="dxa"/>
            <w:tcBorders>
              <w:top w:val="nil"/>
              <w:left w:val="single" w:sz="4" w:space="0" w:color="auto"/>
              <w:bottom w:val="single" w:sz="4" w:space="0" w:color="auto"/>
              <w:right w:val="single" w:sz="4" w:space="0" w:color="auto"/>
            </w:tcBorders>
            <w:shd w:val="clear" w:color="000000" w:fill="B8CCE4"/>
            <w:noWrap/>
            <w:vAlign w:val="bottom"/>
            <w:hideMark/>
          </w:tcPr>
          <w:p w:rsidR="00F53726" w:rsidRPr="00104F4B" w:rsidRDefault="00F53726" w:rsidP="0077150E">
            <w:pPr>
              <w:rPr>
                <w:rFonts w:cs="Arial"/>
                <w:b/>
                <w:bCs/>
                <w:color w:val="000000"/>
                <w:sz w:val="16"/>
                <w:szCs w:val="16"/>
                <w:lang w:val="es-CO" w:eastAsia="es-CO"/>
              </w:rPr>
            </w:pPr>
            <w:r w:rsidRPr="00104F4B">
              <w:rPr>
                <w:rFonts w:cs="Arial"/>
                <w:b/>
                <w:bCs/>
                <w:color w:val="000000"/>
                <w:sz w:val="16"/>
                <w:szCs w:val="16"/>
                <w:lang w:val="es-CO" w:eastAsia="es-CO"/>
              </w:rPr>
              <w:t>MALLA VIAL TRONCAL</w:t>
            </w:r>
          </w:p>
        </w:tc>
        <w:tc>
          <w:tcPr>
            <w:tcW w:w="2380" w:type="dxa"/>
            <w:tcBorders>
              <w:top w:val="nil"/>
              <w:left w:val="nil"/>
              <w:bottom w:val="single" w:sz="4" w:space="0" w:color="auto"/>
              <w:right w:val="single" w:sz="4" w:space="0" w:color="auto"/>
            </w:tcBorders>
            <w:shd w:val="clear" w:color="auto" w:fill="auto"/>
            <w:noWrap/>
            <w:vAlign w:val="bottom"/>
            <w:hideMark/>
          </w:tcPr>
          <w:p w:rsidR="00F53726" w:rsidRPr="00104F4B" w:rsidRDefault="00F53726" w:rsidP="0077150E">
            <w:pPr>
              <w:rPr>
                <w:rFonts w:cs="Arial"/>
                <w:color w:val="000000"/>
                <w:sz w:val="16"/>
                <w:szCs w:val="16"/>
                <w:lang w:val="es-CO" w:eastAsia="es-CO"/>
              </w:rPr>
            </w:pPr>
            <w:r w:rsidRPr="00104F4B">
              <w:rPr>
                <w:rFonts w:cs="Arial"/>
                <w:color w:val="000000"/>
                <w:sz w:val="16"/>
                <w:szCs w:val="16"/>
                <w:lang w:val="es-CO" w:eastAsia="es-CO"/>
              </w:rPr>
              <w:t>KM-CARRIL</w:t>
            </w:r>
          </w:p>
        </w:tc>
        <w:tc>
          <w:tcPr>
            <w:tcW w:w="3632" w:type="dxa"/>
            <w:tcBorders>
              <w:top w:val="nil"/>
              <w:left w:val="nil"/>
              <w:bottom w:val="single" w:sz="4" w:space="0" w:color="auto"/>
              <w:right w:val="single" w:sz="4" w:space="0" w:color="auto"/>
            </w:tcBorders>
            <w:shd w:val="clear" w:color="auto" w:fill="auto"/>
            <w:noWrap/>
            <w:vAlign w:val="bottom"/>
            <w:hideMark/>
          </w:tcPr>
          <w:p w:rsidR="00F53726" w:rsidRPr="00104F4B" w:rsidRDefault="00F53726" w:rsidP="0077150E">
            <w:pPr>
              <w:rPr>
                <w:rFonts w:cs="Arial"/>
                <w:color w:val="000000"/>
                <w:sz w:val="16"/>
                <w:szCs w:val="16"/>
                <w:lang w:val="es-CO" w:eastAsia="es-CO"/>
              </w:rPr>
            </w:pPr>
            <w:r w:rsidRPr="00104F4B">
              <w:rPr>
                <w:rFonts w:cs="Arial"/>
                <w:color w:val="000000"/>
                <w:sz w:val="16"/>
                <w:szCs w:val="16"/>
                <w:lang w:val="es-CO" w:eastAsia="es-CO"/>
              </w:rPr>
              <w:t xml:space="preserve">155,41 </w:t>
            </w:r>
          </w:p>
        </w:tc>
      </w:tr>
      <w:tr w:rsidR="00F53726" w:rsidRPr="00104F4B" w:rsidTr="0077150E">
        <w:trPr>
          <w:trHeight w:val="261"/>
        </w:trPr>
        <w:tc>
          <w:tcPr>
            <w:tcW w:w="2878" w:type="dxa"/>
            <w:tcBorders>
              <w:top w:val="nil"/>
              <w:left w:val="single" w:sz="4" w:space="0" w:color="auto"/>
              <w:bottom w:val="single" w:sz="4" w:space="0" w:color="auto"/>
              <w:right w:val="single" w:sz="4" w:space="0" w:color="auto"/>
            </w:tcBorders>
            <w:shd w:val="clear" w:color="000000" w:fill="B8CCE4"/>
            <w:noWrap/>
            <w:vAlign w:val="bottom"/>
            <w:hideMark/>
          </w:tcPr>
          <w:p w:rsidR="00F53726" w:rsidRPr="00104F4B" w:rsidRDefault="00F53726" w:rsidP="0077150E">
            <w:pPr>
              <w:rPr>
                <w:rFonts w:cs="Arial"/>
                <w:b/>
                <w:bCs/>
                <w:color w:val="000000"/>
                <w:sz w:val="16"/>
                <w:szCs w:val="16"/>
                <w:lang w:val="es-CO" w:eastAsia="es-CO"/>
              </w:rPr>
            </w:pPr>
            <w:r w:rsidRPr="00104F4B">
              <w:rPr>
                <w:rFonts w:cs="Arial"/>
                <w:b/>
                <w:bCs/>
                <w:color w:val="000000"/>
                <w:sz w:val="16"/>
                <w:szCs w:val="16"/>
                <w:lang w:val="es-CO" w:eastAsia="es-CO"/>
              </w:rPr>
              <w:t>MALLA VIAL INTERMEDIA</w:t>
            </w:r>
          </w:p>
        </w:tc>
        <w:tc>
          <w:tcPr>
            <w:tcW w:w="2380" w:type="dxa"/>
            <w:tcBorders>
              <w:top w:val="nil"/>
              <w:left w:val="nil"/>
              <w:bottom w:val="single" w:sz="4" w:space="0" w:color="auto"/>
              <w:right w:val="single" w:sz="4" w:space="0" w:color="auto"/>
            </w:tcBorders>
            <w:shd w:val="clear" w:color="auto" w:fill="auto"/>
            <w:noWrap/>
            <w:vAlign w:val="bottom"/>
            <w:hideMark/>
          </w:tcPr>
          <w:p w:rsidR="00F53726" w:rsidRPr="00104F4B" w:rsidRDefault="00F53726" w:rsidP="0077150E">
            <w:pPr>
              <w:rPr>
                <w:rFonts w:cs="Arial"/>
                <w:color w:val="000000"/>
                <w:sz w:val="16"/>
                <w:szCs w:val="16"/>
                <w:lang w:val="es-CO" w:eastAsia="es-CO"/>
              </w:rPr>
            </w:pPr>
            <w:r w:rsidRPr="00104F4B">
              <w:rPr>
                <w:rFonts w:cs="Arial"/>
                <w:color w:val="000000"/>
                <w:sz w:val="16"/>
                <w:szCs w:val="16"/>
                <w:lang w:val="es-CO" w:eastAsia="es-CO"/>
              </w:rPr>
              <w:t>KM-CARRIL</w:t>
            </w:r>
          </w:p>
        </w:tc>
        <w:tc>
          <w:tcPr>
            <w:tcW w:w="3632" w:type="dxa"/>
            <w:tcBorders>
              <w:top w:val="nil"/>
              <w:left w:val="nil"/>
              <w:bottom w:val="single" w:sz="4" w:space="0" w:color="auto"/>
              <w:right w:val="single" w:sz="4" w:space="0" w:color="auto"/>
            </w:tcBorders>
            <w:shd w:val="clear" w:color="auto" w:fill="auto"/>
            <w:noWrap/>
            <w:vAlign w:val="bottom"/>
            <w:hideMark/>
          </w:tcPr>
          <w:p w:rsidR="00F53726" w:rsidRPr="00104F4B" w:rsidRDefault="00F53726" w:rsidP="0077150E">
            <w:pPr>
              <w:rPr>
                <w:rFonts w:cs="Arial"/>
                <w:color w:val="000000"/>
                <w:sz w:val="16"/>
                <w:szCs w:val="16"/>
                <w:lang w:val="es-CO" w:eastAsia="es-CO"/>
              </w:rPr>
            </w:pPr>
            <w:r w:rsidRPr="00104F4B">
              <w:rPr>
                <w:rFonts w:cs="Arial"/>
                <w:color w:val="000000"/>
                <w:sz w:val="16"/>
                <w:szCs w:val="16"/>
                <w:lang w:val="es-CO" w:eastAsia="es-CO"/>
              </w:rPr>
              <w:t xml:space="preserve">170,68 </w:t>
            </w:r>
          </w:p>
        </w:tc>
      </w:tr>
      <w:tr w:rsidR="00F53726" w:rsidRPr="00104F4B" w:rsidTr="0077150E">
        <w:trPr>
          <w:trHeight w:val="261"/>
        </w:trPr>
        <w:tc>
          <w:tcPr>
            <w:tcW w:w="2878" w:type="dxa"/>
            <w:tcBorders>
              <w:top w:val="nil"/>
              <w:left w:val="single" w:sz="4" w:space="0" w:color="auto"/>
              <w:bottom w:val="single" w:sz="4" w:space="0" w:color="auto"/>
              <w:right w:val="single" w:sz="4" w:space="0" w:color="auto"/>
            </w:tcBorders>
            <w:shd w:val="clear" w:color="000000" w:fill="B8CCE4"/>
            <w:noWrap/>
            <w:vAlign w:val="bottom"/>
          </w:tcPr>
          <w:p w:rsidR="00F53726" w:rsidRPr="00104F4B" w:rsidRDefault="00F53726" w:rsidP="0077150E">
            <w:pPr>
              <w:rPr>
                <w:rFonts w:cs="Arial"/>
                <w:b/>
                <w:bCs/>
                <w:color w:val="000000"/>
                <w:sz w:val="16"/>
                <w:szCs w:val="16"/>
                <w:lang w:val="es-CO" w:eastAsia="es-CO"/>
              </w:rPr>
            </w:pPr>
            <w:r w:rsidRPr="00104F4B">
              <w:rPr>
                <w:rFonts w:cs="Arial"/>
                <w:b/>
                <w:bCs/>
                <w:color w:val="000000"/>
                <w:sz w:val="16"/>
                <w:szCs w:val="16"/>
                <w:lang w:val="es-CO" w:eastAsia="es-CO"/>
              </w:rPr>
              <w:t>MALLA VIAL RURAL</w:t>
            </w:r>
          </w:p>
        </w:tc>
        <w:tc>
          <w:tcPr>
            <w:tcW w:w="2380" w:type="dxa"/>
            <w:tcBorders>
              <w:top w:val="nil"/>
              <w:left w:val="nil"/>
              <w:bottom w:val="single" w:sz="4" w:space="0" w:color="auto"/>
              <w:right w:val="single" w:sz="4" w:space="0" w:color="auto"/>
            </w:tcBorders>
            <w:shd w:val="clear" w:color="auto" w:fill="auto"/>
            <w:noWrap/>
            <w:vAlign w:val="bottom"/>
          </w:tcPr>
          <w:p w:rsidR="00F53726" w:rsidRPr="00104F4B" w:rsidRDefault="00F53726" w:rsidP="0077150E">
            <w:pPr>
              <w:rPr>
                <w:rFonts w:cs="Arial"/>
                <w:color w:val="000000"/>
                <w:sz w:val="16"/>
                <w:szCs w:val="16"/>
                <w:lang w:val="es-CO" w:eastAsia="es-CO"/>
              </w:rPr>
            </w:pPr>
            <w:r w:rsidRPr="00104F4B">
              <w:rPr>
                <w:rFonts w:cs="Arial"/>
                <w:color w:val="000000"/>
                <w:sz w:val="16"/>
                <w:szCs w:val="16"/>
                <w:lang w:val="es-CO" w:eastAsia="es-CO"/>
              </w:rPr>
              <w:t>KM-CARRIL</w:t>
            </w:r>
          </w:p>
        </w:tc>
        <w:tc>
          <w:tcPr>
            <w:tcW w:w="3632" w:type="dxa"/>
            <w:tcBorders>
              <w:top w:val="nil"/>
              <w:left w:val="nil"/>
              <w:bottom w:val="single" w:sz="4" w:space="0" w:color="auto"/>
              <w:right w:val="single" w:sz="4" w:space="0" w:color="auto"/>
            </w:tcBorders>
            <w:shd w:val="clear" w:color="auto" w:fill="auto"/>
            <w:noWrap/>
            <w:vAlign w:val="bottom"/>
          </w:tcPr>
          <w:p w:rsidR="00F53726" w:rsidRPr="00104F4B" w:rsidRDefault="00F53726" w:rsidP="0077150E">
            <w:pPr>
              <w:rPr>
                <w:rFonts w:cs="Arial"/>
                <w:color w:val="000000"/>
                <w:sz w:val="16"/>
                <w:szCs w:val="16"/>
                <w:lang w:val="es-CO" w:eastAsia="es-CO"/>
              </w:rPr>
            </w:pPr>
            <w:r w:rsidRPr="00104F4B">
              <w:rPr>
                <w:rFonts w:cs="Arial"/>
                <w:color w:val="000000"/>
                <w:sz w:val="16"/>
                <w:szCs w:val="16"/>
                <w:lang w:val="es-CO" w:eastAsia="es-CO"/>
              </w:rPr>
              <w:t>108,15</w:t>
            </w:r>
          </w:p>
        </w:tc>
      </w:tr>
      <w:tr w:rsidR="00F53726" w:rsidRPr="00104F4B" w:rsidTr="0077150E">
        <w:trPr>
          <w:trHeight w:val="261"/>
        </w:trPr>
        <w:tc>
          <w:tcPr>
            <w:tcW w:w="2878" w:type="dxa"/>
            <w:tcBorders>
              <w:top w:val="nil"/>
              <w:left w:val="single" w:sz="4" w:space="0" w:color="auto"/>
              <w:bottom w:val="single" w:sz="4" w:space="0" w:color="auto"/>
              <w:right w:val="single" w:sz="4" w:space="0" w:color="auto"/>
            </w:tcBorders>
            <w:shd w:val="clear" w:color="000000" w:fill="B8CCE4"/>
            <w:noWrap/>
            <w:vAlign w:val="bottom"/>
            <w:hideMark/>
          </w:tcPr>
          <w:p w:rsidR="00F53726" w:rsidRPr="00104F4B" w:rsidRDefault="00F53726" w:rsidP="0077150E">
            <w:pPr>
              <w:rPr>
                <w:rFonts w:cs="Arial"/>
                <w:b/>
                <w:bCs/>
                <w:color w:val="000000"/>
                <w:sz w:val="16"/>
                <w:szCs w:val="16"/>
                <w:lang w:val="es-CO" w:eastAsia="es-CO"/>
              </w:rPr>
            </w:pPr>
            <w:r w:rsidRPr="00104F4B">
              <w:rPr>
                <w:rFonts w:cs="Arial"/>
                <w:b/>
                <w:bCs/>
                <w:color w:val="000000"/>
                <w:sz w:val="16"/>
                <w:szCs w:val="16"/>
                <w:lang w:val="es-CO" w:eastAsia="es-CO"/>
              </w:rPr>
              <w:t>PUENTES VEHICULARES</w:t>
            </w:r>
          </w:p>
        </w:tc>
        <w:tc>
          <w:tcPr>
            <w:tcW w:w="2380" w:type="dxa"/>
            <w:tcBorders>
              <w:top w:val="nil"/>
              <w:left w:val="nil"/>
              <w:bottom w:val="single" w:sz="4" w:space="0" w:color="auto"/>
              <w:right w:val="single" w:sz="4" w:space="0" w:color="auto"/>
            </w:tcBorders>
            <w:shd w:val="clear" w:color="auto" w:fill="auto"/>
            <w:noWrap/>
            <w:vAlign w:val="bottom"/>
            <w:hideMark/>
          </w:tcPr>
          <w:p w:rsidR="00F53726" w:rsidRPr="00104F4B" w:rsidRDefault="00F53726" w:rsidP="0077150E">
            <w:pPr>
              <w:rPr>
                <w:rFonts w:cs="Arial"/>
                <w:color w:val="000000"/>
                <w:sz w:val="16"/>
                <w:szCs w:val="16"/>
                <w:lang w:val="es-CO" w:eastAsia="es-CO"/>
              </w:rPr>
            </w:pPr>
            <w:r w:rsidRPr="00104F4B">
              <w:rPr>
                <w:rFonts w:cs="Arial"/>
                <w:color w:val="000000"/>
                <w:sz w:val="16"/>
                <w:szCs w:val="16"/>
                <w:lang w:val="es-CO" w:eastAsia="es-CO"/>
              </w:rPr>
              <w:t>UNIDAD</w:t>
            </w:r>
          </w:p>
        </w:tc>
        <w:tc>
          <w:tcPr>
            <w:tcW w:w="3632" w:type="dxa"/>
            <w:tcBorders>
              <w:top w:val="nil"/>
              <w:left w:val="nil"/>
              <w:bottom w:val="single" w:sz="4" w:space="0" w:color="auto"/>
              <w:right w:val="single" w:sz="4" w:space="0" w:color="auto"/>
            </w:tcBorders>
            <w:shd w:val="clear" w:color="auto" w:fill="auto"/>
            <w:noWrap/>
            <w:vAlign w:val="bottom"/>
            <w:hideMark/>
          </w:tcPr>
          <w:p w:rsidR="00F53726" w:rsidRPr="00104F4B" w:rsidRDefault="00F53726" w:rsidP="0077150E">
            <w:pPr>
              <w:rPr>
                <w:rFonts w:cs="Arial"/>
                <w:color w:val="000000"/>
                <w:sz w:val="16"/>
                <w:szCs w:val="16"/>
                <w:lang w:val="es-CO" w:eastAsia="es-CO"/>
              </w:rPr>
            </w:pPr>
            <w:r w:rsidRPr="00104F4B">
              <w:rPr>
                <w:rFonts w:cs="Arial"/>
                <w:color w:val="000000"/>
                <w:sz w:val="16"/>
                <w:szCs w:val="16"/>
                <w:lang w:val="es-CO" w:eastAsia="es-CO"/>
              </w:rPr>
              <w:t xml:space="preserve">8,00 </w:t>
            </w:r>
          </w:p>
        </w:tc>
      </w:tr>
      <w:tr w:rsidR="00F53726" w:rsidRPr="00104F4B" w:rsidTr="0077150E">
        <w:trPr>
          <w:trHeight w:val="261"/>
        </w:trPr>
        <w:tc>
          <w:tcPr>
            <w:tcW w:w="2878" w:type="dxa"/>
            <w:tcBorders>
              <w:top w:val="nil"/>
              <w:left w:val="single" w:sz="4" w:space="0" w:color="auto"/>
              <w:bottom w:val="single" w:sz="4" w:space="0" w:color="auto"/>
              <w:right w:val="single" w:sz="4" w:space="0" w:color="auto"/>
            </w:tcBorders>
            <w:shd w:val="clear" w:color="000000" w:fill="B8CCE4"/>
            <w:noWrap/>
            <w:vAlign w:val="bottom"/>
            <w:hideMark/>
          </w:tcPr>
          <w:p w:rsidR="00F53726" w:rsidRPr="00104F4B" w:rsidRDefault="00F53726" w:rsidP="0077150E">
            <w:pPr>
              <w:rPr>
                <w:rFonts w:cs="Arial"/>
                <w:b/>
                <w:bCs/>
                <w:color w:val="000000"/>
                <w:sz w:val="16"/>
                <w:szCs w:val="16"/>
                <w:lang w:val="es-CO" w:eastAsia="es-CO"/>
              </w:rPr>
            </w:pPr>
            <w:r w:rsidRPr="00104F4B">
              <w:rPr>
                <w:rFonts w:cs="Arial"/>
                <w:b/>
                <w:bCs/>
                <w:color w:val="000000"/>
                <w:sz w:val="16"/>
                <w:szCs w:val="16"/>
                <w:lang w:val="es-CO" w:eastAsia="es-CO"/>
              </w:rPr>
              <w:t>PUENTES PEATONALES</w:t>
            </w:r>
          </w:p>
        </w:tc>
        <w:tc>
          <w:tcPr>
            <w:tcW w:w="2380" w:type="dxa"/>
            <w:tcBorders>
              <w:top w:val="nil"/>
              <w:left w:val="nil"/>
              <w:bottom w:val="single" w:sz="4" w:space="0" w:color="auto"/>
              <w:right w:val="single" w:sz="4" w:space="0" w:color="auto"/>
            </w:tcBorders>
            <w:shd w:val="clear" w:color="auto" w:fill="auto"/>
            <w:noWrap/>
            <w:vAlign w:val="bottom"/>
            <w:hideMark/>
          </w:tcPr>
          <w:p w:rsidR="00F53726" w:rsidRPr="00104F4B" w:rsidRDefault="00F53726" w:rsidP="0077150E">
            <w:pPr>
              <w:rPr>
                <w:rFonts w:cs="Arial"/>
                <w:color w:val="000000"/>
                <w:sz w:val="16"/>
                <w:szCs w:val="16"/>
                <w:lang w:val="es-CO" w:eastAsia="es-CO"/>
              </w:rPr>
            </w:pPr>
            <w:r w:rsidRPr="00104F4B">
              <w:rPr>
                <w:rFonts w:cs="Arial"/>
                <w:color w:val="000000"/>
                <w:sz w:val="16"/>
                <w:szCs w:val="16"/>
                <w:lang w:val="es-CO" w:eastAsia="es-CO"/>
              </w:rPr>
              <w:t>UNIDAD</w:t>
            </w:r>
          </w:p>
        </w:tc>
        <w:tc>
          <w:tcPr>
            <w:tcW w:w="3632" w:type="dxa"/>
            <w:tcBorders>
              <w:top w:val="nil"/>
              <w:left w:val="nil"/>
              <w:bottom w:val="single" w:sz="4" w:space="0" w:color="auto"/>
              <w:right w:val="single" w:sz="4" w:space="0" w:color="auto"/>
            </w:tcBorders>
            <w:shd w:val="clear" w:color="auto" w:fill="auto"/>
            <w:noWrap/>
            <w:vAlign w:val="bottom"/>
            <w:hideMark/>
          </w:tcPr>
          <w:p w:rsidR="00F53726" w:rsidRPr="00104F4B" w:rsidRDefault="00F53726" w:rsidP="0077150E">
            <w:pPr>
              <w:rPr>
                <w:rFonts w:cs="Arial"/>
                <w:color w:val="000000"/>
                <w:sz w:val="16"/>
                <w:szCs w:val="16"/>
                <w:lang w:val="es-CO" w:eastAsia="es-CO"/>
              </w:rPr>
            </w:pPr>
            <w:r w:rsidRPr="00104F4B">
              <w:rPr>
                <w:rFonts w:cs="Arial"/>
                <w:color w:val="000000"/>
                <w:sz w:val="16"/>
                <w:szCs w:val="16"/>
                <w:lang w:val="es-CO" w:eastAsia="es-CO"/>
              </w:rPr>
              <w:t xml:space="preserve">35,00 </w:t>
            </w:r>
          </w:p>
        </w:tc>
      </w:tr>
      <w:tr w:rsidR="00F53726" w:rsidRPr="00104F4B" w:rsidTr="0077150E">
        <w:trPr>
          <w:trHeight w:val="261"/>
        </w:trPr>
        <w:tc>
          <w:tcPr>
            <w:tcW w:w="2878" w:type="dxa"/>
            <w:tcBorders>
              <w:top w:val="nil"/>
              <w:left w:val="single" w:sz="4" w:space="0" w:color="auto"/>
              <w:bottom w:val="single" w:sz="4" w:space="0" w:color="auto"/>
              <w:right w:val="single" w:sz="4" w:space="0" w:color="auto"/>
            </w:tcBorders>
            <w:shd w:val="clear" w:color="000000" w:fill="B8CCE4"/>
            <w:noWrap/>
            <w:vAlign w:val="bottom"/>
            <w:hideMark/>
          </w:tcPr>
          <w:p w:rsidR="00F53726" w:rsidRPr="00104F4B" w:rsidRDefault="00F53726" w:rsidP="0077150E">
            <w:pPr>
              <w:rPr>
                <w:rFonts w:cs="Arial"/>
                <w:b/>
                <w:bCs/>
                <w:color w:val="000000"/>
                <w:sz w:val="16"/>
                <w:szCs w:val="16"/>
                <w:lang w:val="es-CO" w:eastAsia="es-CO"/>
              </w:rPr>
            </w:pPr>
            <w:r w:rsidRPr="00104F4B">
              <w:rPr>
                <w:rFonts w:cs="Arial"/>
                <w:b/>
                <w:bCs/>
                <w:color w:val="000000"/>
                <w:sz w:val="16"/>
                <w:szCs w:val="16"/>
                <w:lang w:val="es-CO" w:eastAsia="es-CO"/>
              </w:rPr>
              <w:t xml:space="preserve">CICLORRUTAS </w:t>
            </w:r>
          </w:p>
        </w:tc>
        <w:tc>
          <w:tcPr>
            <w:tcW w:w="2380" w:type="dxa"/>
            <w:tcBorders>
              <w:top w:val="nil"/>
              <w:left w:val="nil"/>
              <w:bottom w:val="single" w:sz="4" w:space="0" w:color="auto"/>
              <w:right w:val="single" w:sz="4" w:space="0" w:color="auto"/>
            </w:tcBorders>
            <w:shd w:val="clear" w:color="auto" w:fill="auto"/>
            <w:noWrap/>
            <w:vAlign w:val="bottom"/>
            <w:hideMark/>
          </w:tcPr>
          <w:p w:rsidR="00F53726" w:rsidRPr="00104F4B" w:rsidRDefault="00F53726" w:rsidP="0077150E">
            <w:pPr>
              <w:rPr>
                <w:rFonts w:cs="Arial"/>
                <w:color w:val="000000"/>
                <w:sz w:val="16"/>
                <w:szCs w:val="16"/>
                <w:lang w:val="es-CO" w:eastAsia="es-CO"/>
              </w:rPr>
            </w:pPr>
            <w:r w:rsidRPr="00104F4B">
              <w:rPr>
                <w:rFonts w:cs="Arial"/>
                <w:color w:val="000000"/>
                <w:sz w:val="16"/>
                <w:szCs w:val="16"/>
                <w:lang w:val="es-CO" w:eastAsia="es-CO"/>
              </w:rPr>
              <w:t xml:space="preserve">KM  </w:t>
            </w:r>
          </w:p>
        </w:tc>
        <w:tc>
          <w:tcPr>
            <w:tcW w:w="3632" w:type="dxa"/>
            <w:tcBorders>
              <w:top w:val="nil"/>
              <w:left w:val="nil"/>
              <w:bottom w:val="single" w:sz="4" w:space="0" w:color="auto"/>
              <w:right w:val="single" w:sz="4" w:space="0" w:color="auto"/>
            </w:tcBorders>
            <w:shd w:val="clear" w:color="auto" w:fill="auto"/>
            <w:noWrap/>
            <w:vAlign w:val="bottom"/>
            <w:hideMark/>
          </w:tcPr>
          <w:p w:rsidR="00F53726" w:rsidRPr="00104F4B" w:rsidRDefault="00F53726" w:rsidP="0077150E">
            <w:pPr>
              <w:rPr>
                <w:rFonts w:cs="Arial"/>
                <w:color w:val="000000"/>
                <w:sz w:val="16"/>
                <w:szCs w:val="16"/>
                <w:lang w:val="es-CO" w:eastAsia="es-CO"/>
              </w:rPr>
            </w:pPr>
            <w:r w:rsidRPr="00104F4B">
              <w:rPr>
                <w:rFonts w:cs="Arial"/>
                <w:color w:val="000000"/>
                <w:sz w:val="16"/>
                <w:szCs w:val="16"/>
                <w:lang w:val="es-CO" w:eastAsia="es-CO"/>
              </w:rPr>
              <w:t xml:space="preserve">26,26 </w:t>
            </w:r>
          </w:p>
        </w:tc>
      </w:tr>
      <w:tr w:rsidR="00F53726" w:rsidRPr="00104F4B" w:rsidTr="0077150E">
        <w:trPr>
          <w:trHeight w:val="261"/>
        </w:trPr>
        <w:tc>
          <w:tcPr>
            <w:tcW w:w="2878" w:type="dxa"/>
            <w:tcBorders>
              <w:top w:val="nil"/>
              <w:left w:val="single" w:sz="4" w:space="0" w:color="auto"/>
              <w:bottom w:val="single" w:sz="4" w:space="0" w:color="auto"/>
              <w:right w:val="single" w:sz="4" w:space="0" w:color="auto"/>
            </w:tcBorders>
            <w:shd w:val="clear" w:color="000000" w:fill="B8CCE4"/>
            <w:noWrap/>
            <w:vAlign w:val="bottom"/>
            <w:hideMark/>
          </w:tcPr>
          <w:p w:rsidR="00F53726" w:rsidRPr="00104F4B" w:rsidRDefault="00F53726" w:rsidP="0077150E">
            <w:pPr>
              <w:rPr>
                <w:rFonts w:cs="Arial"/>
                <w:b/>
                <w:bCs/>
                <w:color w:val="000000"/>
                <w:sz w:val="16"/>
                <w:szCs w:val="16"/>
                <w:lang w:val="es-CO" w:eastAsia="es-CO"/>
              </w:rPr>
            </w:pPr>
            <w:r w:rsidRPr="00104F4B">
              <w:rPr>
                <w:rFonts w:cs="Arial"/>
                <w:b/>
                <w:bCs/>
                <w:color w:val="000000"/>
                <w:sz w:val="16"/>
                <w:szCs w:val="16"/>
                <w:lang w:val="es-CO" w:eastAsia="es-CO"/>
              </w:rPr>
              <w:t>ELEMENTOS SEGREGADORES</w:t>
            </w:r>
          </w:p>
        </w:tc>
        <w:tc>
          <w:tcPr>
            <w:tcW w:w="2380" w:type="dxa"/>
            <w:tcBorders>
              <w:top w:val="nil"/>
              <w:left w:val="nil"/>
              <w:bottom w:val="single" w:sz="4" w:space="0" w:color="auto"/>
              <w:right w:val="single" w:sz="4" w:space="0" w:color="auto"/>
            </w:tcBorders>
            <w:shd w:val="clear" w:color="auto" w:fill="auto"/>
            <w:noWrap/>
            <w:vAlign w:val="bottom"/>
            <w:hideMark/>
          </w:tcPr>
          <w:p w:rsidR="00F53726" w:rsidRPr="00104F4B" w:rsidRDefault="00F53726" w:rsidP="0077150E">
            <w:pPr>
              <w:rPr>
                <w:rFonts w:cs="Arial"/>
                <w:color w:val="000000"/>
                <w:sz w:val="16"/>
                <w:szCs w:val="16"/>
                <w:lang w:val="es-CO" w:eastAsia="es-CO"/>
              </w:rPr>
            </w:pPr>
            <w:r w:rsidRPr="00104F4B">
              <w:rPr>
                <w:rFonts w:cs="Arial"/>
                <w:color w:val="000000"/>
                <w:sz w:val="16"/>
                <w:szCs w:val="16"/>
                <w:lang w:val="es-CO" w:eastAsia="es-CO"/>
              </w:rPr>
              <w:t xml:space="preserve">KM  </w:t>
            </w:r>
          </w:p>
        </w:tc>
        <w:tc>
          <w:tcPr>
            <w:tcW w:w="3632" w:type="dxa"/>
            <w:tcBorders>
              <w:top w:val="nil"/>
              <w:left w:val="nil"/>
              <w:bottom w:val="single" w:sz="4" w:space="0" w:color="auto"/>
              <w:right w:val="single" w:sz="4" w:space="0" w:color="auto"/>
            </w:tcBorders>
            <w:shd w:val="clear" w:color="auto" w:fill="auto"/>
            <w:noWrap/>
            <w:vAlign w:val="bottom"/>
            <w:hideMark/>
          </w:tcPr>
          <w:p w:rsidR="00F53726" w:rsidRPr="00104F4B" w:rsidRDefault="00F53726" w:rsidP="0077150E">
            <w:pPr>
              <w:rPr>
                <w:rFonts w:cs="Arial"/>
                <w:color w:val="000000"/>
                <w:sz w:val="16"/>
                <w:szCs w:val="16"/>
                <w:lang w:val="es-CO" w:eastAsia="es-CO"/>
              </w:rPr>
            </w:pPr>
            <w:r w:rsidRPr="00104F4B">
              <w:rPr>
                <w:rFonts w:cs="Arial"/>
                <w:color w:val="000000"/>
                <w:sz w:val="16"/>
                <w:szCs w:val="16"/>
                <w:lang w:val="es-CO" w:eastAsia="es-CO"/>
              </w:rPr>
              <w:t xml:space="preserve">90,49 </w:t>
            </w:r>
          </w:p>
        </w:tc>
      </w:tr>
      <w:tr w:rsidR="00F53726" w:rsidRPr="00104F4B" w:rsidTr="0077150E">
        <w:trPr>
          <w:trHeight w:val="261"/>
        </w:trPr>
        <w:tc>
          <w:tcPr>
            <w:tcW w:w="2878" w:type="dxa"/>
            <w:tcBorders>
              <w:top w:val="nil"/>
              <w:left w:val="single" w:sz="4" w:space="0" w:color="auto"/>
              <w:bottom w:val="single" w:sz="4" w:space="0" w:color="auto"/>
              <w:right w:val="single" w:sz="4" w:space="0" w:color="auto"/>
            </w:tcBorders>
            <w:shd w:val="clear" w:color="000000" w:fill="B8CCE4"/>
            <w:noWrap/>
            <w:vAlign w:val="bottom"/>
            <w:hideMark/>
          </w:tcPr>
          <w:p w:rsidR="00F53726" w:rsidRPr="00104F4B" w:rsidRDefault="00F53726" w:rsidP="0077150E">
            <w:pPr>
              <w:rPr>
                <w:rFonts w:cs="Arial"/>
                <w:b/>
                <w:bCs/>
                <w:color w:val="000000"/>
                <w:sz w:val="16"/>
                <w:szCs w:val="16"/>
                <w:lang w:val="es-CO" w:eastAsia="es-CO"/>
              </w:rPr>
            </w:pPr>
            <w:r w:rsidRPr="00104F4B">
              <w:rPr>
                <w:rFonts w:cs="Arial"/>
                <w:b/>
                <w:bCs/>
                <w:color w:val="000000"/>
                <w:sz w:val="16"/>
                <w:szCs w:val="16"/>
                <w:lang w:val="es-CO" w:eastAsia="es-CO"/>
              </w:rPr>
              <w:t>ESPACIO PUBLICO</w:t>
            </w:r>
          </w:p>
        </w:tc>
        <w:tc>
          <w:tcPr>
            <w:tcW w:w="2380" w:type="dxa"/>
            <w:tcBorders>
              <w:top w:val="nil"/>
              <w:left w:val="nil"/>
              <w:bottom w:val="single" w:sz="4" w:space="0" w:color="auto"/>
              <w:right w:val="single" w:sz="4" w:space="0" w:color="auto"/>
            </w:tcBorders>
            <w:shd w:val="clear" w:color="auto" w:fill="auto"/>
            <w:noWrap/>
            <w:vAlign w:val="bottom"/>
            <w:hideMark/>
          </w:tcPr>
          <w:p w:rsidR="00F53726" w:rsidRPr="00104F4B" w:rsidRDefault="00F53726" w:rsidP="0077150E">
            <w:pPr>
              <w:rPr>
                <w:rFonts w:cs="Arial"/>
                <w:color w:val="000000"/>
                <w:sz w:val="16"/>
                <w:szCs w:val="16"/>
                <w:lang w:val="es-CO" w:eastAsia="es-CO"/>
              </w:rPr>
            </w:pPr>
            <w:r w:rsidRPr="00104F4B">
              <w:rPr>
                <w:rFonts w:cs="Arial"/>
                <w:color w:val="000000"/>
                <w:sz w:val="16"/>
                <w:szCs w:val="16"/>
                <w:lang w:val="es-CO" w:eastAsia="es-CO"/>
              </w:rPr>
              <w:t>M²</w:t>
            </w:r>
          </w:p>
        </w:tc>
        <w:tc>
          <w:tcPr>
            <w:tcW w:w="3632" w:type="dxa"/>
            <w:tcBorders>
              <w:top w:val="nil"/>
              <w:left w:val="nil"/>
              <w:bottom w:val="single" w:sz="4" w:space="0" w:color="auto"/>
              <w:right w:val="single" w:sz="4" w:space="0" w:color="auto"/>
            </w:tcBorders>
            <w:shd w:val="clear" w:color="auto" w:fill="auto"/>
            <w:noWrap/>
            <w:vAlign w:val="bottom"/>
            <w:hideMark/>
          </w:tcPr>
          <w:p w:rsidR="00F53726" w:rsidRPr="00104F4B" w:rsidRDefault="00F53726" w:rsidP="0077150E">
            <w:pPr>
              <w:rPr>
                <w:rFonts w:cs="Arial"/>
                <w:color w:val="000000"/>
                <w:sz w:val="16"/>
                <w:szCs w:val="16"/>
                <w:lang w:val="es-CO" w:eastAsia="es-CO"/>
              </w:rPr>
            </w:pPr>
            <w:r w:rsidRPr="00104F4B">
              <w:rPr>
                <w:rFonts w:cs="Arial"/>
                <w:color w:val="000000"/>
                <w:sz w:val="16"/>
                <w:szCs w:val="16"/>
                <w:lang w:val="es-CO" w:eastAsia="es-CO"/>
              </w:rPr>
              <w:t xml:space="preserve">456.902,74 </w:t>
            </w:r>
          </w:p>
        </w:tc>
      </w:tr>
    </w:tbl>
    <w:p w:rsidR="00F53726" w:rsidRPr="00104F4B" w:rsidRDefault="00F53726" w:rsidP="00F53726">
      <w:pPr>
        <w:rPr>
          <w:rFonts w:eastAsia="Calibri" w:cs="Arial"/>
          <w:sz w:val="16"/>
          <w:szCs w:val="16"/>
          <w:lang w:eastAsia="en-US"/>
        </w:rPr>
      </w:pPr>
      <w:r w:rsidRPr="00104F4B">
        <w:rPr>
          <w:rFonts w:eastAsia="Calibri" w:cs="Arial"/>
          <w:sz w:val="16"/>
          <w:szCs w:val="16"/>
          <w:lang w:eastAsia="en-US"/>
        </w:rPr>
        <w:t>Fuente: DTM</w:t>
      </w:r>
    </w:p>
    <w:p w:rsidR="00F53726" w:rsidRPr="00104F4B" w:rsidRDefault="00F53726" w:rsidP="00F53726">
      <w:pPr>
        <w:rPr>
          <w:rFonts w:eastAsia="Calibri" w:cs="Arial"/>
          <w:szCs w:val="22"/>
          <w:lang w:val="es-CO" w:eastAsia="en-US"/>
        </w:rPr>
      </w:pPr>
      <w:r w:rsidRPr="00104F4B">
        <w:rPr>
          <w:rFonts w:eastAsia="Calibri" w:cs="Arial"/>
          <w:szCs w:val="22"/>
          <w:lang w:val="es-CO" w:eastAsia="en-US"/>
        </w:rPr>
        <w:lastRenderedPageBreak/>
        <w:t>A continuación, se describen la cantidad de contratos a cargo a 31 de diciembre de 2018, en los que se evidencia la suscripción e inicio de los diferentes programas que continuaran en la vigencia 2019, realizando actividades de mantenimiento en la infraestructura vial.</w:t>
      </w:r>
    </w:p>
    <w:p w:rsidR="00F53726" w:rsidRPr="00104F4B" w:rsidRDefault="00F53726" w:rsidP="00F53726">
      <w:pPr>
        <w:rPr>
          <w:rFonts w:eastAsia="Calibri" w:cs="Arial"/>
          <w:szCs w:val="22"/>
          <w:lang w:val="es-CO" w:eastAsia="en-US"/>
        </w:rPr>
      </w:pPr>
      <w:r w:rsidRPr="00104F4B">
        <w:rPr>
          <w:rFonts w:eastAsia="Calibri" w:cs="Arial"/>
          <w:szCs w:val="22"/>
          <w:lang w:val="es-CO" w:eastAsia="en-US"/>
        </w:rPr>
        <w:t>Se ejecutan contratos con vigencias futuras 2018 y 2019, para los programas de mantenimiento de la malla vial arterial, troncal e intermedia y puentes vehiculares.</w:t>
      </w:r>
    </w:p>
    <w:p w:rsidR="00F53726" w:rsidRPr="00104F4B" w:rsidRDefault="00F53726" w:rsidP="00F53726">
      <w:pPr>
        <w:jc w:val="center"/>
        <w:rPr>
          <w:rFonts w:eastAsia="Calibri" w:cs="Arial"/>
          <w:sz w:val="16"/>
          <w:szCs w:val="16"/>
          <w:lang w:eastAsia="en-US"/>
        </w:rPr>
      </w:pPr>
      <w:r w:rsidRPr="00104F4B">
        <w:rPr>
          <w:rFonts w:eastAsia="Calibri" w:cs="Arial"/>
          <w:b/>
          <w:sz w:val="16"/>
          <w:szCs w:val="16"/>
          <w:lang w:eastAsia="en-US"/>
        </w:rPr>
        <w:t xml:space="preserve">Tabla SGI - </w:t>
      </w:r>
      <w:r w:rsidRPr="00104F4B">
        <w:rPr>
          <w:rFonts w:eastAsia="Calibri" w:cs="Arial"/>
          <w:sz w:val="16"/>
          <w:szCs w:val="16"/>
          <w:lang w:eastAsia="en-US"/>
        </w:rPr>
        <w:t>CONTRATOS LIQUIDADOS DTM-2018</w:t>
      </w:r>
    </w:p>
    <w:tbl>
      <w:tblPr>
        <w:tblW w:w="6000" w:type="dxa"/>
        <w:tblInd w:w="1697" w:type="dxa"/>
        <w:tblCellMar>
          <w:left w:w="70" w:type="dxa"/>
          <w:right w:w="70" w:type="dxa"/>
        </w:tblCellMar>
        <w:tblLook w:val="04A0" w:firstRow="1" w:lastRow="0" w:firstColumn="1" w:lastColumn="0" w:noHBand="0" w:noVBand="1"/>
      </w:tblPr>
      <w:tblGrid>
        <w:gridCol w:w="2805"/>
        <w:gridCol w:w="3195"/>
      </w:tblGrid>
      <w:tr w:rsidR="00F53726" w:rsidRPr="00104F4B" w:rsidTr="0077150E">
        <w:trPr>
          <w:trHeight w:val="300"/>
        </w:trPr>
        <w:tc>
          <w:tcPr>
            <w:tcW w:w="6000" w:type="dxa"/>
            <w:gridSpan w:val="2"/>
            <w:tcBorders>
              <w:top w:val="single" w:sz="4" w:space="0" w:color="auto"/>
              <w:left w:val="single" w:sz="4" w:space="0" w:color="auto"/>
              <w:bottom w:val="single" w:sz="4" w:space="0" w:color="auto"/>
              <w:right w:val="single" w:sz="4" w:space="0" w:color="auto"/>
            </w:tcBorders>
            <w:shd w:val="clear" w:color="auto" w:fill="95B3D7"/>
            <w:noWrap/>
            <w:vAlign w:val="bottom"/>
            <w:hideMark/>
          </w:tcPr>
          <w:p w:rsidR="00F53726" w:rsidRPr="00104F4B" w:rsidRDefault="00F53726" w:rsidP="0077150E">
            <w:pPr>
              <w:jc w:val="center"/>
              <w:rPr>
                <w:rFonts w:cs="Arial"/>
                <w:b/>
                <w:bCs/>
                <w:color w:val="000000"/>
                <w:sz w:val="16"/>
                <w:szCs w:val="16"/>
                <w:lang w:val="es-CO" w:eastAsia="es-CO"/>
              </w:rPr>
            </w:pPr>
            <w:r w:rsidRPr="00104F4B">
              <w:rPr>
                <w:rFonts w:cs="Arial"/>
                <w:b/>
                <w:bCs/>
                <w:color w:val="000000"/>
                <w:sz w:val="16"/>
                <w:szCs w:val="16"/>
                <w:lang w:val="es-CO" w:eastAsia="es-CO"/>
              </w:rPr>
              <w:t>CONTRATOS LIQUIDADOS DTM</w:t>
            </w:r>
          </w:p>
        </w:tc>
      </w:tr>
      <w:tr w:rsidR="00F53726" w:rsidRPr="00104F4B" w:rsidTr="0077150E">
        <w:trPr>
          <w:trHeight w:val="300"/>
        </w:trPr>
        <w:tc>
          <w:tcPr>
            <w:tcW w:w="2805" w:type="dxa"/>
            <w:tcBorders>
              <w:top w:val="nil"/>
              <w:left w:val="single" w:sz="4" w:space="0" w:color="auto"/>
              <w:bottom w:val="single" w:sz="4" w:space="0" w:color="auto"/>
              <w:right w:val="single" w:sz="4" w:space="0" w:color="auto"/>
            </w:tcBorders>
            <w:shd w:val="clear" w:color="auto" w:fill="95B3D7"/>
            <w:noWrap/>
            <w:vAlign w:val="bottom"/>
            <w:hideMark/>
          </w:tcPr>
          <w:p w:rsidR="00F53726" w:rsidRPr="00104F4B" w:rsidRDefault="00F53726" w:rsidP="0077150E">
            <w:pPr>
              <w:rPr>
                <w:rFonts w:cs="Arial"/>
                <w:b/>
                <w:bCs/>
                <w:color w:val="000000"/>
                <w:sz w:val="16"/>
                <w:szCs w:val="16"/>
                <w:lang w:val="es-CO" w:eastAsia="es-CO"/>
              </w:rPr>
            </w:pPr>
            <w:r w:rsidRPr="00104F4B">
              <w:rPr>
                <w:rFonts w:cs="Arial"/>
                <w:b/>
                <w:bCs/>
                <w:color w:val="000000"/>
                <w:sz w:val="16"/>
                <w:szCs w:val="16"/>
                <w:lang w:val="es-CO" w:eastAsia="es-CO"/>
              </w:rPr>
              <w:t>CONTRATOS</w:t>
            </w:r>
          </w:p>
        </w:tc>
        <w:tc>
          <w:tcPr>
            <w:tcW w:w="3195" w:type="dxa"/>
            <w:tcBorders>
              <w:top w:val="nil"/>
              <w:left w:val="nil"/>
              <w:bottom w:val="single" w:sz="4" w:space="0" w:color="auto"/>
              <w:right w:val="single" w:sz="4" w:space="0" w:color="auto"/>
            </w:tcBorders>
            <w:shd w:val="clear" w:color="auto" w:fill="95B3D7"/>
            <w:noWrap/>
            <w:vAlign w:val="bottom"/>
            <w:hideMark/>
          </w:tcPr>
          <w:p w:rsidR="00F53726" w:rsidRPr="00104F4B" w:rsidRDefault="00F53726" w:rsidP="0077150E">
            <w:pPr>
              <w:rPr>
                <w:rFonts w:cs="Arial"/>
                <w:b/>
                <w:bCs/>
                <w:color w:val="000000"/>
                <w:sz w:val="16"/>
                <w:szCs w:val="16"/>
                <w:lang w:val="es-CO" w:eastAsia="es-CO"/>
              </w:rPr>
            </w:pPr>
            <w:r w:rsidRPr="00104F4B">
              <w:rPr>
                <w:rFonts w:cs="Arial"/>
                <w:b/>
                <w:bCs/>
                <w:color w:val="000000"/>
                <w:sz w:val="16"/>
                <w:szCs w:val="16"/>
                <w:lang w:val="es-CO" w:eastAsia="es-CO"/>
              </w:rPr>
              <w:t>FECHA DE CUMPLIMIENTO</w:t>
            </w:r>
          </w:p>
        </w:tc>
      </w:tr>
      <w:tr w:rsidR="00F53726" w:rsidRPr="00104F4B" w:rsidTr="0077150E">
        <w:trPr>
          <w:trHeight w:val="300"/>
        </w:trPr>
        <w:tc>
          <w:tcPr>
            <w:tcW w:w="2805" w:type="dxa"/>
            <w:tcBorders>
              <w:top w:val="nil"/>
              <w:left w:val="single" w:sz="4" w:space="0" w:color="auto"/>
              <w:bottom w:val="single" w:sz="4" w:space="0" w:color="auto"/>
              <w:right w:val="single" w:sz="4" w:space="0" w:color="auto"/>
            </w:tcBorders>
            <w:shd w:val="clear" w:color="auto" w:fill="95B3D7"/>
            <w:noWrap/>
            <w:vAlign w:val="bottom"/>
            <w:hideMark/>
          </w:tcPr>
          <w:p w:rsidR="00F53726" w:rsidRPr="00104F4B" w:rsidRDefault="00F53726" w:rsidP="0077150E">
            <w:pPr>
              <w:rPr>
                <w:rFonts w:cs="Arial"/>
                <w:color w:val="000000"/>
                <w:sz w:val="16"/>
                <w:szCs w:val="16"/>
                <w:lang w:val="es-CO" w:eastAsia="es-CO"/>
              </w:rPr>
            </w:pPr>
            <w:r w:rsidRPr="00104F4B">
              <w:rPr>
                <w:rFonts w:cs="Arial"/>
                <w:color w:val="000000"/>
                <w:sz w:val="16"/>
                <w:szCs w:val="16"/>
                <w:lang w:val="es-CO" w:eastAsia="es-CO"/>
              </w:rPr>
              <w:t>1686-2014 Y 1694-2014</w:t>
            </w:r>
          </w:p>
        </w:tc>
        <w:tc>
          <w:tcPr>
            <w:tcW w:w="3195" w:type="dxa"/>
            <w:tcBorders>
              <w:top w:val="nil"/>
              <w:left w:val="nil"/>
              <w:bottom w:val="single" w:sz="4" w:space="0" w:color="auto"/>
              <w:right w:val="single" w:sz="4" w:space="0" w:color="auto"/>
            </w:tcBorders>
            <w:shd w:val="clear" w:color="auto" w:fill="auto"/>
            <w:noWrap/>
            <w:vAlign w:val="bottom"/>
            <w:hideMark/>
          </w:tcPr>
          <w:p w:rsidR="00F53726" w:rsidRPr="00104F4B" w:rsidRDefault="00F53726" w:rsidP="0077150E">
            <w:pPr>
              <w:jc w:val="right"/>
              <w:rPr>
                <w:rFonts w:cs="Arial"/>
                <w:color w:val="000000"/>
                <w:sz w:val="16"/>
                <w:szCs w:val="16"/>
                <w:lang w:val="es-CO" w:eastAsia="es-CO"/>
              </w:rPr>
            </w:pPr>
            <w:r w:rsidRPr="00104F4B">
              <w:rPr>
                <w:rFonts w:cs="Arial"/>
                <w:color w:val="000000"/>
                <w:sz w:val="16"/>
                <w:szCs w:val="16"/>
                <w:lang w:val="es-CO" w:eastAsia="es-CO"/>
              </w:rPr>
              <w:t>27/06/2018</w:t>
            </w:r>
          </w:p>
        </w:tc>
      </w:tr>
      <w:tr w:rsidR="00F53726" w:rsidRPr="00104F4B" w:rsidTr="0077150E">
        <w:trPr>
          <w:trHeight w:val="300"/>
        </w:trPr>
        <w:tc>
          <w:tcPr>
            <w:tcW w:w="2805" w:type="dxa"/>
            <w:tcBorders>
              <w:top w:val="nil"/>
              <w:left w:val="single" w:sz="4" w:space="0" w:color="auto"/>
              <w:bottom w:val="single" w:sz="4" w:space="0" w:color="auto"/>
              <w:right w:val="single" w:sz="4" w:space="0" w:color="auto"/>
            </w:tcBorders>
            <w:shd w:val="clear" w:color="auto" w:fill="95B3D7"/>
            <w:noWrap/>
            <w:vAlign w:val="bottom"/>
            <w:hideMark/>
          </w:tcPr>
          <w:p w:rsidR="00F53726" w:rsidRPr="00104F4B" w:rsidRDefault="00F53726" w:rsidP="0077150E">
            <w:pPr>
              <w:rPr>
                <w:rFonts w:cs="Arial"/>
                <w:color w:val="000000"/>
                <w:sz w:val="16"/>
                <w:szCs w:val="16"/>
                <w:lang w:val="es-CO" w:eastAsia="es-CO"/>
              </w:rPr>
            </w:pPr>
            <w:r w:rsidRPr="00104F4B">
              <w:rPr>
                <w:rFonts w:cs="Arial"/>
                <w:color w:val="000000"/>
                <w:sz w:val="16"/>
                <w:szCs w:val="16"/>
                <w:lang w:val="es-CO" w:eastAsia="es-CO"/>
              </w:rPr>
              <w:t>1703-2014</w:t>
            </w:r>
          </w:p>
        </w:tc>
        <w:tc>
          <w:tcPr>
            <w:tcW w:w="3195" w:type="dxa"/>
            <w:tcBorders>
              <w:top w:val="nil"/>
              <w:left w:val="nil"/>
              <w:bottom w:val="single" w:sz="4" w:space="0" w:color="auto"/>
              <w:right w:val="single" w:sz="4" w:space="0" w:color="auto"/>
            </w:tcBorders>
            <w:shd w:val="clear" w:color="auto" w:fill="auto"/>
            <w:noWrap/>
            <w:vAlign w:val="bottom"/>
            <w:hideMark/>
          </w:tcPr>
          <w:p w:rsidR="00F53726" w:rsidRPr="00104F4B" w:rsidRDefault="00F53726" w:rsidP="0077150E">
            <w:pPr>
              <w:jc w:val="right"/>
              <w:rPr>
                <w:rFonts w:cs="Arial"/>
                <w:color w:val="000000"/>
                <w:sz w:val="16"/>
                <w:szCs w:val="16"/>
                <w:lang w:val="es-CO" w:eastAsia="es-CO"/>
              </w:rPr>
            </w:pPr>
            <w:r w:rsidRPr="00104F4B">
              <w:rPr>
                <w:rFonts w:cs="Arial"/>
                <w:color w:val="000000"/>
                <w:sz w:val="16"/>
                <w:szCs w:val="16"/>
                <w:lang w:val="es-CO" w:eastAsia="es-CO"/>
              </w:rPr>
              <w:t>21/05/2018</w:t>
            </w:r>
          </w:p>
        </w:tc>
      </w:tr>
      <w:tr w:rsidR="00F53726" w:rsidRPr="00104F4B" w:rsidTr="0077150E">
        <w:trPr>
          <w:trHeight w:val="300"/>
        </w:trPr>
        <w:tc>
          <w:tcPr>
            <w:tcW w:w="2805" w:type="dxa"/>
            <w:tcBorders>
              <w:top w:val="nil"/>
              <w:left w:val="single" w:sz="4" w:space="0" w:color="auto"/>
              <w:bottom w:val="single" w:sz="4" w:space="0" w:color="auto"/>
              <w:right w:val="single" w:sz="4" w:space="0" w:color="auto"/>
            </w:tcBorders>
            <w:shd w:val="clear" w:color="auto" w:fill="95B3D7"/>
            <w:noWrap/>
            <w:vAlign w:val="bottom"/>
            <w:hideMark/>
          </w:tcPr>
          <w:p w:rsidR="00F53726" w:rsidRPr="00104F4B" w:rsidRDefault="00F53726" w:rsidP="0077150E">
            <w:pPr>
              <w:rPr>
                <w:rFonts w:cs="Arial"/>
                <w:color w:val="000000"/>
                <w:sz w:val="16"/>
                <w:szCs w:val="16"/>
                <w:lang w:val="es-CO" w:eastAsia="es-CO"/>
              </w:rPr>
            </w:pPr>
            <w:r w:rsidRPr="00104F4B">
              <w:rPr>
                <w:rFonts w:cs="Arial"/>
                <w:color w:val="000000"/>
                <w:sz w:val="16"/>
                <w:szCs w:val="16"/>
                <w:lang w:val="es-CO" w:eastAsia="es-CO"/>
              </w:rPr>
              <w:t>1762-2015 Y 1776-2015</w:t>
            </w:r>
          </w:p>
        </w:tc>
        <w:tc>
          <w:tcPr>
            <w:tcW w:w="3195" w:type="dxa"/>
            <w:tcBorders>
              <w:top w:val="nil"/>
              <w:left w:val="nil"/>
              <w:bottom w:val="single" w:sz="4" w:space="0" w:color="auto"/>
              <w:right w:val="single" w:sz="4" w:space="0" w:color="auto"/>
            </w:tcBorders>
            <w:shd w:val="clear" w:color="auto" w:fill="auto"/>
            <w:noWrap/>
            <w:vAlign w:val="bottom"/>
            <w:hideMark/>
          </w:tcPr>
          <w:p w:rsidR="00F53726" w:rsidRPr="00104F4B" w:rsidRDefault="00F53726" w:rsidP="0077150E">
            <w:pPr>
              <w:jc w:val="right"/>
              <w:rPr>
                <w:rFonts w:cs="Arial"/>
                <w:color w:val="000000"/>
                <w:sz w:val="16"/>
                <w:szCs w:val="16"/>
                <w:lang w:val="es-CO" w:eastAsia="es-CO"/>
              </w:rPr>
            </w:pPr>
            <w:r w:rsidRPr="00104F4B">
              <w:rPr>
                <w:rFonts w:cs="Arial"/>
                <w:color w:val="000000"/>
                <w:sz w:val="16"/>
                <w:szCs w:val="16"/>
                <w:lang w:val="es-CO" w:eastAsia="es-CO"/>
              </w:rPr>
              <w:t>28/12/2018</w:t>
            </w:r>
          </w:p>
        </w:tc>
      </w:tr>
      <w:tr w:rsidR="00F53726" w:rsidRPr="00104F4B" w:rsidTr="0077150E">
        <w:trPr>
          <w:trHeight w:val="300"/>
        </w:trPr>
        <w:tc>
          <w:tcPr>
            <w:tcW w:w="2805" w:type="dxa"/>
            <w:tcBorders>
              <w:top w:val="nil"/>
              <w:left w:val="single" w:sz="4" w:space="0" w:color="auto"/>
              <w:bottom w:val="single" w:sz="4" w:space="0" w:color="auto"/>
              <w:right w:val="single" w:sz="4" w:space="0" w:color="auto"/>
            </w:tcBorders>
            <w:shd w:val="clear" w:color="auto" w:fill="95B3D7"/>
            <w:noWrap/>
            <w:vAlign w:val="bottom"/>
            <w:hideMark/>
          </w:tcPr>
          <w:p w:rsidR="00F53726" w:rsidRPr="00104F4B" w:rsidRDefault="00F53726" w:rsidP="0077150E">
            <w:pPr>
              <w:rPr>
                <w:rFonts w:cs="Arial"/>
                <w:color w:val="000000"/>
                <w:sz w:val="16"/>
                <w:szCs w:val="16"/>
                <w:lang w:val="es-CO" w:eastAsia="es-CO"/>
              </w:rPr>
            </w:pPr>
            <w:r w:rsidRPr="00104F4B">
              <w:rPr>
                <w:rFonts w:cs="Arial"/>
                <w:color w:val="000000"/>
                <w:sz w:val="16"/>
                <w:szCs w:val="16"/>
                <w:lang w:val="es-CO" w:eastAsia="es-CO"/>
              </w:rPr>
              <w:t>1810-2015</w:t>
            </w:r>
          </w:p>
        </w:tc>
        <w:tc>
          <w:tcPr>
            <w:tcW w:w="3195" w:type="dxa"/>
            <w:tcBorders>
              <w:top w:val="nil"/>
              <w:left w:val="nil"/>
              <w:bottom w:val="single" w:sz="4" w:space="0" w:color="auto"/>
              <w:right w:val="single" w:sz="4" w:space="0" w:color="auto"/>
            </w:tcBorders>
            <w:shd w:val="clear" w:color="auto" w:fill="auto"/>
            <w:noWrap/>
            <w:vAlign w:val="bottom"/>
            <w:hideMark/>
          </w:tcPr>
          <w:p w:rsidR="00F53726" w:rsidRPr="00104F4B" w:rsidRDefault="00F53726" w:rsidP="0077150E">
            <w:pPr>
              <w:jc w:val="right"/>
              <w:rPr>
                <w:rFonts w:cs="Arial"/>
                <w:color w:val="000000"/>
                <w:sz w:val="16"/>
                <w:szCs w:val="16"/>
                <w:lang w:val="es-CO" w:eastAsia="es-CO"/>
              </w:rPr>
            </w:pPr>
            <w:r w:rsidRPr="00104F4B">
              <w:rPr>
                <w:rFonts w:cs="Arial"/>
                <w:color w:val="000000"/>
                <w:sz w:val="16"/>
                <w:szCs w:val="16"/>
                <w:lang w:val="es-CO" w:eastAsia="es-CO"/>
              </w:rPr>
              <w:t>25/04/2018</w:t>
            </w:r>
          </w:p>
        </w:tc>
      </w:tr>
      <w:tr w:rsidR="00F53726" w:rsidRPr="00104F4B" w:rsidTr="0077150E">
        <w:trPr>
          <w:trHeight w:val="300"/>
        </w:trPr>
        <w:tc>
          <w:tcPr>
            <w:tcW w:w="2805" w:type="dxa"/>
            <w:tcBorders>
              <w:top w:val="nil"/>
              <w:left w:val="single" w:sz="4" w:space="0" w:color="auto"/>
              <w:bottom w:val="single" w:sz="4" w:space="0" w:color="auto"/>
              <w:right w:val="single" w:sz="4" w:space="0" w:color="auto"/>
            </w:tcBorders>
            <w:shd w:val="clear" w:color="auto" w:fill="95B3D7"/>
            <w:noWrap/>
            <w:vAlign w:val="bottom"/>
            <w:hideMark/>
          </w:tcPr>
          <w:p w:rsidR="00F53726" w:rsidRPr="00104F4B" w:rsidRDefault="00F53726" w:rsidP="0077150E">
            <w:pPr>
              <w:rPr>
                <w:rFonts w:cs="Arial"/>
                <w:color w:val="000000"/>
                <w:sz w:val="16"/>
                <w:szCs w:val="16"/>
                <w:lang w:val="es-CO" w:eastAsia="es-CO"/>
              </w:rPr>
            </w:pPr>
            <w:r w:rsidRPr="00104F4B">
              <w:rPr>
                <w:rFonts w:cs="Arial"/>
                <w:color w:val="000000"/>
                <w:sz w:val="16"/>
                <w:szCs w:val="16"/>
                <w:lang w:val="es-CO" w:eastAsia="es-CO"/>
              </w:rPr>
              <w:t>95-2008</w:t>
            </w:r>
          </w:p>
        </w:tc>
        <w:tc>
          <w:tcPr>
            <w:tcW w:w="3195" w:type="dxa"/>
            <w:tcBorders>
              <w:top w:val="nil"/>
              <w:left w:val="nil"/>
              <w:bottom w:val="single" w:sz="4" w:space="0" w:color="auto"/>
              <w:right w:val="single" w:sz="4" w:space="0" w:color="auto"/>
            </w:tcBorders>
            <w:shd w:val="clear" w:color="auto" w:fill="auto"/>
            <w:noWrap/>
            <w:vAlign w:val="bottom"/>
            <w:hideMark/>
          </w:tcPr>
          <w:p w:rsidR="00F53726" w:rsidRPr="00104F4B" w:rsidRDefault="00F53726" w:rsidP="0077150E">
            <w:pPr>
              <w:jc w:val="right"/>
              <w:rPr>
                <w:rFonts w:cs="Arial"/>
                <w:color w:val="000000"/>
                <w:sz w:val="16"/>
                <w:szCs w:val="16"/>
                <w:lang w:val="es-CO" w:eastAsia="es-CO"/>
              </w:rPr>
            </w:pPr>
            <w:r w:rsidRPr="00104F4B">
              <w:rPr>
                <w:rFonts w:cs="Arial"/>
                <w:color w:val="000000"/>
                <w:sz w:val="16"/>
                <w:szCs w:val="16"/>
                <w:lang w:val="es-CO" w:eastAsia="es-CO"/>
              </w:rPr>
              <w:t>13/08/2018</w:t>
            </w:r>
          </w:p>
        </w:tc>
      </w:tr>
      <w:tr w:rsidR="00F53726" w:rsidRPr="00104F4B" w:rsidTr="0077150E">
        <w:trPr>
          <w:trHeight w:val="300"/>
        </w:trPr>
        <w:tc>
          <w:tcPr>
            <w:tcW w:w="2805" w:type="dxa"/>
            <w:tcBorders>
              <w:top w:val="nil"/>
              <w:left w:val="single" w:sz="4" w:space="0" w:color="auto"/>
              <w:bottom w:val="single" w:sz="4" w:space="0" w:color="auto"/>
              <w:right w:val="single" w:sz="4" w:space="0" w:color="auto"/>
            </w:tcBorders>
            <w:shd w:val="clear" w:color="auto" w:fill="95B3D7"/>
            <w:noWrap/>
            <w:vAlign w:val="bottom"/>
            <w:hideMark/>
          </w:tcPr>
          <w:p w:rsidR="00F53726" w:rsidRPr="00104F4B" w:rsidRDefault="00F53726" w:rsidP="0077150E">
            <w:pPr>
              <w:rPr>
                <w:rFonts w:cs="Arial"/>
                <w:color w:val="000000"/>
                <w:sz w:val="16"/>
                <w:szCs w:val="16"/>
                <w:lang w:val="es-CO" w:eastAsia="es-CO"/>
              </w:rPr>
            </w:pPr>
            <w:r w:rsidRPr="00104F4B">
              <w:rPr>
                <w:rFonts w:cs="Arial"/>
                <w:color w:val="000000"/>
                <w:sz w:val="16"/>
                <w:szCs w:val="16"/>
                <w:lang w:val="es-CO" w:eastAsia="es-CO"/>
              </w:rPr>
              <w:t>CONV-594-2014</w:t>
            </w:r>
          </w:p>
        </w:tc>
        <w:tc>
          <w:tcPr>
            <w:tcW w:w="3195" w:type="dxa"/>
            <w:tcBorders>
              <w:top w:val="nil"/>
              <w:left w:val="nil"/>
              <w:bottom w:val="single" w:sz="4" w:space="0" w:color="auto"/>
              <w:right w:val="single" w:sz="4" w:space="0" w:color="auto"/>
            </w:tcBorders>
            <w:shd w:val="clear" w:color="auto" w:fill="auto"/>
            <w:noWrap/>
            <w:vAlign w:val="bottom"/>
            <w:hideMark/>
          </w:tcPr>
          <w:p w:rsidR="00F53726" w:rsidRPr="00104F4B" w:rsidRDefault="00F53726" w:rsidP="0077150E">
            <w:pPr>
              <w:jc w:val="right"/>
              <w:rPr>
                <w:rFonts w:cs="Arial"/>
                <w:color w:val="000000"/>
                <w:sz w:val="16"/>
                <w:szCs w:val="16"/>
                <w:lang w:val="es-CO" w:eastAsia="es-CO"/>
              </w:rPr>
            </w:pPr>
            <w:r w:rsidRPr="00104F4B">
              <w:rPr>
                <w:rFonts w:cs="Arial"/>
                <w:color w:val="000000"/>
                <w:sz w:val="16"/>
                <w:szCs w:val="16"/>
                <w:lang w:val="es-CO" w:eastAsia="es-CO"/>
              </w:rPr>
              <w:t>30/04/2018</w:t>
            </w:r>
          </w:p>
        </w:tc>
      </w:tr>
      <w:tr w:rsidR="00F53726" w:rsidRPr="00104F4B" w:rsidTr="0077150E">
        <w:trPr>
          <w:trHeight w:val="300"/>
        </w:trPr>
        <w:tc>
          <w:tcPr>
            <w:tcW w:w="2805" w:type="dxa"/>
            <w:tcBorders>
              <w:top w:val="nil"/>
              <w:left w:val="single" w:sz="4" w:space="0" w:color="auto"/>
              <w:bottom w:val="single" w:sz="4" w:space="0" w:color="auto"/>
              <w:right w:val="single" w:sz="4" w:space="0" w:color="auto"/>
            </w:tcBorders>
            <w:shd w:val="clear" w:color="auto" w:fill="95B3D7"/>
            <w:noWrap/>
            <w:vAlign w:val="bottom"/>
            <w:hideMark/>
          </w:tcPr>
          <w:p w:rsidR="00F53726" w:rsidRPr="00104F4B" w:rsidRDefault="00F53726" w:rsidP="0077150E">
            <w:pPr>
              <w:rPr>
                <w:rFonts w:cs="Arial"/>
                <w:color w:val="000000"/>
                <w:sz w:val="16"/>
                <w:szCs w:val="16"/>
                <w:lang w:val="es-CO" w:eastAsia="es-CO"/>
              </w:rPr>
            </w:pPr>
            <w:r w:rsidRPr="00104F4B">
              <w:rPr>
                <w:rFonts w:cs="Arial"/>
                <w:color w:val="000000"/>
                <w:sz w:val="16"/>
                <w:szCs w:val="16"/>
                <w:lang w:val="es-CO" w:eastAsia="es-CO"/>
              </w:rPr>
              <w:t>1246-2014 Y 1325-2014</w:t>
            </w:r>
          </w:p>
        </w:tc>
        <w:tc>
          <w:tcPr>
            <w:tcW w:w="3195" w:type="dxa"/>
            <w:tcBorders>
              <w:top w:val="nil"/>
              <w:left w:val="nil"/>
              <w:bottom w:val="single" w:sz="4" w:space="0" w:color="auto"/>
              <w:right w:val="single" w:sz="4" w:space="0" w:color="auto"/>
            </w:tcBorders>
            <w:shd w:val="clear" w:color="auto" w:fill="auto"/>
            <w:noWrap/>
            <w:vAlign w:val="bottom"/>
            <w:hideMark/>
          </w:tcPr>
          <w:p w:rsidR="00F53726" w:rsidRPr="00104F4B" w:rsidRDefault="00F53726" w:rsidP="0077150E">
            <w:pPr>
              <w:jc w:val="right"/>
              <w:rPr>
                <w:rFonts w:cs="Arial"/>
                <w:color w:val="000000"/>
                <w:sz w:val="16"/>
                <w:szCs w:val="16"/>
                <w:lang w:val="es-CO" w:eastAsia="es-CO"/>
              </w:rPr>
            </w:pPr>
            <w:r w:rsidRPr="00104F4B">
              <w:rPr>
                <w:rFonts w:cs="Arial"/>
                <w:color w:val="000000"/>
                <w:sz w:val="16"/>
                <w:szCs w:val="16"/>
                <w:lang w:val="es-CO" w:eastAsia="es-CO"/>
              </w:rPr>
              <w:t>13/06/2018</w:t>
            </w:r>
          </w:p>
        </w:tc>
      </w:tr>
      <w:tr w:rsidR="00F53726" w:rsidRPr="00104F4B" w:rsidTr="0077150E">
        <w:trPr>
          <w:trHeight w:val="300"/>
        </w:trPr>
        <w:tc>
          <w:tcPr>
            <w:tcW w:w="2805" w:type="dxa"/>
            <w:tcBorders>
              <w:top w:val="nil"/>
              <w:left w:val="single" w:sz="4" w:space="0" w:color="auto"/>
              <w:bottom w:val="single" w:sz="4" w:space="0" w:color="auto"/>
              <w:right w:val="single" w:sz="4" w:space="0" w:color="auto"/>
            </w:tcBorders>
            <w:shd w:val="clear" w:color="auto" w:fill="95B3D7"/>
            <w:noWrap/>
            <w:vAlign w:val="bottom"/>
            <w:hideMark/>
          </w:tcPr>
          <w:p w:rsidR="00F53726" w:rsidRPr="00104F4B" w:rsidRDefault="00F53726" w:rsidP="0077150E">
            <w:pPr>
              <w:rPr>
                <w:rFonts w:cs="Arial"/>
                <w:color w:val="000000"/>
                <w:sz w:val="16"/>
                <w:szCs w:val="16"/>
                <w:lang w:val="es-CO" w:eastAsia="es-CO"/>
              </w:rPr>
            </w:pPr>
            <w:r w:rsidRPr="00104F4B">
              <w:rPr>
                <w:rFonts w:cs="Arial"/>
                <w:color w:val="000000"/>
                <w:sz w:val="16"/>
                <w:szCs w:val="16"/>
                <w:lang w:val="es-CO" w:eastAsia="es-CO"/>
              </w:rPr>
              <w:t>1275-2014 Y 1322-2014</w:t>
            </w:r>
          </w:p>
        </w:tc>
        <w:tc>
          <w:tcPr>
            <w:tcW w:w="3195" w:type="dxa"/>
            <w:tcBorders>
              <w:top w:val="nil"/>
              <w:left w:val="nil"/>
              <w:bottom w:val="single" w:sz="4" w:space="0" w:color="auto"/>
              <w:right w:val="single" w:sz="4" w:space="0" w:color="auto"/>
            </w:tcBorders>
            <w:shd w:val="clear" w:color="auto" w:fill="auto"/>
            <w:noWrap/>
            <w:vAlign w:val="bottom"/>
            <w:hideMark/>
          </w:tcPr>
          <w:p w:rsidR="00F53726" w:rsidRPr="00104F4B" w:rsidRDefault="00F53726" w:rsidP="0077150E">
            <w:pPr>
              <w:jc w:val="right"/>
              <w:rPr>
                <w:rFonts w:cs="Arial"/>
                <w:color w:val="000000"/>
                <w:sz w:val="16"/>
                <w:szCs w:val="16"/>
                <w:lang w:val="es-CO" w:eastAsia="es-CO"/>
              </w:rPr>
            </w:pPr>
            <w:r w:rsidRPr="00104F4B">
              <w:rPr>
                <w:rFonts w:cs="Arial"/>
                <w:color w:val="000000"/>
                <w:sz w:val="16"/>
                <w:szCs w:val="16"/>
                <w:lang w:val="es-CO" w:eastAsia="es-CO"/>
              </w:rPr>
              <w:t>1/08/2018</w:t>
            </w:r>
          </w:p>
        </w:tc>
      </w:tr>
      <w:tr w:rsidR="00F53726" w:rsidRPr="00104F4B" w:rsidTr="0077150E">
        <w:trPr>
          <w:trHeight w:val="300"/>
        </w:trPr>
        <w:tc>
          <w:tcPr>
            <w:tcW w:w="2805" w:type="dxa"/>
            <w:tcBorders>
              <w:top w:val="nil"/>
              <w:left w:val="single" w:sz="4" w:space="0" w:color="auto"/>
              <w:bottom w:val="single" w:sz="4" w:space="0" w:color="auto"/>
              <w:right w:val="single" w:sz="4" w:space="0" w:color="auto"/>
            </w:tcBorders>
            <w:shd w:val="clear" w:color="auto" w:fill="95B3D7"/>
            <w:noWrap/>
            <w:vAlign w:val="bottom"/>
            <w:hideMark/>
          </w:tcPr>
          <w:p w:rsidR="00F53726" w:rsidRPr="00104F4B" w:rsidRDefault="00F53726" w:rsidP="0077150E">
            <w:pPr>
              <w:rPr>
                <w:rFonts w:cs="Arial"/>
                <w:color w:val="000000"/>
                <w:sz w:val="16"/>
                <w:szCs w:val="16"/>
                <w:lang w:val="es-CO" w:eastAsia="es-CO"/>
              </w:rPr>
            </w:pPr>
            <w:r w:rsidRPr="00104F4B">
              <w:rPr>
                <w:rFonts w:cs="Arial"/>
                <w:color w:val="000000"/>
                <w:sz w:val="16"/>
                <w:szCs w:val="16"/>
                <w:lang w:val="es-CO" w:eastAsia="es-CO"/>
              </w:rPr>
              <w:t>1899-2014 Y 1868-2014</w:t>
            </w:r>
          </w:p>
        </w:tc>
        <w:tc>
          <w:tcPr>
            <w:tcW w:w="3195" w:type="dxa"/>
            <w:tcBorders>
              <w:top w:val="nil"/>
              <w:left w:val="nil"/>
              <w:bottom w:val="single" w:sz="4" w:space="0" w:color="auto"/>
              <w:right w:val="single" w:sz="4" w:space="0" w:color="auto"/>
            </w:tcBorders>
            <w:shd w:val="clear" w:color="auto" w:fill="auto"/>
            <w:noWrap/>
            <w:vAlign w:val="bottom"/>
            <w:hideMark/>
          </w:tcPr>
          <w:p w:rsidR="00F53726" w:rsidRPr="00104F4B" w:rsidRDefault="00F53726" w:rsidP="0077150E">
            <w:pPr>
              <w:jc w:val="right"/>
              <w:rPr>
                <w:rFonts w:cs="Arial"/>
                <w:color w:val="000000"/>
                <w:sz w:val="16"/>
                <w:szCs w:val="16"/>
                <w:lang w:val="es-CO" w:eastAsia="es-CO"/>
              </w:rPr>
            </w:pPr>
            <w:r w:rsidRPr="00104F4B">
              <w:rPr>
                <w:rFonts w:cs="Arial"/>
                <w:color w:val="000000"/>
                <w:sz w:val="16"/>
                <w:szCs w:val="16"/>
                <w:lang w:val="es-CO" w:eastAsia="es-CO"/>
              </w:rPr>
              <w:t>29/06/2018</w:t>
            </w:r>
          </w:p>
        </w:tc>
      </w:tr>
      <w:tr w:rsidR="00F53726" w:rsidRPr="00104F4B" w:rsidTr="0077150E">
        <w:trPr>
          <w:trHeight w:val="300"/>
        </w:trPr>
        <w:tc>
          <w:tcPr>
            <w:tcW w:w="2805" w:type="dxa"/>
            <w:tcBorders>
              <w:top w:val="nil"/>
              <w:left w:val="single" w:sz="4" w:space="0" w:color="auto"/>
              <w:bottom w:val="single" w:sz="4" w:space="0" w:color="auto"/>
              <w:right w:val="single" w:sz="4" w:space="0" w:color="auto"/>
            </w:tcBorders>
            <w:shd w:val="clear" w:color="auto" w:fill="95B3D7"/>
            <w:noWrap/>
            <w:vAlign w:val="bottom"/>
            <w:hideMark/>
          </w:tcPr>
          <w:p w:rsidR="00F53726" w:rsidRPr="00104F4B" w:rsidRDefault="00F53726" w:rsidP="0077150E">
            <w:pPr>
              <w:rPr>
                <w:rFonts w:cs="Arial"/>
                <w:color w:val="000000"/>
                <w:sz w:val="16"/>
                <w:szCs w:val="16"/>
                <w:lang w:val="es-CO" w:eastAsia="es-CO"/>
              </w:rPr>
            </w:pPr>
            <w:r w:rsidRPr="00104F4B">
              <w:rPr>
                <w:rFonts w:cs="Arial"/>
                <w:color w:val="000000"/>
                <w:sz w:val="16"/>
                <w:szCs w:val="16"/>
                <w:lang w:val="es-CO" w:eastAsia="es-CO"/>
              </w:rPr>
              <w:t>1760-2015 Y 1767-2015</w:t>
            </w:r>
          </w:p>
        </w:tc>
        <w:tc>
          <w:tcPr>
            <w:tcW w:w="3195" w:type="dxa"/>
            <w:tcBorders>
              <w:top w:val="nil"/>
              <w:left w:val="nil"/>
              <w:bottom w:val="single" w:sz="4" w:space="0" w:color="auto"/>
              <w:right w:val="single" w:sz="4" w:space="0" w:color="auto"/>
            </w:tcBorders>
            <w:shd w:val="clear" w:color="auto" w:fill="auto"/>
            <w:noWrap/>
            <w:vAlign w:val="bottom"/>
            <w:hideMark/>
          </w:tcPr>
          <w:p w:rsidR="00F53726" w:rsidRPr="00104F4B" w:rsidRDefault="00F53726" w:rsidP="0077150E">
            <w:pPr>
              <w:jc w:val="right"/>
              <w:rPr>
                <w:rFonts w:cs="Arial"/>
                <w:color w:val="000000"/>
                <w:sz w:val="16"/>
                <w:szCs w:val="16"/>
                <w:lang w:val="es-CO" w:eastAsia="es-CO"/>
              </w:rPr>
            </w:pPr>
            <w:r w:rsidRPr="00104F4B">
              <w:rPr>
                <w:rFonts w:cs="Arial"/>
                <w:color w:val="000000"/>
                <w:sz w:val="16"/>
                <w:szCs w:val="16"/>
                <w:lang w:val="es-CO" w:eastAsia="es-CO"/>
              </w:rPr>
              <w:t>12/01/2018</w:t>
            </w:r>
          </w:p>
        </w:tc>
      </w:tr>
      <w:tr w:rsidR="00F53726" w:rsidRPr="00104F4B" w:rsidTr="0077150E">
        <w:trPr>
          <w:trHeight w:val="300"/>
        </w:trPr>
        <w:tc>
          <w:tcPr>
            <w:tcW w:w="6000" w:type="dxa"/>
            <w:gridSpan w:val="2"/>
            <w:tcBorders>
              <w:top w:val="single" w:sz="4" w:space="0" w:color="auto"/>
              <w:left w:val="single" w:sz="4" w:space="0" w:color="auto"/>
              <w:bottom w:val="single" w:sz="4" w:space="0" w:color="auto"/>
              <w:right w:val="nil"/>
            </w:tcBorders>
            <w:shd w:val="clear" w:color="auto" w:fill="95B3D7"/>
            <w:noWrap/>
            <w:vAlign w:val="bottom"/>
            <w:hideMark/>
          </w:tcPr>
          <w:p w:rsidR="00F53726" w:rsidRPr="00104F4B" w:rsidRDefault="00F53726" w:rsidP="0077150E">
            <w:pPr>
              <w:jc w:val="center"/>
              <w:rPr>
                <w:rFonts w:cs="Arial"/>
                <w:b/>
                <w:bCs/>
                <w:color w:val="000000"/>
                <w:sz w:val="16"/>
                <w:szCs w:val="16"/>
                <w:lang w:val="es-CO" w:eastAsia="es-CO"/>
              </w:rPr>
            </w:pPr>
            <w:r w:rsidRPr="00104F4B">
              <w:rPr>
                <w:rFonts w:cs="Arial"/>
                <w:b/>
                <w:bCs/>
                <w:color w:val="000000"/>
                <w:sz w:val="16"/>
                <w:szCs w:val="16"/>
                <w:lang w:val="es-CO" w:eastAsia="es-CO"/>
              </w:rPr>
              <w:t>CIERRE DE GLOSAS</w:t>
            </w:r>
          </w:p>
        </w:tc>
      </w:tr>
      <w:tr w:rsidR="00F53726" w:rsidRPr="00104F4B" w:rsidTr="0077150E">
        <w:trPr>
          <w:trHeight w:val="300"/>
        </w:trPr>
        <w:tc>
          <w:tcPr>
            <w:tcW w:w="2805" w:type="dxa"/>
            <w:tcBorders>
              <w:top w:val="nil"/>
              <w:left w:val="single" w:sz="4" w:space="0" w:color="auto"/>
              <w:bottom w:val="single" w:sz="4" w:space="0" w:color="auto"/>
              <w:right w:val="single" w:sz="4" w:space="0" w:color="auto"/>
            </w:tcBorders>
            <w:shd w:val="clear" w:color="auto" w:fill="95B3D7"/>
            <w:noWrap/>
            <w:vAlign w:val="bottom"/>
            <w:hideMark/>
          </w:tcPr>
          <w:p w:rsidR="00F53726" w:rsidRPr="00104F4B" w:rsidRDefault="00F53726" w:rsidP="0077150E">
            <w:pPr>
              <w:rPr>
                <w:rFonts w:cs="Arial"/>
                <w:b/>
                <w:bCs/>
                <w:color w:val="000000"/>
                <w:sz w:val="16"/>
                <w:szCs w:val="16"/>
                <w:lang w:val="es-CO" w:eastAsia="es-CO"/>
              </w:rPr>
            </w:pPr>
            <w:r w:rsidRPr="00104F4B">
              <w:rPr>
                <w:rFonts w:cs="Arial"/>
                <w:b/>
                <w:bCs/>
                <w:color w:val="000000"/>
                <w:sz w:val="16"/>
                <w:szCs w:val="16"/>
                <w:lang w:val="es-CO" w:eastAsia="es-CO"/>
              </w:rPr>
              <w:t>CONTRATOS</w:t>
            </w:r>
          </w:p>
        </w:tc>
        <w:tc>
          <w:tcPr>
            <w:tcW w:w="3195" w:type="dxa"/>
            <w:tcBorders>
              <w:top w:val="nil"/>
              <w:left w:val="nil"/>
              <w:bottom w:val="single" w:sz="4" w:space="0" w:color="auto"/>
              <w:right w:val="single" w:sz="4" w:space="0" w:color="auto"/>
            </w:tcBorders>
            <w:shd w:val="clear" w:color="auto" w:fill="95B3D7"/>
            <w:noWrap/>
            <w:vAlign w:val="bottom"/>
            <w:hideMark/>
          </w:tcPr>
          <w:p w:rsidR="00F53726" w:rsidRPr="00104F4B" w:rsidRDefault="00F53726" w:rsidP="0077150E">
            <w:pPr>
              <w:rPr>
                <w:rFonts w:cs="Arial"/>
                <w:b/>
                <w:bCs/>
                <w:color w:val="000000"/>
                <w:sz w:val="16"/>
                <w:szCs w:val="16"/>
                <w:lang w:val="es-CO" w:eastAsia="es-CO"/>
              </w:rPr>
            </w:pPr>
            <w:r w:rsidRPr="00104F4B">
              <w:rPr>
                <w:rFonts w:cs="Arial"/>
                <w:b/>
                <w:bCs/>
                <w:color w:val="000000"/>
                <w:sz w:val="16"/>
                <w:szCs w:val="16"/>
                <w:lang w:val="es-CO" w:eastAsia="es-CO"/>
              </w:rPr>
              <w:t>FECHA DE CUMPLIMIENTO</w:t>
            </w:r>
          </w:p>
        </w:tc>
      </w:tr>
      <w:tr w:rsidR="00F53726" w:rsidRPr="00104F4B" w:rsidTr="0077150E">
        <w:trPr>
          <w:trHeight w:val="300"/>
        </w:trPr>
        <w:tc>
          <w:tcPr>
            <w:tcW w:w="2805" w:type="dxa"/>
            <w:tcBorders>
              <w:top w:val="nil"/>
              <w:left w:val="single" w:sz="4" w:space="0" w:color="auto"/>
              <w:bottom w:val="single" w:sz="4" w:space="0" w:color="auto"/>
              <w:right w:val="single" w:sz="4" w:space="0" w:color="auto"/>
            </w:tcBorders>
            <w:shd w:val="clear" w:color="auto" w:fill="95B3D7"/>
            <w:noWrap/>
            <w:vAlign w:val="bottom"/>
            <w:hideMark/>
          </w:tcPr>
          <w:p w:rsidR="00F53726" w:rsidRPr="00104F4B" w:rsidRDefault="00F53726" w:rsidP="0077150E">
            <w:pPr>
              <w:rPr>
                <w:rFonts w:cs="Arial"/>
                <w:color w:val="000000"/>
                <w:sz w:val="16"/>
                <w:szCs w:val="16"/>
                <w:lang w:val="es-CO" w:eastAsia="es-CO"/>
              </w:rPr>
            </w:pPr>
            <w:r w:rsidRPr="00104F4B">
              <w:rPr>
                <w:rFonts w:cs="Arial"/>
                <w:color w:val="000000"/>
                <w:sz w:val="16"/>
                <w:szCs w:val="16"/>
                <w:lang w:val="es-CO" w:eastAsia="es-CO"/>
              </w:rPr>
              <w:t>1794-2015</w:t>
            </w:r>
          </w:p>
        </w:tc>
        <w:tc>
          <w:tcPr>
            <w:tcW w:w="3195" w:type="dxa"/>
            <w:tcBorders>
              <w:top w:val="nil"/>
              <w:left w:val="nil"/>
              <w:bottom w:val="single" w:sz="4" w:space="0" w:color="auto"/>
              <w:right w:val="single" w:sz="4" w:space="0" w:color="auto"/>
            </w:tcBorders>
            <w:shd w:val="clear" w:color="000000" w:fill="FFFFFF"/>
            <w:noWrap/>
            <w:vAlign w:val="bottom"/>
            <w:hideMark/>
          </w:tcPr>
          <w:p w:rsidR="00F53726" w:rsidRPr="00104F4B" w:rsidRDefault="00F53726" w:rsidP="0077150E">
            <w:pPr>
              <w:jc w:val="right"/>
              <w:rPr>
                <w:rFonts w:cs="Arial"/>
                <w:color w:val="000000"/>
                <w:sz w:val="16"/>
                <w:szCs w:val="16"/>
                <w:lang w:val="es-CO" w:eastAsia="es-CO"/>
              </w:rPr>
            </w:pPr>
            <w:r w:rsidRPr="00104F4B">
              <w:rPr>
                <w:rFonts w:cs="Arial"/>
                <w:color w:val="000000"/>
                <w:sz w:val="16"/>
                <w:szCs w:val="16"/>
                <w:lang w:val="es-CO" w:eastAsia="es-CO"/>
              </w:rPr>
              <w:t>17/12/2017</w:t>
            </w:r>
          </w:p>
        </w:tc>
      </w:tr>
      <w:tr w:rsidR="00F53726" w:rsidRPr="00104F4B" w:rsidTr="0077150E">
        <w:trPr>
          <w:trHeight w:val="300"/>
        </w:trPr>
        <w:tc>
          <w:tcPr>
            <w:tcW w:w="2805" w:type="dxa"/>
            <w:tcBorders>
              <w:top w:val="nil"/>
              <w:left w:val="single" w:sz="4" w:space="0" w:color="auto"/>
              <w:bottom w:val="single" w:sz="4" w:space="0" w:color="auto"/>
              <w:right w:val="single" w:sz="4" w:space="0" w:color="auto"/>
            </w:tcBorders>
            <w:shd w:val="clear" w:color="auto" w:fill="95B3D7"/>
            <w:noWrap/>
            <w:vAlign w:val="bottom"/>
            <w:hideMark/>
          </w:tcPr>
          <w:p w:rsidR="00F53726" w:rsidRPr="00104F4B" w:rsidRDefault="00F53726" w:rsidP="0077150E">
            <w:pPr>
              <w:rPr>
                <w:rFonts w:cs="Arial"/>
                <w:color w:val="000000"/>
                <w:sz w:val="16"/>
                <w:szCs w:val="16"/>
                <w:lang w:val="es-CO" w:eastAsia="es-CO"/>
              </w:rPr>
            </w:pPr>
            <w:r w:rsidRPr="00104F4B">
              <w:rPr>
                <w:rFonts w:cs="Arial"/>
                <w:color w:val="000000"/>
                <w:sz w:val="16"/>
                <w:szCs w:val="16"/>
                <w:lang w:val="es-CO" w:eastAsia="es-CO"/>
              </w:rPr>
              <w:t>1699-2014 Y 1696-2014</w:t>
            </w:r>
          </w:p>
        </w:tc>
        <w:tc>
          <w:tcPr>
            <w:tcW w:w="3195" w:type="dxa"/>
            <w:tcBorders>
              <w:top w:val="nil"/>
              <w:left w:val="nil"/>
              <w:bottom w:val="single" w:sz="4" w:space="0" w:color="auto"/>
              <w:right w:val="single" w:sz="4" w:space="0" w:color="auto"/>
            </w:tcBorders>
            <w:shd w:val="clear" w:color="000000" w:fill="FFFFFF"/>
            <w:noWrap/>
            <w:vAlign w:val="bottom"/>
            <w:hideMark/>
          </w:tcPr>
          <w:p w:rsidR="00F53726" w:rsidRPr="00104F4B" w:rsidRDefault="00F53726" w:rsidP="0077150E">
            <w:pPr>
              <w:jc w:val="right"/>
              <w:rPr>
                <w:rFonts w:cs="Arial"/>
                <w:color w:val="000000"/>
                <w:sz w:val="16"/>
                <w:szCs w:val="16"/>
                <w:lang w:val="es-CO" w:eastAsia="es-CO"/>
              </w:rPr>
            </w:pPr>
            <w:r w:rsidRPr="00104F4B">
              <w:rPr>
                <w:rFonts w:cs="Arial"/>
                <w:color w:val="000000"/>
                <w:sz w:val="16"/>
                <w:szCs w:val="16"/>
                <w:lang w:val="es-CO" w:eastAsia="es-CO"/>
              </w:rPr>
              <w:t>28/12/2017</w:t>
            </w:r>
          </w:p>
        </w:tc>
      </w:tr>
      <w:tr w:rsidR="00F53726" w:rsidRPr="00104F4B" w:rsidTr="0077150E">
        <w:trPr>
          <w:trHeight w:val="300"/>
        </w:trPr>
        <w:tc>
          <w:tcPr>
            <w:tcW w:w="2805" w:type="dxa"/>
            <w:tcBorders>
              <w:top w:val="nil"/>
              <w:left w:val="single" w:sz="4" w:space="0" w:color="auto"/>
              <w:bottom w:val="single" w:sz="4" w:space="0" w:color="auto"/>
              <w:right w:val="single" w:sz="4" w:space="0" w:color="auto"/>
            </w:tcBorders>
            <w:shd w:val="clear" w:color="auto" w:fill="95B3D7"/>
            <w:noWrap/>
            <w:vAlign w:val="bottom"/>
            <w:hideMark/>
          </w:tcPr>
          <w:p w:rsidR="00F53726" w:rsidRPr="00104F4B" w:rsidRDefault="00F53726" w:rsidP="0077150E">
            <w:pPr>
              <w:rPr>
                <w:rFonts w:cs="Arial"/>
                <w:color w:val="000000"/>
                <w:sz w:val="16"/>
                <w:szCs w:val="16"/>
                <w:lang w:val="es-CO" w:eastAsia="es-CO"/>
              </w:rPr>
            </w:pPr>
            <w:r w:rsidRPr="00104F4B">
              <w:rPr>
                <w:rFonts w:cs="Arial"/>
                <w:color w:val="000000"/>
                <w:sz w:val="16"/>
                <w:szCs w:val="16"/>
                <w:lang w:val="es-CO" w:eastAsia="es-CO"/>
              </w:rPr>
              <w:t>1717-2014</w:t>
            </w:r>
          </w:p>
        </w:tc>
        <w:tc>
          <w:tcPr>
            <w:tcW w:w="3195" w:type="dxa"/>
            <w:tcBorders>
              <w:top w:val="nil"/>
              <w:left w:val="nil"/>
              <w:bottom w:val="single" w:sz="4" w:space="0" w:color="auto"/>
              <w:right w:val="single" w:sz="4" w:space="0" w:color="auto"/>
            </w:tcBorders>
            <w:shd w:val="clear" w:color="auto" w:fill="auto"/>
            <w:noWrap/>
            <w:vAlign w:val="bottom"/>
            <w:hideMark/>
          </w:tcPr>
          <w:p w:rsidR="00F53726" w:rsidRPr="00104F4B" w:rsidRDefault="00F53726" w:rsidP="0077150E">
            <w:pPr>
              <w:jc w:val="right"/>
              <w:rPr>
                <w:rFonts w:cs="Arial"/>
                <w:color w:val="000000"/>
                <w:sz w:val="16"/>
                <w:szCs w:val="16"/>
                <w:lang w:val="es-CO" w:eastAsia="es-CO"/>
              </w:rPr>
            </w:pPr>
            <w:r w:rsidRPr="00104F4B">
              <w:rPr>
                <w:rFonts w:cs="Arial"/>
                <w:color w:val="000000"/>
                <w:sz w:val="16"/>
                <w:szCs w:val="16"/>
                <w:lang w:val="es-CO" w:eastAsia="es-CO"/>
              </w:rPr>
              <w:t>21/05/2018</w:t>
            </w:r>
          </w:p>
        </w:tc>
      </w:tr>
      <w:tr w:rsidR="00F53726" w:rsidRPr="00104F4B" w:rsidTr="0077150E">
        <w:trPr>
          <w:trHeight w:val="300"/>
        </w:trPr>
        <w:tc>
          <w:tcPr>
            <w:tcW w:w="2805" w:type="dxa"/>
            <w:tcBorders>
              <w:top w:val="nil"/>
              <w:left w:val="single" w:sz="4" w:space="0" w:color="auto"/>
              <w:bottom w:val="single" w:sz="4" w:space="0" w:color="auto"/>
              <w:right w:val="single" w:sz="4" w:space="0" w:color="auto"/>
            </w:tcBorders>
            <w:shd w:val="clear" w:color="auto" w:fill="95B3D7"/>
            <w:noWrap/>
            <w:vAlign w:val="bottom"/>
            <w:hideMark/>
          </w:tcPr>
          <w:p w:rsidR="00F53726" w:rsidRPr="00104F4B" w:rsidRDefault="00F53726" w:rsidP="0077150E">
            <w:pPr>
              <w:rPr>
                <w:rFonts w:cs="Arial"/>
                <w:color w:val="000000"/>
                <w:sz w:val="16"/>
                <w:szCs w:val="16"/>
                <w:lang w:val="es-CO" w:eastAsia="es-CO"/>
              </w:rPr>
            </w:pPr>
            <w:r w:rsidRPr="00104F4B">
              <w:rPr>
                <w:rFonts w:cs="Arial"/>
                <w:color w:val="000000"/>
                <w:sz w:val="16"/>
                <w:szCs w:val="16"/>
                <w:lang w:val="es-CO" w:eastAsia="es-CO"/>
              </w:rPr>
              <w:t>796-2014 Y 1298-2014</w:t>
            </w:r>
          </w:p>
        </w:tc>
        <w:tc>
          <w:tcPr>
            <w:tcW w:w="3195" w:type="dxa"/>
            <w:tcBorders>
              <w:top w:val="nil"/>
              <w:left w:val="nil"/>
              <w:bottom w:val="single" w:sz="4" w:space="0" w:color="auto"/>
              <w:right w:val="single" w:sz="4" w:space="0" w:color="auto"/>
            </w:tcBorders>
            <w:shd w:val="clear" w:color="auto" w:fill="auto"/>
            <w:noWrap/>
            <w:vAlign w:val="bottom"/>
            <w:hideMark/>
          </w:tcPr>
          <w:p w:rsidR="00F53726" w:rsidRPr="00104F4B" w:rsidRDefault="00F53726" w:rsidP="0077150E">
            <w:pPr>
              <w:jc w:val="right"/>
              <w:rPr>
                <w:rFonts w:cs="Arial"/>
                <w:color w:val="000000"/>
                <w:sz w:val="16"/>
                <w:szCs w:val="16"/>
                <w:lang w:val="es-CO" w:eastAsia="es-CO"/>
              </w:rPr>
            </w:pPr>
            <w:r w:rsidRPr="00104F4B">
              <w:rPr>
                <w:rFonts w:cs="Arial"/>
                <w:color w:val="000000"/>
                <w:sz w:val="16"/>
                <w:szCs w:val="16"/>
                <w:lang w:val="es-CO" w:eastAsia="es-CO"/>
              </w:rPr>
              <w:t>20/11/2018</w:t>
            </w:r>
          </w:p>
        </w:tc>
      </w:tr>
    </w:tbl>
    <w:p w:rsidR="00F53726" w:rsidRPr="00104F4B" w:rsidRDefault="00F53726" w:rsidP="00F53726">
      <w:pPr>
        <w:rPr>
          <w:rFonts w:eastAsia="Calibri" w:cs="Arial"/>
          <w:sz w:val="16"/>
          <w:szCs w:val="16"/>
          <w:lang w:val="es-CO" w:eastAsia="en-US"/>
        </w:rPr>
      </w:pPr>
      <w:r w:rsidRPr="00104F4B">
        <w:rPr>
          <w:rFonts w:eastAsia="Calibri" w:cs="Arial"/>
          <w:sz w:val="16"/>
          <w:szCs w:val="16"/>
          <w:lang w:val="es-CO" w:eastAsia="en-US"/>
        </w:rPr>
        <w:t xml:space="preserve">                               Fuente: DTM </w:t>
      </w:r>
      <w:r w:rsidRPr="00104F4B">
        <w:rPr>
          <w:rFonts w:eastAsia="Calibri" w:cs="Arial"/>
          <w:b/>
          <w:sz w:val="16"/>
          <w:szCs w:val="16"/>
          <w:lang w:eastAsia="en-US"/>
        </w:rPr>
        <w:t xml:space="preserve">Tabla SGI - </w:t>
      </w:r>
      <w:r w:rsidRPr="00104F4B">
        <w:rPr>
          <w:rFonts w:eastAsia="Calibri" w:cs="Arial"/>
          <w:sz w:val="16"/>
          <w:szCs w:val="16"/>
          <w:lang w:val="es-CO" w:eastAsia="en-US"/>
        </w:rPr>
        <w:t>CONTRATOS DTM</w:t>
      </w:r>
    </w:p>
    <w:p w:rsidR="00F53726" w:rsidRPr="00104F4B" w:rsidRDefault="00F53726" w:rsidP="00F53726">
      <w:pPr>
        <w:jc w:val="center"/>
        <w:rPr>
          <w:rFonts w:eastAsia="Calibri" w:cs="Arial"/>
          <w:b/>
          <w:szCs w:val="22"/>
          <w:u w:val="single"/>
          <w:lang w:val="es-CO" w:eastAsia="en-US"/>
        </w:rPr>
      </w:pPr>
      <w:r w:rsidRPr="00104F4B">
        <w:rPr>
          <w:rFonts w:eastAsia="Calibri" w:cs="Arial"/>
          <w:noProof/>
          <w:szCs w:val="22"/>
          <w:lang w:val="es-CO" w:eastAsia="es-CO"/>
        </w:rPr>
        <w:drawing>
          <wp:inline distT="0" distB="0" distL="0" distR="0" wp14:anchorId="49F75BC6" wp14:editId="318896B8">
            <wp:extent cx="5374247" cy="1534601"/>
            <wp:effectExtent l="0" t="0" r="0" b="889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385460" cy="1537803"/>
                    </a:xfrm>
                    <a:prstGeom prst="rect">
                      <a:avLst/>
                    </a:prstGeom>
                    <a:noFill/>
                    <a:ln>
                      <a:noFill/>
                    </a:ln>
                  </pic:spPr>
                </pic:pic>
              </a:graphicData>
            </a:graphic>
          </wp:inline>
        </w:drawing>
      </w:r>
    </w:p>
    <w:p w:rsidR="00F53726" w:rsidRPr="00104F4B" w:rsidRDefault="00F53726" w:rsidP="00F53726">
      <w:pPr>
        <w:rPr>
          <w:rFonts w:eastAsia="Calibri" w:cs="Arial"/>
          <w:b/>
          <w:szCs w:val="22"/>
          <w:u w:val="single"/>
          <w:lang w:val="es-CO" w:eastAsia="en-US"/>
        </w:rPr>
      </w:pPr>
      <w:r w:rsidRPr="00104F4B">
        <w:rPr>
          <w:rFonts w:eastAsia="Calibri" w:cs="Arial"/>
          <w:noProof/>
          <w:szCs w:val="22"/>
          <w:lang w:val="es-CO" w:eastAsia="es-CO"/>
        </w:rPr>
        <w:lastRenderedPageBreak/>
        <w:drawing>
          <wp:inline distT="0" distB="0" distL="0" distR="0" wp14:anchorId="600AD7E0" wp14:editId="1B088DB6">
            <wp:extent cx="6194104" cy="5701085"/>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2">
                      <a:extLst>
                        <a:ext uri="{28A0092B-C50C-407E-A947-70E740481C1C}">
                          <a14:useLocalDpi xmlns:a14="http://schemas.microsoft.com/office/drawing/2010/main" val="0"/>
                        </a:ext>
                      </a:extLst>
                    </a:blip>
                    <a:srcRect r="8424"/>
                    <a:stretch/>
                  </pic:blipFill>
                  <pic:spPr bwMode="auto">
                    <a:xfrm>
                      <a:off x="0" y="0"/>
                      <a:ext cx="6240328" cy="5743630"/>
                    </a:xfrm>
                    <a:prstGeom prst="rect">
                      <a:avLst/>
                    </a:prstGeom>
                    <a:noFill/>
                    <a:ln>
                      <a:noFill/>
                    </a:ln>
                    <a:extLst>
                      <a:ext uri="{53640926-AAD7-44D8-BBD7-CCE9431645EC}">
                        <a14:shadowObscured xmlns:a14="http://schemas.microsoft.com/office/drawing/2010/main"/>
                      </a:ext>
                    </a:extLst>
                  </pic:spPr>
                </pic:pic>
              </a:graphicData>
            </a:graphic>
          </wp:inline>
        </w:drawing>
      </w:r>
    </w:p>
    <w:p w:rsidR="00F53726" w:rsidRPr="00104F4B" w:rsidRDefault="00F53726" w:rsidP="00F53726">
      <w:pPr>
        <w:rPr>
          <w:rFonts w:eastAsia="Calibri" w:cs="Arial"/>
          <w:sz w:val="16"/>
          <w:szCs w:val="16"/>
          <w:lang w:val="es-CO" w:eastAsia="en-US"/>
        </w:rPr>
      </w:pPr>
      <w:r w:rsidRPr="00104F4B">
        <w:rPr>
          <w:rFonts w:eastAsia="Calibri" w:cs="Arial"/>
          <w:b/>
          <w:sz w:val="16"/>
          <w:szCs w:val="16"/>
          <w:lang w:eastAsia="en-US"/>
        </w:rPr>
        <w:t xml:space="preserve">Tabla SGI - </w:t>
      </w:r>
      <w:r w:rsidRPr="00104F4B">
        <w:rPr>
          <w:rFonts w:eastAsia="Calibri" w:cs="Arial"/>
          <w:sz w:val="16"/>
          <w:szCs w:val="16"/>
          <w:lang w:val="es-CO" w:eastAsia="en-US"/>
        </w:rPr>
        <w:t>CONTRATOS DTM</w:t>
      </w:r>
      <w:r w:rsidR="009A4DDD" w:rsidRPr="00104F4B">
        <w:rPr>
          <w:rFonts w:eastAsia="Calibri" w:cs="Arial"/>
          <w:sz w:val="16"/>
          <w:szCs w:val="16"/>
          <w:lang w:val="es-CO" w:eastAsia="en-US"/>
        </w:rPr>
        <w:t xml:space="preserve"> - </w:t>
      </w:r>
      <w:r w:rsidRPr="00104F4B">
        <w:rPr>
          <w:rFonts w:eastAsia="Calibri" w:cs="Arial"/>
          <w:sz w:val="16"/>
          <w:szCs w:val="16"/>
          <w:lang w:val="es-CO" w:eastAsia="en-US"/>
        </w:rPr>
        <w:t>Fuente: DTM</w:t>
      </w:r>
    </w:p>
    <w:p w:rsidR="00853E0B" w:rsidRPr="00104F4B" w:rsidRDefault="00047E20" w:rsidP="00047E20">
      <w:pPr>
        <w:pStyle w:val="Ttulo1"/>
        <w:rPr>
          <w:rFonts w:ascii="Arial" w:hAnsi="Arial" w:cs="Arial"/>
          <w:sz w:val="22"/>
          <w:szCs w:val="22"/>
        </w:rPr>
      </w:pPr>
      <w:bookmarkStart w:id="65" w:name="_Toc536195554"/>
      <w:r w:rsidRPr="00104F4B">
        <w:rPr>
          <w:rFonts w:ascii="Arial" w:hAnsi="Arial" w:cs="Arial"/>
          <w:sz w:val="22"/>
          <w:szCs w:val="22"/>
        </w:rPr>
        <w:t xml:space="preserve">5.1.3 </w:t>
      </w:r>
      <w:r w:rsidR="00853E0B" w:rsidRPr="00104F4B">
        <w:rPr>
          <w:rFonts w:ascii="Arial" w:hAnsi="Arial" w:cs="Arial"/>
          <w:sz w:val="22"/>
          <w:szCs w:val="22"/>
        </w:rPr>
        <w:t>Dirección Técnica de Construcciones</w:t>
      </w:r>
      <w:bookmarkEnd w:id="65"/>
    </w:p>
    <w:p w:rsidR="00853E0B" w:rsidRPr="00104F4B" w:rsidRDefault="00853E0B" w:rsidP="00853E0B">
      <w:pPr>
        <w:ind w:left="284"/>
        <w:rPr>
          <w:rFonts w:cs="Arial"/>
          <w:szCs w:val="22"/>
        </w:rPr>
      </w:pPr>
    </w:p>
    <w:p w:rsidR="00853E0B" w:rsidRPr="00104F4B" w:rsidRDefault="00853E0B" w:rsidP="00853E0B">
      <w:pPr>
        <w:spacing w:after="160" w:line="259" w:lineRule="auto"/>
        <w:rPr>
          <w:rFonts w:eastAsia="Calibri" w:cs="Arial"/>
          <w:szCs w:val="22"/>
          <w:lang w:val="es-CO" w:eastAsia="en-US"/>
        </w:rPr>
      </w:pPr>
      <w:r w:rsidRPr="00104F4B">
        <w:rPr>
          <w:rFonts w:eastAsia="Calibri" w:cs="Arial"/>
          <w:szCs w:val="22"/>
          <w:lang w:val="es-CO" w:eastAsia="en-US"/>
        </w:rPr>
        <w:t>Las gestiones realizadas por la DTC desde la STESV y la STEST son:</w:t>
      </w:r>
    </w:p>
    <w:p w:rsidR="009F1996" w:rsidRPr="00104F4B" w:rsidRDefault="009F1996" w:rsidP="009F1996">
      <w:pPr>
        <w:rPr>
          <w:rFonts w:cs="Arial"/>
          <w:szCs w:val="22"/>
          <w:lang w:val="es-CO"/>
        </w:rPr>
      </w:pPr>
    </w:p>
    <w:p w:rsidR="00853E0B" w:rsidRPr="00104F4B" w:rsidRDefault="00853E0B" w:rsidP="00853E0B">
      <w:pPr>
        <w:spacing w:after="200" w:line="276" w:lineRule="auto"/>
        <w:ind w:left="405"/>
        <w:contextualSpacing/>
        <w:rPr>
          <w:rFonts w:eastAsia="Calibri" w:cs="Arial"/>
          <w:b/>
          <w:szCs w:val="22"/>
          <w:lang w:val="es-CO" w:eastAsia="en-US"/>
        </w:rPr>
      </w:pPr>
    </w:p>
    <w:p w:rsidR="00853E0B" w:rsidRPr="00104F4B" w:rsidRDefault="00853E0B" w:rsidP="00853E0B">
      <w:pPr>
        <w:spacing w:after="200" w:line="276" w:lineRule="auto"/>
        <w:contextualSpacing/>
        <w:jc w:val="center"/>
        <w:rPr>
          <w:rFonts w:eastAsia="Calibri" w:cs="Arial"/>
          <w:szCs w:val="22"/>
          <w:lang w:val="es-CO" w:eastAsia="en-US"/>
        </w:rPr>
      </w:pPr>
      <w:r w:rsidRPr="00104F4B">
        <w:rPr>
          <w:rFonts w:eastAsia="Calibri" w:cs="Arial"/>
          <w:noProof/>
          <w:szCs w:val="22"/>
          <w:lang w:val="es-CO" w:eastAsia="es-CO"/>
        </w:rPr>
        <w:lastRenderedPageBreak/>
        <w:drawing>
          <wp:inline distT="0" distB="0" distL="0" distR="0" wp14:anchorId="6A71A54B">
            <wp:extent cx="4113911" cy="2345635"/>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120812" cy="2349570"/>
                    </a:xfrm>
                    <a:prstGeom prst="rect">
                      <a:avLst/>
                    </a:prstGeom>
                    <a:noFill/>
                  </pic:spPr>
                </pic:pic>
              </a:graphicData>
            </a:graphic>
          </wp:inline>
        </w:drawing>
      </w:r>
    </w:p>
    <w:p w:rsidR="00853E0B" w:rsidRPr="00104F4B" w:rsidRDefault="00853E0B" w:rsidP="00853E0B">
      <w:pPr>
        <w:spacing w:after="200" w:line="276" w:lineRule="auto"/>
        <w:contextualSpacing/>
        <w:rPr>
          <w:rFonts w:eastAsia="Calibri" w:cs="Arial"/>
          <w:szCs w:val="22"/>
          <w:lang w:val="es-CO" w:eastAsia="en-US"/>
        </w:rPr>
      </w:pPr>
    </w:p>
    <w:p w:rsidR="00853E0B" w:rsidRPr="00104F4B" w:rsidRDefault="00853E0B" w:rsidP="00853E0B">
      <w:pPr>
        <w:spacing w:after="200" w:line="276" w:lineRule="auto"/>
        <w:contextualSpacing/>
        <w:rPr>
          <w:rFonts w:eastAsia="Calibri" w:cs="Arial"/>
          <w:szCs w:val="22"/>
          <w:lang w:val="es-CO" w:eastAsia="en-US"/>
        </w:rPr>
      </w:pPr>
      <w:r w:rsidRPr="00104F4B">
        <w:rPr>
          <w:rFonts w:eastAsia="Calibri" w:cs="Arial"/>
          <w:szCs w:val="22"/>
          <w:lang w:val="es-CO" w:eastAsia="en-US"/>
        </w:rPr>
        <w:t xml:space="preserve">En el cumplimiento de las funciones se relaciona en la tabla a continuación la gestión en los contratos supervisados por la </w:t>
      </w:r>
      <w:r w:rsidRPr="00104F4B">
        <w:rPr>
          <w:rFonts w:eastAsia="Calibri" w:cs="Arial"/>
          <w:b/>
          <w:szCs w:val="22"/>
          <w:lang w:val="es-CO" w:eastAsia="en-US"/>
        </w:rPr>
        <w:t xml:space="preserve">DTC </w:t>
      </w:r>
      <w:r w:rsidRPr="00104F4B">
        <w:rPr>
          <w:rFonts w:eastAsia="Calibri" w:cs="Arial"/>
          <w:szCs w:val="22"/>
          <w:lang w:val="es-CO" w:eastAsia="en-US"/>
        </w:rPr>
        <w:t>en la vigencia del año 2018.</w:t>
      </w:r>
    </w:p>
    <w:p w:rsidR="00853E0B" w:rsidRPr="00104F4B" w:rsidRDefault="00853E0B" w:rsidP="00853E0B">
      <w:pPr>
        <w:spacing w:after="200" w:line="276" w:lineRule="auto"/>
        <w:contextualSpacing/>
        <w:rPr>
          <w:rFonts w:eastAsia="Calibri" w:cs="Arial"/>
          <w:szCs w:val="22"/>
          <w:lang w:val="es-CO" w:eastAsia="en-US"/>
        </w:rPr>
      </w:pPr>
    </w:p>
    <w:p w:rsidR="00853E0B" w:rsidRPr="00104F4B" w:rsidRDefault="00853E0B" w:rsidP="00853E0B">
      <w:pPr>
        <w:spacing w:after="200" w:line="276" w:lineRule="auto"/>
        <w:contextualSpacing/>
        <w:rPr>
          <w:rFonts w:eastAsia="Calibri" w:cs="Arial"/>
          <w:sz w:val="16"/>
          <w:szCs w:val="16"/>
          <w:lang w:val="es-CO" w:eastAsia="en-US"/>
        </w:rPr>
      </w:pPr>
      <w:r w:rsidRPr="00104F4B">
        <w:rPr>
          <w:rFonts w:eastAsia="Calibri" w:cs="Arial"/>
          <w:b/>
          <w:sz w:val="16"/>
          <w:szCs w:val="16"/>
          <w:lang w:val="es-CO" w:eastAsia="en-US"/>
        </w:rPr>
        <w:t>Tabla DTC</w:t>
      </w:r>
      <w:r w:rsidRPr="00104F4B">
        <w:rPr>
          <w:rFonts w:eastAsia="Calibri" w:cs="Arial"/>
          <w:sz w:val="16"/>
          <w:szCs w:val="16"/>
          <w:lang w:val="es-CO" w:eastAsia="en-US"/>
        </w:rPr>
        <w:t xml:space="preserve"> – Seguimiento contratos Consolidado vigencia 2018</w:t>
      </w:r>
    </w:p>
    <w:tbl>
      <w:tblPr>
        <w:tblW w:w="9498" w:type="dxa"/>
        <w:tblInd w:w="-10" w:type="dxa"/>
        <w:tblCellMar>
          <w:left w:w="70" w:type="dxa"/>
          <w:right w:w="70" w:type="dxa"/>
        </w:tblCellMar>
        <w:tblLook w:val="04A0" w:firstRow="1" w:lastRow="0" w:firstColumn="1" w:lastColumn="0" w:noHBand="0" w:noVBand="1"/>
      </w:tblPr>
      <w:tblGrid>
        <w:gridCol w:w="5387"/>
        <w:gridCol w:w="4111"/>
      </w:tblGrid>
      <w:tr w:rsidR="00853E0B" w:rsidRPr="00104F4B" w:rsidTr="00853E0B">
        <w:trPr>
          <w:cantSplit/>
          <w:trHeight w:val="501"/>
        </w:trPr>
        <w:tc>
          <w:tcPr>
            <w:tcW w:w="5387" w:type="dxa"/>
            <w:tcBorders>
              <w:top w:val="single" w:sz="8" w:space="0" w:color="auto"/>
              <w:left w:val="single" w:sz="8" w:space="0" w:color="auto"/>
              <w:bottom w:val="single" w:sz="4" w:space="0" w:color="auto"/>
              <w:right w:val="single" w:sz="4" w:space="0" w:color="auto"/>
            </w:tcBorders>
            <w:shd w:val="clear" w:color="auto" w:fill="auto"/>
            <w:noWrap/>
            <w:vAlign w:val="center"/>
          </w:tcPr>
          <w:p w:rsidR="00853E0B" w:rsidRPr="00104F4B" w:rsidRDefault="00853E0B" w:rsidP="00067EA9">
            <w:pPr>
              <w:rPr>
                <w:rFonts w:cs="Arial"/>
                <w:color w:val="000000"/>
                <w:szCs w:val="22"/>
                <w:lang w:eastAsia="es-CO"/>
              </w:rPr>
            </w:pPr>
            <w:r w:rsidRPr="00104F4B">
              <w:rPr>
                <w:rFonts w:cs="Arial"/>
                <w:color w:val="000000"/>
                <w:szCs w:val="22"/>
                <w:lang w:eastAsia="es-CO"/>
              </w:rPr>
              <w:t>Seguimiento Inicio contratos para construcción</w:t>
            </w:r>
          </w:p>
        </w:tc>
        <w:tc>
          <w:tcPr>
            <w:tcW w:w="4111" w:type="dxa"/>
            <w:tcBorders>
              <w:top w:val="single" w:sz="8" w:space="0" w:color="auto"/>
              <w:left w:val="nil"/>
              <w:bottom w:val="single" w:sz="4" w:space="0" w:color="auto"/>
              <w:right w:val="single" w:sz="8" w:space="0" w:color="auto"/>
            </w:tcBorders>
            <w:shd w:val="clear" w:color="auto" w:fill="auto"/>
            <w:noWrap/>
            <w:vAlign w:val="bottom"/>
          </w:tcPr>
          <w:p w:rsidR="00853E0B" w:rsidRPr="00104F4B" w:rsidRDefault="00853E0B" w:rsidP="00853E0B">
            <w:pPr>
              <w:jc w:val="center"/>
              <w:rPr>
                <w:rFonts w:cs="Arial"/>
                <w:color w:val="000000"/>
                <w:szCs w:val="22"/>
                <w:lang w:eastAsia="es-CO"/>
              </w:rPr>
            </w:pPr>
            <w:r w:rsidRPr="00104F4B">
              <w:rPr>
                <w:rFonts w:cs="Arial"/>
                <w:color w:val="000000"/>
                <w:szCs w:val="22"/>
                <w:lang w:eastAsia="es-CO"/>
              </w:rPr>
              <w:t>8</w:t>
            </w:r>
          </w:p>
        </w:tc>
      </w:tr>
      <w:tr w:rsidR="00853E0B" w:rsidRPr="00104F4B" w:rsidTr="00853E0B">
        <w:trPr>
          <w:cantSplit/>
          <w:trHeight w:val="340"/>
        </w:trPr>
        <w:tc>
          <w:tcPr>
            <w:tcW w:w="5387"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853E0B" w:rsidRPr="00104F4B" w:rsidRDefault="00853E0B" w:rsidP="00067EA9">
            <w:pPr>
              <w:rPr>
                <w:rFonts w:cs="Arial"/>
                <w:color w:val="000000"/>
                <w:szCs w:val="22"/>
                <w:lang w:eastAsia="es-CO"/>
              </w:rPr>
            </w:pPr>
            <w:r w:rsidRPr="00104F4B">
              <w:rPr>
                <w:rFonts w:cs="Arial"/>
                <w:color w:val="000000"/>
                <w:szCs w:val="22"/>
                <w:lang w:eastAsia="es-CO"/>
              </w:rPr>
              <w:t>Contratos iniciados para construcción</w:t>
            </w:r>
          </w:p>
        </w:tc>
        <w:tc>
          <w:tcPr>
            <w:tcW w:w="4111" w:type="dxa"/>
            <w:tcBorders>
              <w:top w:val="single" w:sz="8" w:space="0" w:color="auto"/>
              <w:left w:val="nil"/>
              <w:bottom w:val="single" w:sz="4" w:space="0" w:color="auto"/>
              <w:right w:val="single" w:sz="8" w:space="0" w:color="auto"/>
            </w:tcBorders>
            <w:shd w:val="clear" w:color="auto" w:fill="auto"/>
            <w:noWrap/>
            <w:vAlign w:val="bottom"/>
            <w:hideMark/>
          </w:tcPr>
          <w:p w:rsidR="00853E0B" w:rsidRPr="00104F4B" w:rsidRDefault="00853E0B" w:rsidP="00067EA9">
            <w:pPr>
              <w:jc w:val="center"/>
              <w:rPr>
                <w:rFonts w:cs="Arial"/>
                <w:color w:val="000000"/>
                <w:szCs w:val="22"/>
                <w:lang w:eastAsia="es-CO"/>
              </w:rPr>
            </w:pPr>
            <w:r w:rsidRPr="00104F4B">
              <w:rPr>
                <w:rFonts w:cs="Arial"/>
                <w:color w:val="000000"/>
                <w:szCs w:val="22"/>
                <w:lang w:eastAsia="es-CO"/>
              </w:rPr>
              <w:t>8</w:t>
            </w:r>
          </w:p>
        </w:tc>
      </w:tr>
      <w:tr w:rsidR="00853E0B" w:rsidRPr="00104F4B" w:rsidTr="00853E0B">
        <w:trPr>
          <w:cantSplit/>
          <w:trHeight w:val="161"/>
        </w:trPr>
        <w:tc>
          <w:tcPr>
            <w:tcW w:w="5387" w:type="dxa"/>
            <w:tcBorders>
              <w:top w:val="nil"/>
              <w:left w:val="single" w:sz="8" w:space="0" w:color="auto"/>
              <w:bottom w:val="single" w:sz="4" w:space="0" w:color="auto"/>
              <w:right w:val="single" w:sz="4" w:space="0" w:color="auto"/>
            </w:tcBorders>
            <w:shd w:val="clear" w:color="auto" w:fill="auto"/>
            <w:noWrap/>
            <w:vAlign w:val="center"/>
            <w:hideMark/>
          </w:tcPr>
          <w:p w:rsidR="00853E0B" w:rsidRPr="00104F4B" w:rsidRDefault="00853E0B" w:rsidP="00067EA9">
            <w:pPr>
              <w:rPr>
                <w:rFonts w:cs="Arial"/>
                <w:color w:val="000000"/>
                <w:szCs w:val="22"/>
                <w:lang w:eastAsia="es-CO"/>
              </w:rPr>
            </w:pPr>
            <w:r w:rsidRPr="00104F4B">
              <w:rPr>
                <w:rFonts w:cs="Arial"/>
                <w:color w:val="000000"/>
                <w:szCs w:val="22"/>
                <w:lang w:eastAsia="es-CO"/>
              </w:rPr>
              <w:t>Contratos en ejecución</w:t>
            </w:r>
          </w:p>
        </w:tc>
        <w:tc>
          <w:tcPr>
            <w:tcW w:w="4111" w:type="dxa"/>
            <w:tcBorders>
              <w:top w:val="nil"/>
              <w:left w:val="nil"/>
              <w:bottom w:val="single" w:sz="4" w:space="0" w:color="auto"/>
              <w:right w:val="single" w:sz="8" w:space="0" w:color="auto"/>
            </w:tcBorders>
            <w:shd w:val="clear" w:color="auto" w:fill="auto"/>
            <w:noWrap/>
            <w:vAlign w:val="bottom"/>
            <w:hideMark/>
          </w:tcPr>
          <w:p w:rsidR="00853E0B" w:rsidRPr="00104F4B" w:rsidRDefault="00853E0B" w:rsidP="00067EA9">
            <w:pPr>
              <w:jc w:val="center"/>
              <w:rPr>
                <w:rFonts w:cs="Arial"/>
                <w:color w:val="000000"/>
                <w:szCs w:val="22"/>
                <w:lang w:eastAsia="es-CO"/>
              </w:rPr>
            </w:pPr>
            <w:r w:rsidRPr="00104F4B">
              <w:rPr>
                <w:rFonts w:cs="Arial"/>
                <w:color w:val="000000"/>
                <w:szCs w:val="22"/>
                <w:lang w:eastAsia="es-CO"/>
              </w:rPr>
              <w:t>27</w:t>
            </w:r>
          </w:p>
        </w:tc>
      </w:tr>
      <w:tr w:rsidR="00853E0B" w:rsidRPr="00104F4B" w:rsidTr="00853E0B">
        <w:trPr>
          <w:cantSplit/>
          <w:trHeight w:val="340"/>
        </w:trPr>
        <w:tc>
          <w:tcPr>
            <w:tcW w:w="5387" w:type="dxa"/>
            <w:tcBorders>
              <w:top w:val="nil"/>
              <w:left w:val="single" w:sz="8" w:space="0" w:color="auto"/>
              <w:bottom w:val="single" w:sz="4" w:space="0" w:color="auto"/>
              <w:right w:val="single" w:sz="4" w:space="0" w:color="auto"/>
            </w:tcBorders>
            <w:shd w:val="clear" w:color="000000" w:fill="D9D9D9"/>
            <w:noWrap/>
            <w:vAlign w:val="bottom"/>
            <w:hideMark/>
          </w:tcPr>
          <w:p w:rsidR="00853E0B" w:rsidRPr="00104F4B" w:rsidRDefault="00853E0B" w:rsidP="00067EA9">
            <w:pPr>
              <w:rPr>
                <w:rFonts w:cs="Arial"/>
                <w:color w:val="000000"/>
                <w:szCs w:val="22"/>
                <w:lang w:eastAsia="es-CO"/>
              </w:rPr>
            </w:pPr>
            <w:r w:rsidRPr="00104F4B">
              <w:rPr>
                <w:rFonts w:cs="Arial"/>
                <w:color w:val="000000"/>
                <w:szCs w:val="22"/>
                <w:lang w:eastAsia="es-CO"/>
              </w:rPr>
              <w:t>Contratos seguimiento ED</w:t>
            </w:r>
          </w:p>
        </w:tc>
        <w:tc>
          <w:tcPr>
            <w:tcW w:w="4111" w:type="dxa"/>
            <w:tcBorders>
              <w:top w:val="nil"/>
              <w:left w:val="nil"/>
              <w:bottom w:val="single" w:sz="4" w:space="0" w:color="auto"/>
              <w:right w:val="single" w:sz="8" w:space="0" w:color="auto"/>
            </w:tcBorders>
            <w:shd w:val="clear" w:color="000000" w:fill="D9D9D9"/>
            <w:noWrap/>
            <w:vAlign w:val="bottom"/>
            <w:hideMark/>
          </w:tcPr>
          <w:p w:rsidR="00853E0B" w:rsidRPr="00104F4B" w:rsidRDefault="00853E0B" w:rsidP="00067EA9">
            <w:pPr>
              <w:jc w:val="center"/>
              <w:rPr>
                <w:rFonts w:cs="Arial"/>
                <w:color w:val="000000"/>
                <w:szCs w:val="22"/>
                <w:lang w:eastAsia="es-CO"/>
              </w:rPr>
            </w:pPr>
            <w:r w:rsidRPr="00104F4B">
              <w:rPr>
                <w:rFonts w:cs="Arial"/>
                <w:color w:val="000000"/>
                <w:szCs w:val="22"/>
                <w:lang w:eastAsia="es-CO"/>
              </w:rPr>
              <w:t>24</w:t>
            </w:r>
          </w:p>
        </w:tc>
      </w:tr>
      <w:tr w:rsidR="00853E0B" w:rsidRPr="00104F4B" w:rsidTr="00853E0B">
        <w:trPr>
          <w:cantSplit/>
          <w:trHeight w:val="340"/>
        </w:trPr>
        <w:tc>
          <w:tcPr>
            <w:tcW w:w="5387" w:type="dxa"/>
            <w:tcBorders>
              <w:top w:val="nil"/>
              <w:left w:val="single" w:sz="8" w:space="0" w:color="auto"/>
              <w:bottom w:val="single" w:sz="4" w:space="0" w:color="auto"/>
              <w:right w:val="single" w:sz="4" w:space="0" w:color="auto"/>
            </w:tcBorders>
            <w:shd w:val="clear" w:color="auto" w:fill="auto"/>
            <w:noWrap/>
            <w:vAlign w:val="center"/>
            <w:hideMark/>
          </w:tcPr>
          <w:p w:rsidR="00853E0B" w:rsidRPr="00104F4B" w:rsidRDefault="00853E0B" w:rsidP="00067EA9">
            <w:pPr>
              <w:rPr>
                <w:rFonts w:cs="Arial"/>
                <w:color w:val="000000"/>
                <w:szCs w:val="22"/>
                <w:lang w:eastAsia="es-CO"/>
              </w:rPr>
            </w:pPr>
            <w:r w:rsidRPr="00104F4B">
              <w:rPr>
                <w:rFonts w:cs="Arial"/>
                <w:color w:val="000000"/>
                <w:szCs w:val="22"/>
                <w:lang w:eastAsia="es-CO"/>
              </w:rPr>
              <w:t>Contratos Terminados</w:t>
            </w:r>
          </w:p>
        </w:tc>
        <w:tc>
          <w:tcPr>
            <w:tcW w:w="4111" w:type="dxa"/>
            <w:tcBorders>
              <w:top w:val="nil"/>
              <w:left w:val="nil"/>
              <w:bottom w:val="single" w:sz="4" w:space="0" w:color="auto"/>
              <w:right w:val="single" w:sz="8" w:space="0" w:color="auto"/>
            </w:tcBorders>
            <w:shd w:val="clear" w:color="auto" w:fill="auto"/>
            <w:noWrap/>
            <w:vAlign w:val="bottom"/>
            <w:hideMark/>
          </w:tcPr>
          <w:p w:rsidR="00853E0B" w:rsidRPr="00104F4B" w:rsidRDefault="00853E0B" w:rsidP="00067EA9">
            <w:pPr>
              <w:jc w:val="center"/>
              <w:rPr>
                <w:rFonts w:cs="Arial"/>
                <w:color w:val="000000"/>
                <w:szCs w:val="22"/>
                <w:lang w:eastAsia="es-CO"/>
              </w:rPr>
            </w:pPr>
            <w:r w:rsidRPr="00104F4B">
              <w:rPr>
                <w:rFonts w:cs="Arial"/>
                <w:color w:val="000000"/>
                <w:szCs w:val="22"/>
                <w:lang w:eastAsia="es-CO"/>
              </w:rPr>
              <w:t>10</w:t>
            </w:r>
          </w:p>
        </w:tc>
      </w:tr>
      <w:tr w:rsidR="00853E0B" w:rsidRPr="00104F4B" w:rsidTr="00853E0B">
        <w:trPr>
          <w:cantSplit/>
          <w:trHeight w:val="340"/>
        </w:trPr>
        <w:tc>
          <w:tcPr>
            <w:tcW w:w="5387" w:type="dxa"/>
            <w:tcBorders>
              <w:top w:val="nil"/>
              <w:left w:val="single" w:sz="8" w:space="0" w:color="auto"/>
              <w:bottom w:val="single" w:sz="4" w:space="0" w:color="auto"/>
              <w:right w:val="single" w:sz="4" w:space="0" w:color="auto"/>
            </w:tcBorders>
            <w:shd w:val="clear" w:color="auto" w:fill="auto"/>
            <w:noWrap/>
            <w:vAlign w:val="center"/>
          </w:tcPr>
          <w:p w:rsidR="00853E0B" w:rsidRPr="00104F4B" w:rsidRDefault="00853E0B" w:rsidP="00067EA9">
            <w:pPr>
              <w:rPr>
                <w:rFonts w:cs="Arial"/>
                <w:color w:val="000000"/>
                <w:szCs w:val="22"/>
                <w:lang w:eastAsia="es-CO"/>
              </w:rPr>
            </w:pPr>
            <w:r w:rsidRPr="00104F4B">
              <w:rPr>
                <w:rFonts w:cs="Arial"/>
                <w:color w:val="000000"/>
                <w:szCs w:val="22"/>
                <w:lang w:eastAsia="es-CO"/>
              </w:rPr>
              <w:t>Seguimiento contratos con Recibo Final</w:t>
            </w:r>
          </w:p>
        </w:tc>
        <w:tc>
          <w:tcPr>
            <w:tcW w:w="4111" w:type="dxa"/>
            <w:tcBorders>
              <w:top w:val="nil"/>
              <w:left w:val="nil"/>
              <w:bottom w:val="single" w:sz="4" w:space="0" w:color="auto"/>
              <w:right w:val="single" w:sz="8" w:space="0" w:color="auto"/>
            </w:tcBorders>
            <w:shd w:val="clear" w:color="auto" w:fill="auto"/>
            <w:noWrap/>
            <w:vAlign w:val="bottom"/>
          </w:tcPr>
          <w:p w:rsidR="00853E0B" w:rsidRPr="00104F4B" w:rsidRDefault="00853E0B" w:rsidP="00067EA9">
            <w:pPr>
              <w:jc w:val="center"/>
              <w:rPr>
                <w:rFonts w:cs="Arial"/>
                <w:color w:val="000000"/>
                <w:szCs w:val="22"/>
                <w:lang w:eastAsia="es-CO"/>
              </w:rPr>
            </w:pPr>
            <w:r w:rsidRPr="00104F4B">
              <w:rPr>
                <w:rFonts w:cs="Arial"/>
                <w:color w:val="000000"/>
                <w:szCs w:val="22"/>
                <w:lang w:eastAsia="es-CO"/>
              </w:rPr>
              <w:t>6</w:t>
            </w:r>
          </w:p>
        </w:tc>
      </w:tr>
      <w:tr w:rsidR="00853E0B" w:rsidRPr="00104F4B" w:rsidTr="00853E0B">
        <w:trPr>
          <w:cantSplit/>
          <w:trHeight w:val="340"/>
        </w:trPr>
        <w:tc>
          <w:tcPr>
            <w:tcW w:w="5387"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853E0B" w:rsidRPr="00104F4B" w:rsidRDefault="00853E0B" w:rsidP="00067EA9">
            <w:pPr>
              <w:rPr>
                <w:rFonts w:cs="Arial"/>
                <w:color w:val="000000"/>
                <w:szCs w:val="22"/>
                <w:lang w:eastAsia="es-CO"/>
              </w:rPr>
            </w:pPr>
            <w:r w:rsidRPr="00104F4B">
              <w:rPr>
                <w:rFonts w:cs="Arial"/>
                <w:color w:val="000000"/>
                <w:szCs w:val="22"/>
                <w:lang w:eastAsia="es-CO"/>
              </w:rPr>
              <w:t>Seguimiento contratos en Liquidación</w:t>
            </w:r>
          </w:p>
        </w:tc>
        <w:tc>
          <w:tcPr>
            <w:tcW w:w="4111"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853E0B" w:rsidRPr="00104F4B" w:rsidRDefault="00853E0B" w:rsidP="00067EA9">
            <w:pPr>
              <w:spacing w:after="160" w:line="259" w:lineRule="auto"/>
              <w:jc w:val="center"/>
              <w:rPr>
                <w:rFonts w:cs="Arial"/>
                <w:color w:val="000000"/>
                <w:szCs w:val="22"/>
                <w:lang w:eastAsia="es-CO"/>
              </w:rPr>
            </w:pPr>
            <w:r w:rsidRPr="00104F4B">
              <w:rPr>
                <w:rFonts w:cs="Arial"/>
                <w:color w:val="000000"/>
                <w:szCs w:val="22"/>
                <w:lang w:eastAsia="es-CO"/>
              </w:rPr>
              <w:t>68</w:t>
            </w:r>
          </w:p>
        </w:tc>
      </w:tr>
      <w:tr w:rsidR="00853E0B" w:rsidRPr="00104F4B" w:rsidTr="00853E0B">
        <w:trPr>
          <w:cantSplit/>
          <w:trHeight w:val="340"/>
        </w:trPr>
        <w:tc>
          <w:tcPr>
            <w:tcW w:w="53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53E0B" w:rsidRPr="00104F4B" w:rsidRDefault="00853E0B" w:rsidP="00067EA9">
            <w:pPr>
              <w:rPr>
                <w:rFonts w:cs="Arial"/>
                <w:color w:val="000000"/>
                <w:szCs w:val="22"/>
                <w:lang w:eastAsia="es-CO"/>
              </w:rPr>
            </w:pPr>
            <w:r w:rsidRPr="00104F4B">
              <w:rPr>
                <w:rFonts w:cs="Arial"/>
                <w:color w:val="000000"/>
                <w:szCs w:val="22"/>
                <w:lang w:eastAsia="es-CO"/>
              </w:rPr>
              <w:t>Contratos Liquidados</w:t>
            </w:r>
          </w:p>
        </w:tc>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3E0B" w:rsidRPr="00104F4B" w:rsidRDefault="00853E0B" w:rsidP="00853E0B">
            <w:pPr>
              <w:jc w:val="center"/>
              <w:rPr>
                <w:rFonts w:cs="Arial"/>
                <w:color w:val="000000"/>
                <w:szCs w:val="22"/>
                <w:lang w:eastAsia="es-CO"/>
              </w:rPr>
            </w:pPr>
            <w:r w:rsidRPr="00104F4B">
              <w:rPr>
                <w:rFonts w:cs="Arial"/>
                <w:color w:val="000000"/>
                <w:szCs w:val="22"/>
                <w:lang w:eastAsia="es-CO"/>
              </w:rPr>
              <w:t>14</w:t>
            </w:r>
          </w:p>
        </w:tc>
      </w:tr>
      <w:tr w:rsidR="00853E0B" w:rsidRPr="00104F4B" w:rsidTr="00853E0B">
        <w:trPr>
          <w:cantSplit/>
          <w:trHeight w:val="340"/>
        </w:trPr>
        <w:tc>
          <w:tcPr>
            <w:tcW w:w="5387" w:type="dxa"/>
            <w:tcBorders>
              <w:top w:val="single" w:sz="4" w:space="0" w:color="auto"/>
              <w:left w:val="single" w:sz="4" w:space="0" w:color="auto"/>
              <w:bottom w:val="single" w:sz="4" w:space="0" w:color="auto"/>
              <w:right w:val="single" w:sz="4" w:space="0" w:color="auto"/>
            </w:tcBorders>
            <w:shd w:val="clear" w:color="auto" w:fill="auto"/>
            <w:noWrap/>
            <w:vAlign w:val="bottom"/>
          </w:tcPr>
          <w:p w:rsidR="00853E0B" w:rsidRPr="00104F4B" w:rsidRDefault="00853E0B" w:rsidP="00067EA9">
            <w:pPr>
              <w:rPr>
                <w:rFonts w:cs="Arial"/>
                <w:color w:val="000000"/>
                <w:szCs w:val="22"/>
                <w:lang w:eastAsia="es-CO"/>
              </w:rPr>
            </w:pPr>
            <w:r w:rsidRPr="00104F4B">
              <w:rPr>
                <w:rFonts w:cs="Arial"/>
                <w:color w:val="000000"/>
                <w:szCs w:val="22"/>
                <w:lang w:eastAsia="es-CO"/>
              </w:rPr>
              <w:t>Seguimiento Convenios Mixtos</w:t>
            </w:r>
          </w:p>
        </w:tc>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853E0B" w:rsidRPr="00104F4B" w:rsidRDefault="00853E0B" w:rsidP="00067EA9">
            <w:pPr>
              <w:jc w:val="center"/>
              <w:rPr>
                <w:rFonts w:cs="Arial"/>
                <w:color w:val="000000"/>
                <w:szCs w:val="22"/>
                <w:lang w:eastAsia="es-CO"/>
              </w:rPr>
            </w:pPr>
            <w:r w:rsidRPr="00104F4B">
              <w:rPr>
                <w:rFonts w:cs="Arial"/>
                <w:color w:val="000000"/>
                <w:szCs w:val="22"/>
                <w:lang w:eastAsia="es-CO"/>
              </w:rPr>
              <w:t>6</w:t>
            </w:r>
          </w:p>
        </w:tc>
      </w:tr>
      <w:tr w:rsidR="00853E0B" w:rsidRPr="00104F4B" w:rsidTr="00853E0B">
        <w:trPr>
          <w:cantSplit/>
          <w:trHeight w:val="340"/>
        </w:trPr>
        <w:tc>
          <w:tcPr>
            <w:tcW w:w="5387" w:type="dxa"/>
            <w:tcBorders>
              <w:top w:val="single" w:sz="4" w:space="0" w:color="auto"/>
              <w:left w:val="single" w:sz="4" w:space="0" w:color="auto"/>
              <w:bottom w:val="single" w:sz="4" w:space="0" w:color="auto"/>
              <w:right w:val="single" w:sz="4" w:space="0" w:color="auto"/>
            </w:tcBorders>
            <w:shd w:val="clear" w:color="auto" w:fill="auto"/>
            <w:noWrap/>
            <w:vAlign w:val="bottom"/>
          </w:tcPr>
          <w:p w:rsidR="00853E0B" w:rsidRPr="00104F4B" w:rsidRDefault="00853E0B" w:rsidP="00067EA9">
            <w:pPr>
              <w:rPr>
                <w:rFonts w:cs="Arial"/>
                <w:color w:val="000000"/>
                <w:szCs w:val="22"/>
                <w:lang w:eastAsia="es-CO"/>
              </w:rPr>
            </w:pPr>
            <w:r w:rsidRPr="00104F4B">
              <w:rPr>
                <w:rFonts w:cs="Arial"/>
                <w:color w:val="000000"/>
                <w:szCs w:val="22"/>
                <w:lang w:eastAsia="es-CO"/>
              </w:rPr>
              <w:t>Seguimiento Convenios en Ejecución</w:t>
            </w:r>
          </w:p>
        </w:tc>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853E0B" w:rsidRPr="00104F4B" w:rsidRDefault="00853E0B" w:rsidP="00067EA9">
            <w:pPr>
              <w:jc w:val="center"/>
              <w:rPr>
                <w:rFonts w:cs="Arial"/>
                <w:color w:val="000000"/>
                <w:szCs w:val="22"/>
                <w:lang w:eastAsia="es-CO"/>
              </w:rPr>
            </w:pPr>
            <w:r w:rsidRPr="00104F4B">
              <w:rPr>
                <w:rFonts w:cs="Arial"/>
                <w:color w:val="000000"/>
                <w:szCs w:val="22"/>
                <w:lang w:eastAsia="es-CO"/>
              </w:rPr>
              <w:t>9</w:t>
            </w:r>
          </w:p>
        </w:tc>
      </w:tr>
      <w:tr w:rsidR="00853E0B" w:rsidRPr="00104F4B" w:rsidTr="00853E0B">
        <w:trPr>
          <w:cantSplit/>
          <w:trHeight w:val="340"/>
        </w:trPr>
        <w:tc>
          <w:tcPr>
            <w:tcW w:w="5387" w:type="dxa"/>
            <w:tcBorders>
              <w:top w:val="single" w:sz="4" w:space="0" w:color="auto"/>
              <w:left w:val="single" w:sz="4" w:space="0" w:color="auto"/>
              <w:bottom w:val="single" w:sz="4" w:space="0" w:color="auto"/>
              <w:right w:val="single" w:sz="4" w:space="0" w:color="auto"/>
            </w:tcBorders>
            <w:shd w:val="clear" w:color="auto" w:fill="auto"/>
            <w:noWrap/>
            <w:vAlign w:val="bottom"/>
          </w:tcPr>
          <w:p w:rsidR="00853E0B" w:rsidRPr="00104F4B" w:rsidRDefault="00853E0B" w:rsidP="00067EA9">
            <w:pPr>
              <w:rPr>
                <w:rFonts w:cs="Arial"/>
                <w:color w:val="000000"/>
                <w:szCs w:val="22"/>
                <w:lang w:eastAsia="es-CO"/>
              </w:rPr>
            </w:pPr>
            <w:r w:rsidRPr="00104F4B">
              <w:rPr>
                <w:rFonts w:cs="Arial"/>
                <w:color w:val="000000"/>
                <w:szCs w:val="22"/>
                <w:lang w:eastAsia="es-CO"/>
              </w:rPr>
              <w:t>Seguimiento Convenios en Liquidación</w:t>
            </w:r>
          </w:p>
        </w:tc>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853E0B" w:rsidRPr="00104F4B" w:rsidRDefault="00853E0B" w:rsidP="00067EA9">
            <w:pPr>
              <w:jc w:val="center"/>
              <w:rPr>
                <w:rFonts w:cs="Arial"/>
                <w:color w:val="000000"/>
                <w:szCs w:val="22"/>
                <w:lang w:eastAsia="es-CO"/>
              </w:rPr>
            </w:pPr>
            <w:r w:rsidRPr="00104F4B">
              <w:rPr>
                <w:rFonts w:cs="Arial"/>
                <w:color w:val="000000"/>
                <w:szCs w:val="22"/>
                <w:lang w:eastAsia="es-CO"/>
              </w:rPr>
              <w:t>9</w:t>
            </w:r>
          </w:p>
        </w:tc>
      </w:tr>
    </w:tbl>
    <w:p w:rsidR="00853E0B" w:rsidRPr="00104F4B" w:rsidRDefault="00853E0B" w:rsidP="00853E0B">
      <w:pPr>
        <w:spacing w:after="160" w:line="259" w:lineRule="auto"/>
        <w:rPr>
          <w:rFonts w:eastAsia="Calibri" w:cs="Arial"/>
          <w:sz w:val="16"/>
          <w:szCs w:val="16"/>
          <w:lang w:val="es-CO" w:eastAsia="en-US"/>
        </w:rPr>
      </w:pPr>
      <w:r w:rsidRPr="00104F4B">
        <w:rPr>
          <w:rFonts w:eastAsia="Calibri" w:cs="Arial"/>
          <w:b/>
          <w:sz w:val="16"/>
          <w:szCs w:val="16"/>
          <w:lang w:val="es-CO" w:eastAsia="en-US"/>
        </w:rPr>
        <w:t>Fuente</w:t>
      </w:r>
      <w:r w:rsidRPr="00104F4B">
        <w:rPr>
          <w:rFonts w:eastAsia="Calibri" w:cs="Arial"/>
          <w:sz w:val="16"/>
          <w:szCs w:val="16"/>
          <w:lang w:val="es-CO" w:eastAsia="en-US"/>
        </w:rPr>
        <w:t xml:space="preserve"> – DTC</w:t>
      </w:r>
    </w:p>
    <w:p w:rsidR="00853E0B" w:rsidRPr="00104F4B" w:rsidRDefault="00853E0B" w:rsidP="00853E0B">
      <w:pPr>
        <w:spacing w:after="160" w:line="259" w:lineRule="auto"/>
        <w:rPr>
          <w:rFonts w:eastAsia="Arial Unicode MS" w:cs="Arial"/>
          <w:szCs w:val="22"/>
          <w:lang w:val="es-CO" w:eastAsia="en-US"/>
        </w:rPr>
      </w:pPr>
      <w:r w:rsidRPr="00104F4B">
        <w:rPr>
          <w:rFonts w:eastAsia="Arial Unicode MS" w:cs="Arial"/>
          <w:szCs w:val="22"/>
          <w:lang w:val="es-CO" w:eastAsia="en-US"/>
        </w:rPr>
        <w:t>De otra parte, como consecuencia del seguimiento realizado por la STESV a la ejecución de los contratos y convenios a su cargo, se logró el cumplimiento de los siguientes indicadores:</w:t>
      </w:r>
    </w:p>
    <w:p w:rsidR="00853E0B" w:rsidRPr="00104F4B" w:rsidRDefault="00853E0B" w:rsidP="00853E0B">
      <w:pPr>
        <w:spacing w:after="160" w:line="259" w:lineRule="auto"/>
        <w:rPr>
          <w:rFonts w:eastAsia="Calibri" w:cs="Arial"/>
          <w:szCs w:val="22"/>
          <w:lang w:val="es-CO" w:eastAsia="en-US"/>
        </w:rPr>
      </w:pPr>
      <w:r w:rsidRPr="00104F4B">
        <w:rPr>
          <w:rFonts w:eastAsia="Calibri" w:cs="Arial"/>
          <w:b/>
          <w:szCs w:val="22"/>
          <w:lang w:val="es-CO" w:eastAsia="en-US"/>
        </w:rPr>
        <w:t>Tabla indicadores</w:t>
      </w:r>
      <w:r w:rsidRPr="00104F4B">
        <w:rPr>
          <w:rFonts w:eastAsia="Calibri" w:cs="Arial"/>
          <w:szCs w:val="22"/>
          <w:lang w:val="es-CO" w:eastAsia="en-US"/>
        </w:rPr>
        <w:t xml:space="preserve"> – Seguimiento de metas vigencia 2018</w:t>
      </w:r>
    </w:p>
    <w:tbl>
      <w:tblPr>
        <w:tblW w:w="8789" w:type="dxa"/>
        <w:tblInd w:w="-10" w:type="dxa"/>
        <w:tblCellMar>
          <w:left w:w="70" w:type="dxa"/>
          <w:right w:w="70" w:type="dxa"/>
        </w:tblCellMar>
        <w:tblLook w:val="04A0" w:firstRow="1" w:lastRow="0" w:firstColumn="1" w:lastColumn="0" w:noHBand="0" w:noVBand="1"/>
      </w:tblPr>
      <w:tblGrid>
        <w:gridCol w:w="7088"/>
        <w:gridCol w:w="1701"/>
      </w:tblGrid>
      <w:tr w:rsidR="00853E0B" w:rsidRPr="00104F4B" w:rsidTr="00853E0B">
        <w:trPr>
          <w:trHeight w:val="300"/>
        </w:trPr>
        <w:tc>
          <w:tcPr>
            <w:tcW w:w="7088" w:type="dxa"/>
            <w:tcBorders>
              <w:top w:val="single" w:sz="8" w:space="0" w:color="auto"/>
              <w:left w:val="single" w:sz="8" w:space="0" w:color="auto"/>
              <w:bottom w:val="single" w:sz="4" w:space="0" w:color="auto"/>
              <w:right w:val="single" w:sz="4" w:space="0" w:color="auto"/>
            </w:tcBorders>
            <w:shd w:val="clear" w:color="000000" w:fill="D9D9D9"/>
            <w:noWrap/>
            <w:vAlign w:val="center"/>
            <w:hideMark/>
          </w:tcPr>
          <w:p w:rsidR="00853E0B" w:rsidRPr="00104F4B" w:rsidRDefault="00853E0B" w:rsidP="00067EA9">
            <w:pPr>
              <w:rPr>
                <w:rFonts w:cs="Arial"/>
                <w:color w:val="000000"/>
                <w:sz w:val="16"/>
                <w:szCs w:val="16"/>
                <w:lang w:val="es-CO" w:eastAsia="es-CO"/>
              </w:rPr>
            </w:pPr>
            <w:r w:rsidRPr="00104F4B">
              <w:rPr>
                <w:rFonts w:cs="Arial"/>
                <w:color w:val="000000"/>
                <w:sz w:val="16"/>
                <w:szCs w:val="16"/>
                <w:lang w:val="es-CO" w:eastAsia="es-CO"/>
              </w:rPr>
              <w:t>Ampliación Patio sur m2</w:t>
            </w:r>
          </w:p>
        </w:tc>
        <w:tc>
          <w:tcPr>
            <w:tcW w:w="1701" w:type="dxa"/>
            <w:tcBorders>
              <w:top w:val="single" w:sz="8" w:space="0" w:color="auto"/>
              <w:left w:val="single" w:sz="8" w:space="0" w:color="auto"/>
              <w:bottom w:val="single" w:sz="4" w:space="0" w:color="auto"/>
              <w:right w:val="single" w:sz="8" w:space="0" w:color="auto"/>
            </w:tcBorders>
            <w:shd w:val="clear" w:color="000000" w:fill="D9D9D9"/>
            <w:noWrap/>
            <w:vAlign w:val="center"/>
            <w:hideMark/>
          </w:tcPr>
          <w:p w:rsidR="00853E0B" w:rsidRPr="00104F4B" w:rsidRDefault="00853E0B" w:rsidP="00067EA9">
            <w:pPr>
              <w:jc w:val="center"/>
              <w:rPr>
                <w:rFonts w:cs="Arial"/>
                <w:color w:val="000000"/>
                <w:sz w:val="16"/>
                <w:szCs w:val="16"/>
                <w:lang w:val="es-CO" w:eastAsia="es-CO"/>
              </w:rPr>
            </w:pPr>
            <w:r w:rsidRPr="00104F4B">
              <w:rPr>
                <w:rFonts w:cs="Arial"/>
                <w:color w:val="000000"/>
                <w:sz w:val="16"/>
                <w:szCs w:val="16"/>
                <w:lang w:val="es-CO" w:eastAsia="es-CO"/>
              </w:rPr>
              <w:t>4056</w:t>
            </w:r>
          </w:p>
        </w:tc>
      </w:tr>
      <w:tr w:rsidR="00853E0B" w:rsidRPr="00104F4B" w:rsidTr="00853E0B">
        <w:trPr>
          <w:trHeight w:val="315"/>
        </w:trPr>
        <w:tc>
          <w:tcPr>
            <w:tcW w:w="7088" w:type="dxa"/>
            <w:tcBorders>
              <w:top w:val="nil"/>
              <w:left w:val="single" w:sz="8" w:space="0" w:color="auto"/>
              <w:bottom w:val="single" w:sz="4" w:space="0" w:color="auto"/>
              <w:right w:val="single" w:sz="4" w:space="0" w:color="auto"/>
            </w:tcBorders>
            <w:shd w:val="clear" w:color="auto" w:fill="auto"/>
            <w:noWrap/>
            <w:vAlign w:val="bottom"/>
            <w:hideMark/>
          </w:tcPr>
          <w:p w:rsidR="00853E0B" w:rsidRPr="00104F4B" w:rsidRDefault="00853E0B" w:rsidP="00067EA9">
            <w:pPr>
              <w:rPr>
                <w:rFonts w:cs="Arial"/>
                <w:color w:val="000000"/>
                <w:sz w:val="16"/>
                <w:szCs w:val="16"/>
                <w:lang w:val="es-CO" w:eastAsia="es-CO"/>
              </w:rPr>
            </w:pPr>
            <w:r w:rsidRPr="00104F4B">
              <w:rPr>
                <w:rFonts w:eastAsia="Calibri" w:cs="Arial"/>
                <w:color w:val="000000"/>
                <w:sz w:val="16"/>
                <w:szCs w:val="16"/>
                <w:lang w:val="es-CO" w:eastAsia="en-US"/>
              </w:rPr>
              <w:t>M2 de Espacio Público construido</w:t>
            </w:r>
          </w:p>
        </w:tc>
        <w:tc>
          <w:tcPr>
            <w:tcW w:w="1701" w:type="dxa"/>
            <w:tcBorders>
              <w:top w:val="nil"/>
              <w:left w:val="nil"/>
              <w:bottom w:val="single" w:sz="4" w:space="0" w:color="auto"/>
              <w:right w:val="single" w:sz="8" w:space="0" w:color="auto"/>
            </w:tcBorders>
            <w:shd w:val="clear" w:color="auto" w:fill="auto"/>
            <w:noWrap/>
            <w:vAlign w:val="bottom"/>
            <w:hideMark/>
          </w:tcPr>
          <w:p w:rsidR="00853E0B" w:rsidRPr="00104F4B" w:rsidRDefault="00853E0B" w:rsidP="00067EA9">
            <w:pPr>
              <w:jc w:val="center"/>
              <w:rPr>
                <w:rFonts w:cs="Arial"/>
                <w:color w:val="000000"/>
                <w:sz w:val="16"/>
                <w:szCs w:val="16"/>
                <w:lang w:val="es-CO" w:eastAsia="es-CO"/>
              </w:rPr>
            </w:pPr>
            <w:r w:rsidRPr="00104F4B">
              <w:rPr>
                <w:rFonts w:cs="Arial"/>
                <w:color w:val="000000"/>
                <w:sz w:val="16"/>
                <w:szCs w:val="16"/>
                <w:lang w:val="es-CO" w:eastAsia="es-CO"/>
              </w:rPr>
              <w:t>93.484</w:t>
            </w:r>
          </w:p>
        </w:tc>
      </w:tr>
      <w:tr w:rsidR="00853E0B" w:rsidRPr="00104F4B" w:rsidTr="00853E0B">
        <w:trPr>
          <w:trHeight w:val="300"/>
        </w:trPr>
        <w:tc>
          <w:tcPr>
            <w:tcW w:w="7088" w:type="dxa"/>
            <w:tcBorders>
              <w:top w:val="nil"/>
              <w:left w:val="single" w:sz="8" w:space="0" w:color="auto"/>
              <w:bottom w:val="single" w:sz="4" w:space="0" w:color="auto"/>
              <w:right w:val="single" w:sz="4" w:space="0" w:color="auto"/>
            </w:tcBorders>
            <w:shd w:val="clear" w:color="000000" w:fill="D9D9D9"/>
            <w:noWrap/>
            <w:vAlign w:val="center"/>
            <w:hideMark/>
          </w:tcPr>
          <w:p w:rsidR="00853E0B" w:rsidRPr="00104F4B" w:rsidRDefault="00853E0B" w:rsidP="00067EA9">
            <w:pPr>
              <w:rPr>
                <w:rFonts w:cs="Arial"/>
                <w:color w:val="000000"/>
                <w:sz w:val="16"/>
                <w:szCs w:val="16"/>
                <w:lang w:val="es-CO" w:eastAsia="es-CO"/>
              </w:rPr>
            </w:pPr>
            <w:r w:rsidRPr="00104F4B">
              <w:rPr>
                <w:rFonts w:eastAsia="Calibri" w:cs="Arial"/>
                <w:color w:val="000000"/>
                <w:sz w:val="16"/>
                <w:szCs w:val="16"/>
                <w:lang w:val="es-CO" w:eastAsia="en-US"/>
              </w:rPr>
              <w:t>Km-carril de  malla vial construido</w:t>
            </w:r>
          </w:p>
        </w:tc>
        <w:tc>
          <w:tcPr>
            <w:tcW w:w="1701" w:type="dxa"/>
            <w:tcBorders>
              <w:top w:val="nil"/>
              <w:left w:val="single" w:sz="8" w:space="0" w:color="auto"/>
              <w:bottom w:val="single" w:sz="4" w:space="0" w:color="auto"/>
              <w:right w:val="single" w:sz="8" w:space="0" w:color="auto"/>
            </w:tcBorders>
            <w:shd w:val="clear" w:color="000000" w:fill="D9D9D9"/>
            <w:noWrap/>
            <w:vAlign w:val="center"/>
            <w:hideMark/>
          </w:tcPr>
          <w:p w:rsidR="00853E0B" w:rsidRPr="00104F4B" w:rsidRDefault="00853E0B" w:rsidP="00067EA9">
            <w:pPr>
              <w:jc w:val="center"/>
              <w:rPr>
                <w:rFonts w:cs="Arial"/>
                <w:color w:val="000000"/>
                <w:sz w:val="16"/>
                <w:szCs w:val="16"/>
                <w:lang w:val="es-CO" w:eastAsia="es-CO"/>
              </w:rPr>
            </w:pPr>
            <w:r w:rsidRPr="00104F4B">
              <w:rPr>
                <w:rFonts w:cs="Arial"/>
                <w:color w:val="000000"/>
                <w:sz w:val="16"/>
                <w:szCs w:val="16"/>
                <w:lang w:val="es-CO" w:eastAsia="es-CO"/>
              </w:rPr>
              <w:t>18.18</w:t>
            </w:r>
          </w:p>
        </w:tc>
      </w:tr>
      <w:tr w:rsidR="00853E0B" w:rsidRPr="00104F4B" w:rsidTr="00853E0B">
        <w:trPr>
          <w:trHeight w:val="315"/>
        </w:trPr>
        <w:tc>
          <w:tcPr>
            <w:tcW w:w="7088" w:type="dxa"/>
            <w:tcBorders>
              <w:top w:val="nil"/>
              <w:left w:val="single" w:sz="8" w:space="0" w:color="auto"/>
              <w:bottom w:val="single" w:sz="4" w:space="0" w:color="auto"/>
              <w:right w:val="single" w:sz="4" w:space="0" w:color="auto"/>
            </w:tcBorders>
            <w:shd w:val="clear" w:color="auto" w:fill="auto"/>
            <w:noWrap/>
            <w:vAlign w:val="bottom"/>
            <w:hideMark/>
          </w:tcPr>
          <w:p w:rsidR="00853E0B" w:rsidRPr="00104F4B" w:rsidRDefault="00853E0B" w:rsidP="00067EA9">
            <w:pPr>
              <w:rPr>
                <w:rFonts w:cs="Arial"/>
                <w:color w:val="000000"/>
                <w:sz w:val="16"/>
                <w:szCs w:val="16"/>
                <w:lang w:val="es-CO" w:eastAsia="es-CO"/>
              </w:rPr>
            </w:pPr>
            <w:r w:rsidRPr="00104F4B">
              <w:rPr>
                <w:rFonts w:eastAsia="Calibri" w:cs="Arial"/>
                <w:color w:val="000000"/>
                <w:sz w:val="16"/>
                <w:szCs w:val="16"/>
                <w:lang w:val="es-CO" w:eastAsia="en-US"/>
              </w:rPr>
              <w:lastRenderedPageBreak/>
              <w:t>Km de infraestructura cicloinclusiva construido</w:t>
            </w:r>
          </w:p>
        </w:tc>
        <w:tc>
          <w:tcPr>
            <w:tcW w:w="1701" w:type="dxa"/>
            <w:tcBorders>
              <w:top w:val="nil"/>
              <w:left w:val="nil"/>
              <w:bottom w:val="single" w:sz="4" w:space="0" w:color="auto"/>
              <w:right w:val="single" w:sz="8" w:space="0" w:color="auto"/>
            </w:tcBorders>
            <w:shd w:val="clear" w:color="auto" w:fill="auto"/>
            <w:noWrap/>
            <w:vAlign w:val="bottom"/>
            <w:hideMark/>
          </w:tcPr>
          <w:p w:rsidR="00853E0B" w:rsidRPr="00104F4B" w:rsidRDefault="00853E0B" w:rsidP="00067EA9">
            <w:pPr>
              <w:jc w:val="center"/>
              <w:rPr>
                <w:rFonts w:cs="Arial"/>
                <w:color w:val="000000"/>
                <w:sz w:val="16"/>
                <w:szCs w:val="16"/>
                <w:lang w:val="es-CO" w:eastAsia="es-CO"/>
              </w:rPr>
            </w:pPr>
            <w:r w:rsidRPr="00104F4B">
              <w:rPr>
                <w:rFonts w:cs="Arial"/>
                <w:color w:val="000000"/>
                <w:sz w:val="16"/>
                <w:szCs w:val="16"/>
                <w:lang w:val="es-CO" w:eastAsia="es-CO"/>
              </w:rPr>
              <w:t>5.63</w:t>
            </w:r>
          </w:p>
        </w:tc>
      </w:tr>
      <w:tr w:rsidR="00853E0B" w:rsidRPr="00104F4B" w:rsidTr="00853E0B">
        <w:trPr>
          <w:trHeight w:val="600"/>
        </w:trPr>
        <w:tc>
          <w:tcPr>
            <w:tcW w:w="7088" w:type="dxa"/>
            <w:tcBorders>
              <w:top w:val="nil"/>
              <w:left w:val="single" w:sz="8" w:space="0" w:color="auto"/>
              <w:bottom w:val="single" w:sz="4" w:space="0" w:color="auto"/>
              <w:right w:val="single" w:sz="4" w:space="0" w:color="auto"/>
            </w:tcBorders>
            <w:shd w:val="clear" w:color="000000" w:fill="D9D9D9"/>
            <w:noWrap/>
            <w:vAlign w:val="bottom"/>
            <w:hideMark/>
          </w:tcPr>
          <w:p w:rsidR="00853E0B" w:rsidRPr="00104F4B" w:rsidRDefault="00853E0B" w:rsidP="00067EA9">
            <w:pPr>
              <w:spacing w:after="160" w:line="259" w:lineRule="auto"/>
              <w:rPr>
                <w:rFonts w:eastAsia="Calibri" w:cs="Arial"/>
                <w:color w:val="000000"/>
                <w:sz w:val="16"/>
                <w:szCs w:val="16"/>
                <w:lang w:val="es-CO" w:eastAsia="en-US"/>
              </w:rPr>
            </w:pPr>
            <w:r w:rsidRPr="00104F4B">
              <w:rPr>
                <w:rFonts w:eastAsia="Calibri" w:cs="Arial"/>
                <w:color w:val="000000"/>
                <w:sz w:val="16"/>
                <w:szCs w:val="16"/>
                <w:lang w:val="es-CO" w:eastAsia="en-US"/>
              </w:rPr>
              <w:t>% Ponderado de avance en la construcción de puentes peatonales</w:t>
            </w:r>
          </w:p>
        </w:tc>
        <w:tc>
          <w:tcPr>
            <w:tcW w:w="1701" w:type="dxa"/>
            <w:tcBorders>
              <w:top w:val="nil"/>
              <w:left w:val="single" w:sz="8" w:space="0" w:color="auto"/>
              <w:bottom w:val="single" w:sz="4" w:space="0" w:color="auto"/>
              <w:right w:val="single" w:sz="8" w:space="0" w:color="auto"/>
            </w:tcBorders>
            <w:shd w:val="clear" w:color="000000" w:fill="D9D9D9"/>
            <w:noWrap/>
            <w:vAlign w:val="bottom"/>
            <w:hideMark/>
          </w:tcPr>
          <w:p w:rsidR="00853E0B" w:rsidRPr="00104F4B" w:rsidRDefault="00853E0B" w:rsidP="00067EA9">
            <w:pPr>
              <w:spacing w:after="160" w:line="259" w:lineRule="auto"/>
              <w:jc w:val="center"/>
              <w:rPr>
                <w:rFonts w:eastAsia="Calibri" w:cs="Arial"/>
                <w:color w:val="000000"/>
                <w:sz w:val="16"/>
                <w:szCs w:val="16"/>
                <w:lang w:val="es-CO" w:eastAsia="en-US"/>
              </w:rPr>
            </w:pPr>
            <w:r w:rsidRPr="00104F4B">
              <w:rPr>
                <w:rFonts w:eastAsia="Calibri" w:cs="Arial"/>
                <w:color w:val="000000"/>
                <w:sz w:val="16"/>
                <w:szCs w:val="16"/>
                <w:lang w:val="es-CO" w:eastAsia="en-US"/>
              </w:rPr>
              <w:t>57,00%</w:t>
            </w:r>
          </w:p>
        </w:tc>
      </w:tr>
      <w:tr w:rsidR="00853E0B" w:rsidRPr="00104F4B" w:rsidTr="00853E0B">
        <w:trPr>
          <w:trHeight w:val="315"/>
        </w:trPr>
        <w:tc>
          <w:tcPr>
            <w:tcW w:w="7088" w:type="dxa"/>
            <w:tcBorders>
              <w:top w:val="nil"/>
              <w:left w:val="single" w:sz="8" w:space="0" w:color="auto"/>
              <w:bottom w:val="single" w:sz="4" w:space="0" w:color="auto"/>
              <w:right w:val="single" w:sz="4" w:space="0" w:color="auto"/>
            </w:tcBorders>
            <w:shd w:val="clear" w:color="auto" w:fill="auto"/>
            <w:noWrap/>
            <w:vAlign w:val="bottom"/>
            <w:hideMark/>
          </w:tcPr>
          <w:p w:rsidR="00853E0B" w:rsidRPr="00104F4B" w:rsidRDefault="00853E0B" w:rsidP="00067EA9">
            <w:pPr>
              <w:spacing w:after="160" w:line="259" w:lineRule="auto"/>
              <w:rPr>
                <w:rFonts w:eastAsia="Calibri" w:cs="Arial"/>
                <w:color w:val="000000"/>
                <w:sz w:val="16"/>
                <w:szCs w:val="16"/>
                <w:lang w:val="es-CO" w:eastAsia="en-US"/>
              </w:rPr>
            </w:pPr>
            <w:r w:rsidRPr="00104F4B">
              <w:rPr>
                <w:rFonts w:eastAsia="Calibri" w:cs="Arial"/>
                <w:color w:val="000000"/>
                <w:sz w:val="16"/>
                <w:szCs w:val="16"/>
                <w:lang w:val="es-CO" w:eastAsia="en-US"/>
              </w:rPr>
              <w:t>% Ponderado de avance en la construcción de puentes vehiculares</w:t>
            </w:r>
          </w:p>
        </w:tc>
        <w:tc>
          <w:tcPr>
            <w:tcW w:w="1701" w:type="dxa"/>
            <w:tcBorders>
              <w:top w:val="nil"/>
              <w:left w:val="nil"/>
              <w:bottom w:val="single" w:sz="4" w:space="0" w:color="auto"/>
              <w:right w:val="single" w:sz="8" w:space="0" w:color="auto"/>
            </w:tcBorders>
            <w:shd w:val="clear" w:color="auto" w:fill="auto"/>
            <w:noWrap/>
            <w:vAlign w:val="bottom"/>
            <w:hideMark/>
          </w:tcPr>
          <w:p w:rsidR="00853E0B" w:rsidRPr="00104F4B" w:rsidRDefault="00853E0B" w:rsidP="00067EA9">
            <w:pPr>
              <w:spacing w:after="160" w:line="259" w:lineRule="auto"/>
              <w:jc w:val="center"/>
              <w:rPr>
                <w:rFonts w:eastAsia="Calibri" w:cs="Arial"/>
                <w:color w:val="000000"/>
                <w:sz w:val="16"/>
                <w:szCs w:val="16"/>
                <w:lang w:val="es-CO" w:eastAsia="en-US"/>
              </w:rPr>
            </w:pPr>
            <w:r w:rsidRPr="00104F4B">
              <w:rPr>
                <w:rFonts w:eastAsia="Calibri" w:cs="Arial"/>
                <w:color w:val="000000"/>
                <w:sz w:val="16"/>
                <w:szCs w:val="16"/>
                <w:lang w:val="es-CO" w:eastAsia="en-US"/>
              </w:rPr>
              <w:t>47,00%</w:t>
            </w:r>
          </w:p>
        </w:tc>
      </w:tr>
      <w:tr w:rsidR="00853E0B" w:rsidRPr="00104F4B" w:rsidTr="00853E0B">
        <w:trPr>
          <w:trHeight w:val="300"/>
        </w:trPr>
        <w:tc>
          <w:tcPr>
            <w:tcW w:w="7088" w:type="dxa"/>
            <w:tcBorders>
              <w:top w:val="nil"/>
              <w:left w:val="single" w:sz="8" w:space="0" w:color="auto"/>
              <w:bottom w:val="single" w:sz="4" w:space="0" w:color="auto"/>
              <w:right w:val="single" w:sz="4" w:space="0" w:color="auto"/>
            </w:tcBorders>
            <w:shd w:val="clear" w:color="000000" w:fill="D9D9D9"/>
            <w:noWrap/>
            <w:vAlign w:val="bottom"/>
            <w:hideMark/>
          </w:tcPr>
          <w:p w:rsidR="00853E0B" w:rsidRPr="00104F4B" w:rsidRDefault="00853E0B" w:rsidP="00067EA9">
            <w:pPr>
              <w:spacing w:after="160" w:line="259" w:lineRule="auto"/>
              <w:rPr>
                <w:rFonts w:eastAsia="Calibri" w:cs="Arial"/>
                <w:color w:val="000000"/>
                <w:sz w:val="16"/>
                <w:szCs w:val="16"/>
                <w:lang w:val="es-CO" w:eastAsia="en-US"/>
              </w:rPr>
            </w:pPr>
            <w:r w:rsidRPr="00104F4B">
              <w:rPr>
                <w:rFonts w:eastAsia="Calibri" w:cs="Arial"/>
                <w:color w:val="000000"/>
                <w:sz w:val="16"/>
                <w:szCs w:val="16"/>
                <w:lang w:val="es-CO" w:eastAsia="en-US"/>
              </w:rPr>
              <w:t>Metro lineal Estructuras - Muro de Contención</w:t>
            </w:r>
          </w:p>
        </w:tc>
        <w:tc>
          <w:tcPr>
            <w:tcW w:w="1701" w:type="dxa"/>
            <w:tcBorders>
              <w:top w:val="nil"/>
              <w:left w:val="single" w:sz="8" w:space="0" w:color="auto"/>
              <w:bottom w:val="single" w:sz="4" w:space="0" w:color="auto"/>
              <w:right w:val="single" w:sz="8" w:space="0" w:color="auto"/>
            </w:tcBorders>
            <w:shd w:val="clear" w:color="000000" w:fill="D9D9D9"/>
            <w:noWrap/>
            <w:vAlign w:val="bottom"/>
            <w:hideMark/>
          </w:tcPr>
          <w:p w:rsidR="00853E0B" w:rsidRPr="00104F4B" w:rsidRDefault="00853E0B" w:rsidP="00067EA9">
            <w:pPr>
              <w:spacing w:after="160" w:line="259" w:lineRule="auto"/>
              <w:jc w:val="center"/>
              <w:rPr>
                <w:rFonts w:eastAsia="Calibri" w:cs="Arial"/>
                <w:color w:val="000000"/>
                <w:sz w:val="16"/>
                <w:szCs w:val="16"/>
                <w:lang w:val="es-CO" w:eastAsia="en-US"/>
              </w:rPr>
            </w:pPr>
            <w:r w:rsidRPr="00104F4B">
              <w:rPr>
                <w:rFonts w:eastAsia="Calibri" w:cs="Arial"/>
                <w:color w:val="000000"/>
                <w:sz w:val="16"/>
                <w:szCs w:val="16"/>
                <w:lang w:val="es-CO" w:eastAsia="en-US"/>
              </w:rPr>
              <w:t>84,00</w:t>
            </w:r>
          </w:p>
        </w:tc>
      </w:tr>
    </w:tbl>
    <w:p w:rsidR="00853E0B" w:rsidRPr="00104F4B" w:rsidRDefault="00853E0B" w:rsidP="00853E0B">
      <w:pPr>
        <w:spacing w:after="160" w:line="259" w:lineRule="auto"/>
        <w:rPr>
          <w:rFonts w:eastAsia="Calibri" w:cs="Arial"/>
          <w:sz w:val="16"/>
          <w:szCs w:val="16"/>
          <w:lang w:val="es-CO" w:eastAsia="en-US"/>
        </w:rPr>
      </w:pPr>
      <w:r w:rsidRPr="00104F4B">
        <w:rPr>
          <w:rFonts w:eastAsia="Calibri" w:cs="Arial"/>
          <w:b/>
          <w:sz w:val="16"/>
          <w:szCs w:val="16"/>
          <w:lang w:val="es-CO" w:eastAsia="en-US"/>
        </w:rPr>
        <w:t>Fuente</w:t>
      </w:r>
      <w:r w:rsidRPr="00104F4B">
        <w:rPr>
          <w:rFonts w:eastAsia="Calibri" w:cs="Arial"/>
          <w:sz w:val="16"/>
          <w:szCs w:val="16"/>
          <w:lang w:val="es-CO" w:eastAsia="en-US"/>
        </w:rPr>
        <w:t xml:space="preserve"> – DTC</w:t>
      </w:r>
    </w:p>
    <w:p w:rsidR="00853E0B" w:rsidRPr="00104F4B" w:rsidRDefault="00853E0B" w:rsidP="00853E0B">
      <w:pPr>
        <w:spacing w:after="160" w:line="259" w:lineRule="auto"/>
        <w:rPr>
          <w:rFonts w:eastAsia="Calibri" w:cs="Arial"/>
          <w:szCs w:val="22"/>
          <w:lang w:val="es-CO" w:eastAsia="en-US"/>
        </w:rPr>
      </w:pPr>
      <w:r w:rsidRPr="00104F4B">
        <w:rPr>
          <w:rFonts w:eastAsia="Calibri" w:cs="Arial"/>
          <w:szCs w:val="22"/>
          <w:lang w:val="es-CO" w:eastAsia="en-US"/>
        </w:rPr>
        <w:t>Dentro del proceso de seguimiento se adelantó la elaboración y solicitud de las diferentes modificaciones contractuales para cumplir con el objeto de los contratos, lo cual implicó la prórroga, adición y suspensión de los contratos.</w:t>
      </w:r>
    </w:p>
    <w:p w:rsidR="00853E0B" w:rsidRPr="00104F4B" w:rsidRDefault="00853E0B" w:rsidP="00853E0B">
      <w:pPr>
        <w:spacing w:after="160" w:line="259" w:lineRule="auto"/>
        <w:rPr>
          <w:rFonts w:eastAsia="Calibri" w:cs="Arial"/>
          <w:szCs w:val="22"/>
          <w:lang w:val="es-CO" w:eastAsia="en-US"/>
        </w:rPr>
      </w:pPr>
      <w:r w:rsidRPr="00104F4B">
        <w:rPr>
          <w:rFonts w:eastAsia="Calibri" w:cs="Arial"/>
          <w:szCs w:val="22"/>
          <w:lang w:val="es-CO" w:eastAsia="en-US"/>
        </w:rPr>
        <w:t xml:space="preserve">Se realizó el seguimiento al cumplimiento de los cronogramas de obra y en el caso de atrasos y desviaciones de los mismos se realizaron los apremios respectivos, los cuales al no ser atendidos de manera oportuna generó el inicio de los Procesos Administrativos Sancionatorios ante la DTGC de la Entidad. </w:t>
      </w:r>
    </w:p>
    <w:p w:rsidR="00853E0B" w:rsidRPr="00104F4B" w:rsidRDefault="00853E0B" w:rsidP="00853E0B">
      <w:pPr>
        <w:spacing w:after="160" w:line="259" w:lineRule="auto"/>
        <w:rPr>
          <w:rFonts w:eastAsia="Calibri" w:cs="Arial"/>
          <w:szCs w:val="22"/>
          <w:lang w:val="es-CO" w:eastAsia="en-US"/>
        </w:rPr>
      </w:pPr>
      <w:r w:rsidRPr="00104F4B">
        <w:rPr>
          <w:rFonts w:eastAsia="Calibri" w:cs="Arial"/>
          <w:szCs w:val="22"/>
          <w:lang w:val="es-CO" w:eastAsia="en-US"/>
        </w:rPr>
        <w:t>Se realizó la revisión de los informes semanales y mensuales de interventoría, actividad que se adelantó en cada uno de los componentes del contrato, así: dentro de la dependencia se revisaron los componentes técnico, ambiental, forestal, SST y en algunos casos el componente Arqueológico, y el informe social fue remitido a la OTC del IDU.</w:t>
      </w:r>
    </w:p>
    <w:p w:rsidR="00853E0B" w:rsidRPr="00104F4B" w:rsidRDefault="00853E0B" w:rsidP="00853E0B">
      <w:pPr>
        <w:spacing w:after="160" w:line="259" w:lineRule="auto"/>
        <w:rPr>
          <w:rFonts w:eastAsia="Calibri" w:cs="Arial"/>
          <w:color w:val="FF0000"/>
          <w:szCs w:val="22"/>
          <w:lang w:val="es-CO" w:eastAsia="en-US"/>
        </w:rPr>
      </w:pPr>
      <w:r w:rsidRPr="00104F4B">
        <w:rPr>
          <w:rFonts w:eastAsia="Calibri" w:cs="Arial"/>
          <w:szCs w:val="22"/>
          <w:lang w:val="es-CO" w:eastAsia="en-US"/>
        </w:rPr>
        <w:t xml:space="preserve">Vale la pena mencionar que, dentro de los logros alcanzados, se inició la etapa de Ejecución de obra, de los contratos IDU-1543-2017 - AV. SAN ANTONIO – AUTOPISTA NORTE A AV. BOYACÁ, IDU-1492-2017 - TALUD AMAPOLAS, IDU-1550-2017 AV. SIRENA-19-9. </w:t>
      </w:r>
    </w:p>
    <w:p w:rsidR="00661C9D" w:rsidRPr="00104F4B" w:rsidRDefault="00067EA9" w:rsidP="00067EA9">
      <w:pPr>
        <w:pStyle w:val="Ttulo1"/>
        <w:rPr>
          <w:rFonts w:ascii="Arial" w:hAnsi="Arial" w:cs="Arial"/>
          <w:sz w:val="22"/>
          <w:szCs w:val="22"/>
        </w:rPr>
      </w:pPr>
      <w:bookmarkStart w:id="66" w:name="_Toc536195555"/>
      <w:r w:rsidRPr="00104F4B">
        <w:rPr>
          <w:rFonts w:ascii="Arial" w:hAnsi="Arial" w:cs="Arial"/>
          <w:sz w:val="22"/>
          <w:szCs w:val="22"/>
        </w:rPr>
        <w:t>5.2 Mejores Prácticas y Logros</w:t>
      </w:r>
      <w:bookmarkEnd w:id="66"/>
    </w:p>
    <w:p w:rsidR="00067EA9" w:rsidRPr="00104F4B" w:rsidRDefault="00067EA9" w:rsidP="002625A5">
      <w:pPr>
        <w:pStyle w:val="Prrafodelista"/>
        <w:numPr>
          <w:ilvl w:val="0"/>
          <w:numId w:val="54"/>
        </w:numPr>
        <w:shd w:val="clear" w:color="auto" w:fill="FFFFFF"/>
        <w:rPr>
          <w:rFonts w:ascii="Arial" w:hAnsi="Arial" w:cs="Arial"/>
          <w:color w:val="222222"/>
        </w:rPr>
      </w:pPr>
      <w:r w:rsidRPr="00104F4B">
        <w:rPr>
          <w:rFonts w:ascii="Arial" w:hAnsi="Arial" w:cs="Arial"/>
          <w:color w:val="222222"/>
        </w:rPr>
        <w:t>Participación en la estructuración de proyectos y bases contractuales haciendo aportes tendientes a la mejora de la planificación de los proyectos.</w:t>
      </w:r>
    </w:p>
    <w:p w:rsidR="00067EA9" w:rsidRPr="00104F4B" w:rsidRDefault="00067EA9" w:rsidP="002625A5">
      <w:pPr>
        <w:pStyle w:val="Prrafodelista"/>
        <w:numPr>
          <w:ilvl w:val="0"/>
          <w:numId w:val="54"/>
        </w:numPr>
        <w:shd w:val="clear" w:color="auto" w:fill="FFFFFF"/>
        <w:rPr>
          <w:rFonts w:ascii="Arial" w:hAnsi="Arial" w:cs="Arial"/>
          <w:color w:val="222222"/>
        </w:rPr>
      </w:pPr>
      <w:r w:rsidRPr="00104F4B">
        <w:rPr>
          <w:rFonts w:ascii="Arial" w:hAnsi="Arial" w:cs="Arial"/>
          <w:color w:val="222222"/>
        </w:rPr>
        <w:t>Se fortaleció la coordinación en la gestión desarrollada entre la SGI y sus Direcciones Técnicas, a través de la visión integradora de los equipos de trabajo implementados al interior de la SGI.</w:t>
      </w:r>
    </w:p>
    <w:p w:rsidR="00067EA9" w:rsidRPr="00104F4B" w:rsidRDefault="00067EA9" w:rsidP="002625A5">
      <w:pPr>
        <w:pStyle w:val="Prrafodelista"/>
        <w:numPr>
          <w:ilvl w:val="0"/>
          <w:numId w:val="54"/>
        </w:numPr>
        <w:shd w:val="clear" w:color="auto" w:fill="FFFFFF"/>
        <w:rPr>
          <w:rFonts w:ascii="Arial" w:hAnsi="Arial" w:cs="Arial"/>
          <w:color w:val="222222"/>
        </w:rPr>
      </w:pPr>
      <w:r w:rsidRPr="00104F4B">
        <w:rPr>
          <w:rFonts w:ascii="Arial" w:hAnsi="Arial" w:cs="Arial"/>
          <w:color w:val="222222"/>
        </w:rPr>
        <w:t>Se continúa con los equipos de trabajo enfocados por especialidades para la resolución de problemas específicos en los contratos, con el objetivo de apoyar las actividades críticas de cada etapa a lo largo del ciclo de vida de los proyectos.</w:t>
      </w:r>
    </w:p>
    <w:p w:rsidR="00067EA9" w:rsidRPr="00104F4B" w:rsidRDefault="00067EA9" w:rsidP="002625A5">
      <w:pPr>
        <w:pStyle w:val="Prrafodelista"/>
        <w:numPr>
          <w:ilvl w:val="0"/>
          <w:numId w:val="54"/>
        </w:numPr>
        <w:shd w:val="clear" w:color="auto" w:fill="FFFFFF"/>
        <w:rPr>
          <w:rFonts w:ascii="Arial" w:hAnsi="Arial" w:cs="Arial"/>
          <w:color w:val="222222"/>
        </w:rPr>
      </w:pPr>
      <w:r w:rsidRPr="00104F4B">
        <w:rPr>
          <w:rFonts w:ascii="Arial" w:hAnsi="Arial" w:cs="Arial"/>
          <w:color w:val="222222"/>
        </w:rPr>
        <w:t>Participación en el fortalecimiento e implementación del ZIPA.</w:t>
      </w:r>
    </w:p>
    <w:p w:rsidR="00067EA9" w:rsidRPr="00104F4B" w:rsidRDefault="00067EA9" w:rsidP="002625A5">
      <w:pPr>
        <w:pStyle w:val="Prrafodelista"/>
        <w:numPr>
          <w:ilvl w:val="0"/>
          <w:numId w:val="54"/>
        </w:numPr>
        <w:rPr>
          <w:rFonts w:ascii="Arial" w:hAnsi="Arial" w:cs="Arial"/>
        </w:rPr>
      </w:pPr>
      <w:r w:rsidRPr="00104F4B">
        <w:rPr>
          <w:rFonts w:ascii="Arial" w:hAnsi="Arial" w:cs="Arial"/>
        </w:rPr>
        <w:t xml:space="preserve">Continuar desde la SGI con el seguimiento a la liquidación de contratos y convenios, archivos y cierre de glosas, unificando la información de las áreas ejecutoras. </w:t>
      </w:r>
    </w:p>
    <w:p w:rsidR="00067EA9" w:rsidRPr="00104F4B" w:rsidRDefault="00067EA9" w:rsidP="002625A5">
      <w:pPr>
        <w:pStyle w:val="Prrafodelista"/>
        <w:numPr>
          <w:ilvl w:val="0"/>
          <w:numId w:val="54"/>
        </w:numPr>
        <w:shd w:val="clear" w:color="auto" w:fill="FFFFFF"/>
        <w:rPr>
          <w:rFonts w:ascii="Arial" w:hAnsi="Arial" w:cs="Arial"/>
          <w:color w:val="222222"/>
        </w:rPr>
      </w:pPr>
      <w:r w:rsidRPr="00104F4B">
        <w:rPr>
          <w:rFonts w:ascii="Arial" w:hAnsi="Arial" w:cs="Arial"/>
          <w:color w:val="222222"/>
        </w:rPr>
        <w:t>Participación en la actualización del Manual de Interventoría y supervisión de los contratos y otros documentos del Sistema Integrado de Gestión.</w:t>
      </w:r>
    </w:p>
    <w:p w:rsidR="00067EA9" w:rsidRPr="00104F4B" w:rsidRDefault="00067EA9" w:rsidP="002625A5">
      <w:pPr>
        <w:pStyle w:val="Prrafodelista"/>
        <w:numPr>
          <w:ilvl w:val="0"/>
          <w:numId w:val="54"/>
        </w:numPr>
        <w:shd w:val="clear" w:color="auto" w:fill="FFFFFF"/>
        <w:rPr>
          <w:rFonts w:ascii="Arial" w:hAnsi="Arial" w:cs="Arial"/>
          <w:color w:val="222222"/>
        </w:rPr>
      </w:pPr>
      <w:r w:rsidRPr="00104F4B">
        <w:rPr>
          <w:rFonts w:ascii="Arial" w:hAnsi="Arial" w:cs="Arial"/>
          <w:color w:val="222222"/>
        </w:rPr>
        <w:t>Fortalecimiento en el equipo de Liquidaciones, apoyo legal de los contratos en ejecución así como los aspectos sancionatorios.</w:t>
      </w:r>
    </w:p>
    <w:p w:rsidR="00067EA9" w:rsidRPr="00104F4B" w:rsidRDefault="00067EA9" w:rsidP="002625A5">
      <w:pPr>
        <w:pStyle w:val="Prrafodelista"/>
        <w:numPr>
          <w:ilvl w:val="0"/>
          <w:numId w:val="54"/>
        </w:numPr>
        <w:shd w:val="clear" w:color="auto" w:fill="FFFFFF"/>
        <w:rPr>
          <w:rFonts w:ascii="Arial" w:hAnsi="Arial" w:cs="Arial"/>
          <w:color w:val="222222"/>
        </w:rPr>
      </w:pPr>
      <w:r w:rsidRPr="00104F4B">
        <w:rPr>
          <w:rFonts w:ascii="Arial" w:hAnsi="Arial" w:cs="Arial"/>
          <w:color w:val="222222"/>
        </w:rPr>
        <w:lastRenderedPageBreak/>
        <w:t>Desde la Mesa de Emergencias Distritales, se acompañó la formalización del Marco de Actuación de la Estrategia Distrital de Emergencias.</w:t>
      </w:r>
    </w:p>
    <w:p w:rsidR="00067EA9" w:rsidRPr="00104F4B" w:rsidRDefault="00067EA9" w:rsidP="002625A5">
      <w:pPr>
        <w:pStyle w:val="Prrafodelista"/>
        <w:numPr>
          <w:ilvl w:val="0"/>
          <w:numId w:val="54"/>
        </w:numPr>
        <w:shd w:val="clear" w:color="auto" w:fill="FFFFFF"/>
        <w:rPr>
          <w:rFonts w:ascii="Arial" w:hAnsi="Arial" w:cs="Arial"/>
          <w:color w:val="222222"/>
        </w:rPr>
      </w:pPr>
      <w:r w:rsidRPr="00104F4B">
        <w:rPr>
          <w:rFonts w:ascii="Arial" w:hAnsi="Arial" w:cs="Arial"/>
          <w:color w:val="222222"/>
        </w:rPr>
        <w:t>Se incorporaron los reportes y solicitudes de intervención con Licencia de Excavación en el Sistema de Información Geográfica del IDU- SIGIDU, se virtualizó el trámite de licencias de excavación el cual ya se puede realizar a través de la Ventanilla Única de la Construcción (VUC) de la Secretaria Distrital del Habitat y se creó la base de datos en la plataforma BOCHICA en la cual se lleva la administración de la información de licencias de excavación.</w:t>
      </w:r>
    </w:p>
    <w:p w:rsidR="00067EA9" w:rsidRPr="00104F4B" w:rsidRDefault="00067EA9" w:rsidP="002625A5">
      <w:pPr>
        <w:pStyle w:val="Prrafodelista"/>
        <w:numPr>
          <w:ilvl w:val="0"/>
          <w:numId w:val="54"/>
        </w:numPr>
        <w:spacing w:before="0"/>
        <w:rPr>
          <w:rFonts w:ascii="Arial" w:hAnsi="Arial" w:cs="Arial"/>
        </w:rPr>
      </w:pPr>
      <w:r w:rsidRPr="00104F4B">
        <w:rPr>
          <w:rFonts w:ascii="Arial" w:hAnsi="Arial" w:cs="Arial"/>
        </w:rPr>
        <w:t xml:space="preserve">Se realizó la actualización del Instructivo de urbanizadores convirtiéndolo en Guía para la facilidad de uso, y adicionalmente se complementaron y actualizaron los requisitos técnicos y normativos. </w:t>
      </w:r>
    </w:p>
    <w:p w:rsidR="00067EA9" w:rsidRPr="00104F4B" w:rsidRDefault="00067EA9" w:rsidP="002625A5">
      <w:pPr>
        <w:pStyle w:val="Prrafodelista"/>
        <w:numPr>
          <w:ilvl w:val="0"/>
          <w:numId w:val="54"/>
        </w:numPr>
        <w:spacing w:before="0"/>
        <w:rPr>
          <w:rFonts w:ascii="Arial" w:hAnsi="Arial" w:cs="Arial"/>
        </w:rPr>
      </w:pPr>
      <w:r w:rsidRPr="00104F4B">
        <w:rPr>
          <w:rFonts w:ascii="Arial" w:hAnsi="Arial" w:cs="Arial"/>
        </w:rPr>
        <w:t>Se realizó el lanzamiento interno y externo de la Plataforma de Urbanizadores, capacitando a los urbanizadores en las ventajas de la virtualización, los cambios a nivel técnico y la trazabilidad del avance del trámite de entrega.</w:t>
      </w:r>
    </w:p>
    <w:p w:rsidR="00067EA9" w:rsidRPr="00104F4B" w:rsidRDefault="00067EA9" w:rsidP="002625A5">
      <w:pPr>
        <w:pStyle w:val="Prrafodelista"/>
        <w:numPr>
          <w:ilvl w:val="0"/>
          <w:numId w:val="54"/>
        </w:numPr>
        <w:spacing w:before="0"/>
        <w:rPr>
          <w:rFonts w:ascii="Arial" w:hAnsi="Arial" w:cs="Arial"/>
        </w:rPr>
      </w:pPr>
      <w:r w:rsidRPr="00104F4B">
        <w:rPr>
          <w:rFonts w:ascii="Arial" w:hAnsi="Arial" w:cs="Arial"/>
        </w:rPr>
        <w:t>Se desarrolló y puso en funcionamiento el módulo de Urbanizadores en el aplicativo BOCHICA de la plataforma OpenERP para realizar el seguimiento y control de proyectos a través de la trazabilidad de un enfoque basado en la entrega y aceptación de productos en cada una de las etapas del proyecto. La información está disponible para consulta de interesados en la página web del IDU. Lo anterior, permite dar cumplimiento al Decreto 058 de 2018 de racionalización y virtualización del trámite.</w:t>
      </w:r>
    </w:p>
    <w:p w:rsidR="00067EA9" w:rsidRPr="00104F4B" w:rsidRDefault="00067EA9" w:rsidP="002625A5">
      <w:pPr>
        <w:pStyle w:val="Prrafodelista"/>
        <w:numPr>
          <w:ilvl w:val="0"/>
          <w:numId w:val="54"/>
        </w:numPr>
        <w:spacing w:before="0"/>
        <w:rPr>
          <w:rFonts w:ascii="Arial" w:hAnsi="Arial" w:cs="Arial"/>
        </w:rPr>
      </w:pPr>
      <w:r w:rsidRPr="00104F4B">
        <w:rPr>
          <w:rFonts w:ascii="Arial" w:hAnsi="Arial" w:cs="Arial"/>
        </w:rPr>
        <w:t xml:space="preserve">A través de la VUC y del BOCHICA se logró el agendamiento de mesas de trabajo y visitas a terreno para que el IDU efectúe acompañamiento técnico al Urbanizador. </w:t>
      </w:r>
    </w:p>
    <w:p w:rsidR="00067EA9" w:rsidRPr="00104F4B" w:rsidRDefault="00067EA9" w:rsidP="002625A5">
      <w:pPr>
        <w:pStyle w:val="Prrafodelista"/>
        <w:numPr>
          <w:ilvl w:val="0"/>
          <w:numId w:val="54"/>
        </w:numPr>
        <w:spacing w:before="0"/>
        <w:rPr>
          <w:rFonts w:ascii="Arial" w:hAnsi="Arial" w:cs="Arial"/>
        </w:rPr>
      </w:pPr>
      <w:r w:rsidRPr="00104F4B">
        <w:rPr>
          <w:rFonts w:ascii="Arial" w:hAnsi="Arial" w:cs="Arial"/>
        </w:rPr>
        <w:t>Se mejoraron las estadísticas respecto al seguimiento y acompañamiento técnico a los proyectos de urbanizadores.</w:t>
      </w:r>
    </w:p>
    <w:p w:rsidR="00067EA9" w:rsidRPr="00104F4B" w:rsidRDefault="00067EA9" w:rsidP="002625A5">
      <w:pPr>
        <w:pStyle w:val="Prrafodelista"/>
        <w:numPr>
          <w:ilvl w:val="0"/>
          <w:numId w:val="54"/>
        </w:numPr>
        <w:spacing w:before="0"/>
        <w:rPr>
          <w:rFonts w:ascii="Arial" w:hAnsi="Arial" w:cs="Arial"/>
        </w:rPr>
      </w:pPr>
      <w:r w:rsidRPr="00104F4B">
        <w:rPr>
          <w:rFonts w:ascii="Arial" w:hAnsi="Arial" w:cs="Arial"/>
        </w:rPr>
        <w:t>Se estructuró y elaboró el Manual de Intervención de Urbanizadores y/o Terceros, el cual permite eliminar la figura de los Convenios con Urbanizadores para cumplir las obligaciones urbanísticas emanadas de instrumentos de planeación y movilidad, permitiendo unificar, racionalizar y estandarizar el trámite con los Urbanizadores a nivel interno, asimilándolo al trámite que se viene realizando para áreas de cesión. Lo anterior, permite mejorar tiempos de respuesta a Urbanizadores, y facilitar el desarrollo de la ciudad a través de la inversión con recursos privados.</w:t>
      </w:r>
    </w:p>
    <w:p w:rsidR="00F53726" w:rsidRPr="00104F4B" w:rsidRDefault="00F53726" w:rsidP="002625A5">
      <w:pPr>
        <w:pStyle w:val="Prrafodelista"/>
        <w:numPr>
          <w:ilvl w:val="0"/>
          <w:numId w:val="54"/>
        </w:numPr>
        <w:spacing w:before="0"/>
        <w:rPr>
          <w:rFonts w:ascii="Arial" w:hAnsi="Arial" w:cs="Arial"/>
        </w:rPr>
      </w:pPr>
      <w:r w:rsidRPr="00104F4B">
        <w:rPr>
          <w:rFonts w:ascii="Arial" w:hAnsi="Arial" w:cs="Arial"/>
        </w:rPr>
        <w:t>Se ajustaron los procedimientos de todos los proyectos de aprovechamiento económico, así como, el de usos temporales y sus respectivos formatos.</w:t>
      </w:r>
    </w:p>
    <w:p w:rsidR="00F53726" w:rsidRPr="00104F4B" w:rsidRDefault="00F53726" w:rsidP="002625A5">
      <w:pPr>
        <w:pStyle w:val="Prrafodelista"/>
        <w:numPr>
          <w:ilvl w:val="0"/>
          <w:numId w:val="54"/>
        </w:numPr>
        <w:spacing w:before="0"/>
        <w:rPr>
          <w:rFonts w:ascii="Arial" w:hAnsi="Arial" w:cs="Arial"/>
        </w:rPr>
      </w:pPr>
      <w:r w:rsidRPr="00104F4B">
        <w:rPr>
          <w:rFonts w:ascii="Arial" w:hAnsi="Arial" w:cs="Arial"/>
        </w:rPr>
        <w:t>Se logró incluir en el portal “No Más Filas” la solicitud de uso temporal de espacio público y de antejardines; y se actualizó la información relacionada con aprovechamiento económico en la página web del IDU.</w:t>
      </w:r>
    </w:p>
    <w:p w:rsidR="00F53726" w:rsidRPr="00104F4B" w:rsidRDefault="00F53726" w:rsidP="002625A5">
      <w:pPr>
        <w:pStyle w:val="Prrafodelista"/>
        <w:numPr>
          <w:ilvl w:val="0"/>
          <w:numId w:val="54"/>
        </w:numPr>
        <w:spacing w:before="0"/>
        <w:rPr>
          <w:rFonts w:ascii="Arial" w:hAnsi="Arial" w:cs="Arial"/>
        </w:rPr>
      </w:pPr>
      <w:r w:rsidRPr="00104F4B">
        <w:rPr>
          <w:rFonts w:ascii="Arial" w:hAnsi="Arial" w:cs="Arial"/>
        </w:rPr>
        <w:t>Se desarrolló el Botón PSE en la página web para recibir los pagos por estaciones radioeléctricas.</w:t>
      </w:r>
    </w:p>
    <w:p w:rsidR="00F53726" w:rsidRPr="00104F4B" w:rsidRDefault="00F53726" w:rsidP="002625A5">
      <w:pPr>
        <w:pStyle w:val="Prrafodelista"/>
        <w:numPr>
          <w:ilvl w:val="0"/>
          <w:numId w:val="54"/>
        </w:numPr>
        <w:spacing w:before="0"/>
        <w:rPr>
          <w:rFonts w:ascii="Arial" w:hAnsi="Arial" w:cs="Arial"/>
        </w:rPr>
      </w:pPr>
      <w:r w:rsidRPr="00104F4B">
        <w:rPr>
          <w:rFonts w:ascii="Arial" w:hAnsi="Arial" w:cs="Arial"/>
        </w:rPr>
        <w:t>Se logró actualizar el Marco Regulatorio de Aprovechamiento Económico del Espacio Público, actualizando las actividades y gestores (Decreto 552 de 2018).</w:t>
      </w:r>
    </w:p>
    <w:p w:rsidR="00F53726" w:rsidRPr="00104F4B" w:rsidRDefault="00F53726" w:rsidP="002625A5">
      <w:pPr>
        <w:pStyle w:val="Prrafodelista"/>
        <w:numPr>
          <w:ilvl w:val="0"/>
          <w:numId w:val="54"/>
        </w:numPr>
        <w:spacing w:before="0"/>
        <w:rPr>
          <w:rFonts w:ascii="Arial" w:hAnsi="Arial" w:cs="Arial"/>
        </w:rPr>
      </w:pPr>
      <w:r w:rsidRPr="00104F4B">
        <w:rPr>
          <w:rFonts w:ascii="Arial" w:hAnsi="Arial" w:cs="Arial"/>
        </w:rPr>
        <w:t>Se actualizó el formato usado para las visitas a campo, con esto se logra recopilar información más detalla y completa de los elementos estructurales y sus tipos de afectación.</w:t>
      </w:r>
    </w:p>
    <w:p w:rsidR="00F53726" w:rsidRPr="00104F4B" w:rsidRDefault="00F53726" w:rsidP="002625A5">
      <w:pPr>
        <w:pStyle w:val="Prrafodelista"/>
        <w:numPr>
          <w:ilvl w:val="0"/>
          <w:numId w:val="54"/>
        </w:numPr>
        <w:spacing w:before="0"/>
        <w:rPr>
          <w:rFonts w:ascii="Arial" w:hAnsi="Arial" w:cs="Arial"/>
        </w:rPr>
      </w:pPr>
      <w:r w:rsidRPr="00104F4B">
        <w:rPr>
          <w:rFonts w:ascii="Arial" w:hAnsi="Arial" w:cs="Arial"/>
        </w:rPr>
        <w:t>El impacto de la gestión realizada, reflejada en la asignación de una mayor cantidad de recursos para el mantenimiento y reforzamiento de puentes vehiculares y peatonales.</w:t>
      </w:r>
    </w:p>
    <w:p w:rsidR="00F53726" w:rsidRPr="00104F4B" w:rsidRDefault="00F53726" w:rsidP="002625A5">
      <w:pPr>
        <w:pStyle w:val="Prrafodelista"/>
        <w:numPr>
          <w:ilvl w:val="0"/>
          <w:numId w:val="54"/>
        </w:numPr>
        <w:rPr>
          <w:rFonts w:ascii="Arial" w:hAnsi="Arial" w:cs="Arial"/>
        </w:rPr>
      </w:pPr>
      <w:r w:rsidRPr="00104F4B">
        <w:rPr>
          <w:rFonts w:ascii="Arial" w:hAnsi="Arial" w:cs="Arial"/>
        </w:rPr>
        <w:t>Entre la DTAI y las áreas ejecutoras se realizó en el SIAC, ORFEO y archivo físico la búsqueda de antecedentes de recibo de obra con las diferentes ESP para los contratos pendientes de recibo y se adelantan mesas de trabajo conjuntas con las ESP buscando alternativas de recibo y suscripción de actas.</w:t>
      </w:r>
    </w:p>
    <w:p w:rsidR="00777C89" w:rsidRPr="00104F4B" w:rsidRDefault="00777C89" w:rsidP="002625A5">
      <w:pPr>
        <w:pStyle w:val="Prrafodelista"/>
        <w:numPr>
          <w:ilvl w:val="0"/>
          <w:numId w:val="54"/>
        </w:numPr>
        <w:spacing w:before="0" w:after="160" w:line="259" w:lineRule="auto"/>
        <w:contextualSpacing/>
        <w:rPr>
          <w:rFonts w:ascii="Arial" w:hAnsi="Arial" w:cs="Arial"/>
          <w:lang w:val="es-MX"/>
        </w:rPr>
      </w:pPr>
      <w:r w:rsidRPr="00104F4B">
        <w:rPr>
          <w:rFonts w:ascii="Arial" w:hAnsi="Arial" w:cs="Arial"/>
          <w:lang w:val="es-MX"/>
        </w:rPr>
        <w:lastRenderedPageBreak/>
        <w:t>Se implementó como acción correctiva, que los especialistas (Ambiental y SST) participaran de manera presencial en los comités de los contratos de obra, con el objeto de verificar la asistencia del personal subcontratado y constatar el desarrollo de sus actividades de conformidad con el rol que desempeñan en el proyecto.</w:t>
      </w:r>
    </w:p>
    <w:p w:rsidR="00777C89" w:rsidRPr="00104F4B" w:rsidRDefault="00777C89" w:rsidP="002625A5">
      <w:pPr>
        <w:pStyle w:val="Prrafodelista"/>
        <w:numPr>
          <w:ilvl w:val="0"/>
          <w:numId w:val="54"/>
        </w:numPr>
        <w:spacing w:before="0" w:after="160" w:line="259" w:lineRule="auto"/>
        <w:contextualSpacing/>
        <w:rPr>
          <w:rFonts w:ascii="Arial" w:hAnsi="Arial" w:cs="Arial"/>
          <w:lang w:val="es-MX"/>
        </w:rPr>
      </w:pPr>
      <w:r w:rsidRPr="00104F4B">
        <w:rPr>
          <w:rFonts w:ascii="Arial" w:hAnsi="Arial" w:cs="Arial"/>
          <w:lang w:val="es-MX"/>
        </w:rPr>
        <w:t>Se logró una buena interlocución entre las áreas vinculadas durante la ejecución del proyecto, Las áreas articuladas fueron Dirección Técnica de proyectos, DTGC, SGI, DTC, Dirección Técnica de Predios OTC Y DTAI.</w:t>
      </w:r>
    </w:p>
    <w:p w:rsidR="00777C89" w:rsidRPr="00104F4B" w:rsidRDefault="00777C89" w:rsidP="002625A5">
      <w:pPr>
        <w:pStyle w:val="Prrafodelista"/>
        <w:numPr>
          <w:ilvl w:val="0"/>
          <w:numId w:val="54"/>
        </w:numPr>
        <w:spacing w:before="0" w:after="160" w:line="259" w:lineRule="auto"/>
        <w:contextualSpacing/>
        <w:rPr>
          <w:rFonts w:ascii="Arial" w:hAnsi="Arial" w:cs="Arial"/>
          <w:lang w:val="es-MX"/>
        </w:rPr>
      </w:pPr>
      <w:r w:rsidRPr="00104F4B">
        <w:rPr>
          <w:rFonts w:ascii="Arial" w:hAnsi="Arial" w:cs="Arial"/>
          <w:lang w:val="es-MX"/>
        </w:rPr>
        <w:t>Se reiteró la importancia de entregar a la oficina de correspondencia los originales de las Actas de reunión generadas, para asegurar el archivo en respectivo expediente y evitar la pérdida y asegurar así la poderla consultar cuando se requiera.</w:t>
      </w:r>
    </w:p>
    <w:p w:rsidR="00777C89" w:rsidRPr="00104F4B" w:rsidRDefault="00777C89" w:rsidP="002625A5">
      <w:pPr>
        <w:pStyle w:val="Prrafodelista"/>
        <w:numPr>
          <w:ilvl w:val="0"/>
          <w:numId w:val="54"/>
        </w:numPr>
        <w:spacing w:before="0" w:after="160" w:line="259" w:lineRule="auto"/>
        <w:contextualSpacing/>
        <w:rPr>
          <w:rFonts w:ascii="Arial" w:hAnsi="Arial" w:cs="Arial"/>
          <w:lang w:val="es-MX"/>
        </w:rPr>
      </w:pPr>
      <w:r w:rsidRPr="00104F4B">
        <w:rPr>
          <w:rFonts w:ascii="Arial" w:hAnsi="Arial" w:cs="Arial"/>
          <w:lang w:val="es-MX"/>
        </w:rPr>
        <w:t>Se realizaron reuniones de inició con los contratistas e Interventorías previo a la durante el proceso de suscripción del acta de inicio, lo cual dio a conocer de forma clara los lineamientos de la Entidad para la ejecución de los contratos, dentro de estas se socializaron los documentos contractuales de la Entidad.</w:t>
      </w:r>
    </w:p>
    <w:p w:rsidR="00777C89" w:rsidRPr="00104F4B" w:rsidRDefault="00777C89" w:rsidP="002625A5">
      <w:pPr>
        <w:pStyle w:val="Prrafodelista"/>
        <w:numPr>
          <w:ilvl w:val="0"/>
          <w:numId w:val="54"/>
        </w:numPr>
        <w:spacing w:before="0" w:after="160" w:line="259" w:lineRule="auto"/>
        <w:contextualSpacing/>
        <w:rPr>
          <w:rFonts w:ascii="Arial" w:hAnsi="Arial" w:cs="Arial"/>
          <w:lang w:val="es-MX"/>
        </w:rPr>
      </w:pPr>
      <w:r w:rsidRPr="00104F4B">
        <w:rPr>
          <w:rFonts w:ascii="Arial" w:hAnsi="Arial" w:cs="Arial"/>
          <w:lang w:val="es-MX"/>
        </w:rPr>
        <w:t>El seguimiento por parte del área de construcciones desde las etapas de diseños puede significar un mejor conocimiento de los proyectos en el momento de dar inicio a la ejecución de las obras.</w:t>
      </w:r>
    </w:p>
    <w:p w:rsidR="00777C89" w:rsidRPr="00104F4B" w:rsidRDefault="00777C89" w:rsidP="002625A5">
      <w:pPr>
        <w:pStyle w:val="Prrafodelista"/>
        <w:numPr>
          <w:ilvl w:val="0"/>
          <w:numId w:val="54"/>
        </w:numPr>
        <w:spacing w:before="0" w:after="160" w:line="259" w:lineRule="auto"/>
        <w:contextualSpacing/>
        <w:rPr>
          <w:rFonts w:ascii="Arial" w:hAnsi="Arial" w:cs="Arial"/>
          <w:lang w:val="es-MX"/>
        </w:rPr>
      </w:pPr>
      <w:r w:rsidRPr="00104F4B">
        <w:rPr>
          <w:rFonts w:ascii="Arial" w:hAnsi="Arial" w:cs="Arial"/>
          <w:lang w:val="es-MX"/>
        </w:rPr>
        <w:t>Se participó en la reestructuración de las minutas de contrato tipo, donde se planteó reestructurar los tiempos de cumplimiento de los requisitos para el acta de inicio.</w:t>
      </w:r>
    </w:p>
    <w:p w:rsidR="00067EA9" w:rsidRPr="00104F4B" w:rsidRDefault="007C2377" w:rsidP="007C2377">
      <w:pPr>
        <w:pStyle w:val="Ttulo1"/>
        <w:rPr>
          <w:rFonts w:ascii="Arial" w:hAnsi="Arial" w:cs="Arial"/>
          <w:sz w:val="22"/>
          <w:szCs w:val="22"/>
          <w:lang w:val="es-CO"/>
        </w:rPr>
      </w:pPr>
      <w:bookmarkStart w:id="67" w:name="_Toc536195556"/>
      <w:r w:rsidRPr="00104F4B">
        <w:rPr>
          <w:rFonts w:ascii="Arial" w:hAnsi="Arial" w:cs="Arial"/>
          <w:sz w:val="22"/>
          <w:szCs w:val="22"/>
          <w:lang w:val="es-CO"/>
        </w:rPr>
        <w:t>5.3 Recomendaciones para el mejoramiento de la gestión</w:t>
      </w:r>
      <w:bookmarkEnd w:id="67"/>
    </w:p>
    <w:p w:rsidR="009A4DDD" w:rsidRPr="00104F4B" w:rsidRDefault="009A4DDD" w:rsidP="009A4DDD">
      <w:pPr>
        <w:rPr>
          <w:rFonts w:cs="Arial"/>
          <w:lang w:val="es-CO"/>
        </w:rPr>
      </w:pPr>
    </w:p>
    <w:p w:rsidR="007C2377" w:rsidRPr="00104F4B" w:rsidRDefault="007C2377" w:rsidP="002625A5">
      <w:pPr>
        <w:pStyle w:val="Prrafodelista"/>
        <w:numPr>
          <w:ilvl w:val="0"/>
          <w:numId w:val="54"/>
        </w:numPr>
        <w:spacing w:before="0" w:after="160" w:line="259" w:lineRule="auto"/>
        <w:contextualSpacing/>
        <w:rPr>
          <w:rFonts w:ascii="Arial" w:hAnsi="Arial" w:cs="Arial"/>
          <w:lang w:val="es-MX"/>
        </w:rPr>
      </w:pPr>
      <w:r w:rsidRPr="00104F4B">
        <w:rPr>
          <w:rFonts w:ascii="Arial" w:hAnsi="Arial" w:cs="Arial"/>
          <w:lang w:val="es-MX"/>
        </w:rPr>
        <w:t>Continuar fortaleciendo la comunicación entre las áreas del Instituto, a fin de mejorar la articulación, coordinación y los resultados en la estructuración de los procesos.</w:t>
      </w:r>
    </w:p>
    <w:p w:rsidR="007C2377" w:rsidRPr="00104F4B" w:rsidRDefault="007C2377" w:rsidP="002625A5">
      <w:pPr>
        <w:pStyle w:val="Prrafodelista"/>
        <w:numPr>
          <w:ilvl w:val="0"/>
          <w:numId w:val="54"/>
        </w:numPr>
        <w:spacing w:before="0" w:after="160" w:line="259" w:lineRule="auto"/>
        <w:contextualSpacing/>
        <w:rPr>
          <w:rFonts w:ascii="Arial" w:hAnsi="Arial" w:cs="Arial"/>
          <w:lang w:val="es-MX"/>
        </w:rPr>
      </w:pPr>
      <w:r w:rsidRPr="00104F4B">
        <w:rPr>
          <w:rFonts w:ascii="Arial" w:hAnsi="Arial" w:cs="Arial"/>
          <w:lang w:val="es-MX"/>
        </w:rPr>
        <w:t>Propender por incrementar los conocimientos en gestión y gerenciamiento de proyectos en los profesionales encargados de apoyar la supervisión de los proyectos.</w:t>
      </w:r>
    </w:p>
    <w:p w:rsidR="007C2377" w:rsidRPr="00104F4B" w:rsidRDefault="007C2377" w:rsidP="009A4DDD">
      <w:pPr>
        <w:pStyle w:val="Prrafodelista"/>
        <w:numPr>
          <w:ilvl w:val="0"/>
          <w:numId w:val="54"/>
        </w:numPr>
        <w:spacing w:before="0"/>
        <w:ind w:left="714" w:hanging="357"/>
        <w:contextualSpacing/>
        <w:rPr>
          <w:rFonts w:ascii="Arial" w:hAnsi="Arial" w:cs="Arial"/>
          <w:lang w:val="es-MX"/>
        </w:rPr>
      </w:pPr>
      <w:r w:rsidRPr="00104F4B">
        <w:rPr>
          <w:rFonts w:ascii="Arial" w:hAnsi="Arial" w:cs="Arial"/>
          <w:lang w:val="es-MX"/>
        </w:rPr>
        <w:t>Mantener el fortalecimiento e interiorización de la metodología institucional para el gerenciamiento de proyectos, y continuar haciéndola exigible a los contratistas.</w:t>
      </w:r>
    </w:p>
    <w:p w:rsidR="007C2377" w:rsidRPr="00104F4B" w:rsidRDefault="007C2377" w:rsidP="009A4DDD">
      <w:pPr>
        <w:pStyle w:val="Prrafodelista"/>
        <w:numPr>
          <w:ilvl w:val="0"/>
          <w:numId w:val="55"/>
        </w:numPr>
        <w:shd w:val="clear" w:color="auto" w:fill="FFFFFF"/>
        <w:spacing w:before="0"/>
        <w:ind w:left="714" w:hanging="357"/>
        <w:rPr>
          <w:rFonts w:ascii="Arial" w:hAnsi="Arial" w:cs="Arial"/>
          <w:color w:val="222222"/>
        </w:rPr>
      </w:pPr>
      <w:r w:rsidRPr="00104F4B">
        <w:rPr>
          <w:rFonts w:ascii="Arial" w:hAnsi="Arial" w:cs="Arial"/>
          <w:lang w:val="es-MX"/>
        </w:rPr>
        <w:t>Seguir revisando y ajustando, de acuerdo con los requerimientos normativos, el</w:t>
      </w:r>
      <w:r w:rsidRPr="00104F4B">
        <w:rPr>
          <w:rFonts w:ascii="Arial" w:hAnsi="Arial" w:cs="Arial"/>
          <w:color w:val="222222"/>
        </w:rPr>
        <w:t xml:space="preserve"> presupuesto para las necesidades del proyecto con respecto a las cantidades de los dispositivos requeridos para el buen funcionamiento de la señalización y semaforización.</w:t>
      </w:r>
    </w:p>
    <w:p w:rsidR="007C2377" w:rsidRPr="00104F4B" w:rsidRDefault="007C2377" w:rsidP="009A4DDD">
      <w:pPr>
        <w:pStyle w:val="Prrafodelista"/>
        <w:numPr>
          <w:ilvl w:val="0"/>
          <w:numId w:val="55"/>
        </w:numPr>
        <w:spacing w:before="0"/>
        <w:ind w:left="714" w:hanging="357"/>
        <w:rPr>
          <w:rFonts w:ascii="Arial" w:hAnsi="Arial" w:cs="Arial"/>
        </w:rPr>
      </w:pPr>
      <w:r w:rsidRPr="00104F4B">
        <w:rPr>
          <w:rFonts w:ascii="Arial" w:hAnsi="Arial" w:cs="Arial"/>
        </w:rPr>
        <w:t>Continuar con el desarrollo de un nuevo software de Sistema de información de pólizas, acorde con los requerimientos actuales.</w:t>
      </w:r>
    </w:p>
    <w:p w:rsidR="007C2377" w:rsidRPr="00104F4B" w:rsidRDefault="007C2377" w:rsidP="009A4DDD">
      <w:pPr>
        <w:pStyle w:val="Prrafodelista"/>
        <w:numPr>
          <w:ilvl w:val="0"/>
          <w:numId w:val="55"/>
        </w:numPr>
        <w:spacing w:before="0"/>
        <w:ind w:left="714" w:hanging="357"/>
        <w:rPr>
          <w:rFonts w:ascii="Arial" w:eastAsia="Arial Unicode MS" w:hAnsi="Arial" w:cs="Arial"/>
        </w:rPr>
      </w:pPr>
      <w:r w:rsidRPr="00104F4B">
        <w:rPr>
          <w:rFonts w:ascii="Arial" w:eastAsia="Arial Unicode MS" w:hAnsi="Arial" w:cs="Arial"/>
        </w:rPr>
        <w:t xml:space="preserve">Fortalecer el comité operativo de obras de infraestructura del distrito para  mejorar la articulación entre las entidades y las empresas de servicios públicos durante la ejecución de las obras. </w:t>
      </w:r>
    </w:p>
    <w:p w:rsidR="007C2377" w:rsidRPr="00104F4B" w:rsidRDefault="007C2377" w:rsidP="009A4DDD">
      <w:pPr>
        <w:pStyle w:val="Prrafodelista"/>
        <w:numPr>
          <w:ilvl w:val="0"/>
          <w:numId w:val="55"/>
        </w:numPr>
        <w:spacing w:before="0"/>
        <w:ind w:left="714" w:hanging="357"/>
        <w:rPr>
          <w:rFonts w:ascii="Arial" w:eastAsia="Arial Unicode MS" w:hAnsi="Arial" w:cs="Arial"/>
        </w:rPr>
      </w:pPr>
      <w:r w:rsidRPr="00104F4B">
        <w:rPr>
          <w:rFonts w:ascii="Arial" w:eastAsia="Arial Unicode MS" w:hAnsi="Arial" w:cs="Arial"/>
        </w:rPr>
        <w:t>Promover normas sancionatorias contundentes por incumplimiento a la norma urbanística y gestionar la viabilidad de contar con garantía que ampare el incumplimiento durante las  intervenciones del espacio público en redes de servicios públicos.</w:t>
      </w:r>
    </w:p>
    <w:p w:rsidR="007C2377" w:rsidRPr="00104F4B" w:rsidRDefault="007C2377" w:rsidP="009A4DDD">
      <w:pPr>
        <w:pStyle w:val="Prrafodelista"/>
        <w:numPr>
          <w:ilvl w:val="0"/>
          <w:numId w:val="55"/>
        </w:numPr>
        <w:spacing w:before="0"/>
        <w:ind w:left="714" w:hanging="357"/>
        <w:rPr>
          <w:rFonts w:ascii="Arial" w:hAnsi="Arial" w:cs="Arial"/>
        </w:rPr>
      </w:pPr>
      <w:r w:rsidRPr="00104F4B">
        <w:rPr>
          <w:rFonts w:ascii="Arial" w:hAnsi="Arial" w:cs="Arial"/>
        </w:rPr>
        <w:t>Lograr que a nivel distrital se genere un solo radicado virtual ante la VUC, que permita al Urbanizador entregar toda la información de su proyecto, para que la entidad que quede a cargo, distribuya entre las entidades y las empresas de servicios públicos involucradas los documentos para revisión y concepto correspondiente, y posteriormente consolide una sola respuesta para el interesado, lo cual permitiría armonizar los diseños y obras en todos sus componentes y disminuir a un solo trámite la entrega de las áreas de cesión obligatorias al Distrito.</w:t>
      </w:r>
    </w:p>
    <w:p w:rsidR="007C2377" w:rsidRPr="00104F4B" w:rsidRDefault="007C2377" w:rsidP="009A4DDD">
      <w:pPr>
        <w:pStyle w:val="Prrafodelista"/>
        <w:numPr>
          <w:ilvl w:val="0"/>
          <w:numId w:val="55"/>
        </w:numPr>
        <w:spacing w:before="0"/>
        <w:ind w:left="714" w:hanging="357"/>
        <w:rPr>
          <w:rFonts w:ascii="Arial" w:hAnsi="Arial" w:cs="Arial"/>
        </w:rPr>
      </w:pPr>
      <w:r w:rsidRPr="00104F4B">
        <w:rPr>
          <w:rFonts w:ascii="Arial" w:hAnsi="Arial" w:cs="Arial"/>
        </w:rPr>
        <w:lastRenderedPageBreak/>
        <w:t>Generar mediante algún instrumento de control urbano la obligatoriedad al Urbanizador, de realizar la entrega de las áreas de cesión, previo a la entrega de las viviendas a los compradores y no dejarlo hasta el final. Esta sugerencia se realizó en el proyecto del POT que se observó según solicitud de la SGDU para la SDP.</w:t>
      </w:r>
    </w:p>
    <w:p w:rsidR="007C2377" w:rsidRPr="00104F4B" w:rsidRDefault="007C2377" w:rsidP="009A4DDD">
      <w:pPr>
        <w:pStyle w:val="Prrafodelista"/>
        <w:numPr>
          <w:ilvl w:val="0"/>
          <w:numId w:val="55"/>
        </w:numPr>
        <w:spacing w:before="0"/>
        <w:ind w:left="714" w:hanging="357"/>
        <w:rPr>
          <w:rFonts w:ascii="Arial" w:hAnsi="Arial" w:cs="Arial"/>
        </w:rPr>
      </w:pPr>
      <w:r w:rsidRPr="00104F4B">
        <w:rPr>
          <w:rFonts w:ascii="Arial" w:hAnsi="Arial" w:cs="Arial"/>
        </w:rPr>
        <w:t>Generar la obligatoriedad de realizar intervenciones de paramento a paramento para segmentos viales completos que permitan construir ciudad de una manera integral y no segmentada como se realiza en la actualidad. Esta sugerencia se realizó en el proyecto del POT que se observó según solicitud de la SGDU para la SDP.</w:t>
      </w:r>
    </w:p>
    <w:p w:rsidR="007C2377" w:rsidRPr="00104F4B" w:rsidRDefault="007C2377" w:rsidP="009A4DDD">
      <w:pPr>
        <w:pStyle w:val="Prrafodelista"/>
        <w:numPr>
          <w:ilvl w:val="0"/>
          <w:numId w:val="55"/>
        </w:numPr>
        <w:spacing w:before="0"/>
        <w:ind w:left="714" w:hanging="357"/>
        <w:rPr>
          <w:rFonts w:ascii="Arial" w:hAnsi="Arial" w:cs="Arial"/>
        </w:rPr>
      </w:pPr>
      <w:r w:rsidRPr="00104F4B">
        <w:rPr>
          <w:rFonts w:ascii="Arial" w:hAnsi="Arial" w:cs="Arial"/>
        </w:rPr>
        <w:t>Fortalecer mecanismos de coordinación entre la Secretaría de Gobierno, las Alcaldías Locales y las Entidades Distritales con el objeto de mejorar el control al uso indebido del espacio público.</w:t>
      </w:r>
    </w:p>
    <w:p w:rsidR="007C2377" w:rsidRPr="00104F4B" w:rsidRDefault="007C2377" w:rsidP="009A4DDD">
      <w:pPr>
        <w:pStyle w:val="Prrafodelista"/>
        <w:numPr>
          <w:ilvl w:val="0"/>
          <w:numId w:val="55"/>
        </w:numPr>
        <w:spacing w:before="0"/>
        <w:ind w:left="714" w:hanging="357"/>
        <w:rPr>
          <w:rFonts w:ascii="Arial" w:hAnsi="Arial" w:cs="Arial"/>
        </w:rPr>
      </w:pPr>
      <w:r w:rsidRPr="00104F4B">
        <w:rPr>
          <w:rFonts w:ascii="Arial" w:hAnsi="Arial" w:cs="Arial"/>
        </w:rPr>
        <w:t>Mantener actualizada la información de inventario detallado geométrico y estructural de los puentes de la Ciudad.</w:t>
      </w:r>
    </w:p>
    <w:p w:rsidR="007C2377" w:rsidRPr="00104F4B" w:rsidRDefault="007C2377" w:rsidP="009A4DDD">
      <w:pPr>
        <w:pStyle w:val="Prrafodelista"/>
        <w:numPr>
          <w:ilvl w:val="0"/>
          <w:numId w:val="55"/>
        </w:numPr>
        <w:spacing w:before="0"/>
        <w:ind w:left="714" w:hanging="357"/>
        <w:rPr>
          <w:rFonts w:ascii="Arial" w:hAnsi="Arial" w:cs="Arial"/>
        </w:rPr>
      </w:pPr>
      <w:r w:rsidRPr="00104F4B">
        <w:rPr>
          <w:rFonts w:ascii="Arial" w:hAnsi="Arial" w:cs="Arial"/>
        </w:rPr>
        <w:t>Desarrollar un software para la información producto de la inspección y diagnóstico de puentes, a fin de tener un histórico del estado de los puentes y de esta manera facilitar la toma de decisiones frente a reparaciones y/o mantenimientos.</w:t>
      </w:r>
    </w:p>
    <w:p w:rsidR="007C2377" w:rsidRPr="00104F4B" w:rsidRDefault="007C2377" w:rsidP="009A4DDD">
      <w:pPr>
        <w:pStyle w:val="Prrafodelista"/>
        <w:numPr>
          <w:ilvl w:val="0"/>
          <w:numId w:val="55"/>
        </w:numPr>
        <w:spacing w:before="0"/>
        <w:ind w:left="714" w:hanging="357"/>
        <w:rPr>
          <w:rFonts w:ascii="Arial" w:hAnsi="Arial" w:cs="Arial"/>
        </w:rPr>
      </w:pPr>
      <w:r w:rsidRPr="00104F4B">
        <w:rPr>
          <w:rFonts w:ascii="Arial" w:hAnsi="Arial" w:cs="Arial"/>
        </w:rPr>
        <w:t>Socialización e implementación de la nueva metodología de inspección de puentes.</w:t>
      </w:r>
    </w:p>
    <w:p w:rsidR="007C2377" w:rsidRPr="00104F4B" w:rsidRDefault="007C2377" w:rsidP="009A4DDD">
      <w:pPr>
        <w:pStyle w:val="Prrafodelista"/>
        <w:numPr>
          <w:ilvl w:val="0"/>
          <w:numId w:val="55"/>
        </w:numPr>
        <w:spacing w:before="0"/>
        <w:ind w:left="714" w:hanging="357"/>
        <w:rPr>
          <w:rFonts w:ascii="Arial" w:hAnsi="Arial" w:cs="Arial"/>
        </w:rPr>
      </w:pPr>
      <w:r w:rsidRPr="00104F4B">
        <w:rPr>
          <w:rFonts w:ascii="Arial" w:hAnsi="Arial" w:cs="Arial"/>
        </w:rPr>
        <w:t xml:space="preserve">Ante el próximo vencimiento del plazo de los contratos de concesión de parqueaderos subterráneos administrados por el IDU, la interventoría debe continuar realizado las gestiones previas requeridas para la revisión de la infraestructura, el inventario documental y físico de elementos. Así mismo se requiere que el Instituto defina urgentemente el futuro de la administración de los estacionamientos ante la solicitud de traspaso del DADEP, ya que la falta de definición podría retrasar el inicio de procesos licitatorios, y afectar la continuidad en la prestación del servicio al término de los contratos vigentes. </w:t>
      </w:r>
    </w:p>
    <w:p w:rsidR="007C2377" w:rsidRPr="00104F4B" w:rsidRDefault="007C2377" w:rsidP="009A4DDD">
      <w:pPr>
        <w:pStyle w:val="Prrafodelista"/>
        <w:numPr>
          <w:ilvl w:val="0"/>
          <w:numId w:val="55"/>
        </w:numPr>
        <w:spacing w:before="0"/>
        <w:ind w:left="714" w:hanging="357"/>
        <w:rPr>
          <w:rFonts w:ascii="Arial" w:hAnsi="Arial" w:cs="Arial"/>
        </w:rPr>
      </w:pPr>
      <w:r w:rsidRPr="00104F4B">
        <w:rPr>
          <w:rFonts w:ascii="Arial" w:hAnsi="Arial" w:cs="Arial"/>
        </w:rPr>
        <w:t>Para los parqueaderos de nivel de propiedad del IDU, se ha venido solicitando al contratista, Terminal de Transportes S.A., establecer desarrollar estrategias de mercadeo que permitan mejorar el ingreso de los parqueaderos. De otro lado, y teniendo en cuenta la terminación del contrato interadministrativo 1436 de 2018 prevista para el 16 de abril de 2019, se requiere la definición del Instituto respecto a continuar o no la venta de los predios para así poder establecer el mecanismo a través del cual se pueda dar continuidad a la prestación del servicio después de esa fecha.</w:t>
      </w:r>
    </w:p>
    <w:p w:rsidR="007C2377" w:rsidRPr="00104F4B" w:rsidRDefault="007C2377" w:rsidP="009A4DDD">
      <w:pPr>
        <w:pStyle w:val="Prrafodelista"/>
        <w:numPr>
          <w:ilvl w:val="0"/>
          <w:numId w:val="55"/>
        </w:numPr>
        <w:spacing w:before="0"/>
        <w:ind w:left="714" w:hanging="357"/>
        <w:rPr>
          <w:rFonts w:ascii="Arial" w:hAnsi="Arial" w:cs="Arial"/>
        </w:rPr>
      </w:pPr>
      <w:r w:rsidRPr="00104F4B">
        <w:rPr>
          <w:rFonts w:ascii="Arial" w:hAnsi="Arial" w:cs="Arial"/>
        </w:rPr>
        <w:t xml:space="preserve">Para el cierre de pendientes de recibo con las ESP de los convenios liquidados y en proceso de terminación y liquidación, se requiere de una mayor colaboración de las áreas ejecutoras..  </w:t>
      </w:r>
    </w:p>
    <w:p w:rsidR="007C2377" w:rsidRPr="00104F4B" w:rsidRDefault="007C2377" w:rsidP="009A4DDD">
      <w:pPr>
        <w:pStyle w:val="Prrafodelista"/>
        <w:numPr>
          <w:ilvl w:val="0"/>
          <w:numId w:val="55"/>
        </w:numPr>
        <w:shd w:val="clear" w:color="auto" w:fill="FFFFFF"/>
        <w:spacing w:before="0"/>
        <w:ind w:left="714" w:hanging="357"/>
        <w:rPr>
          <w:rFonts w:ascii="Arial" w:hAnsi="Arial" w:cs="Arial"/>
        </w:rPr>
      </w:pPr>
      <w:r w:rsidRPr="00104F4B">
        <w:rPr>
          <w:rFonts w:ascii="Arial" w:hAnsi="Arial" w:cs="Arial"/>
        </w:rPr>
        <w:t xml:space="preserve">Con el objetivo de estar atendiendo de forma continua la malla vial de la ciudad, se debe contar de manera permanente con contratos tipo "Brigada de Reacción Vial" mediante los cuales se realicen acciones de movilidad en los corredores de la malla vial arterial y con ello mejorar las condiciones de seguridad y transitabilidad, mitigando de forma puntual la generación de accidentes por presencia de daños que afecten la movilidad, lo anterior, ante los grandes rezagos que existen en la asignación de recursos, lo cual no ha permitido que el IDU genere un "Programa de Conservación" </w:t>
      </w:r>
    </w:p>
    <w:p w:rsidR="007C2377" w:rsidRPr="00104F4B" w:rsidRDefault="007C2377" w:rsidP="009A4DDD">
      <w:pPr>
        <w:pStyle w:val="Prrafodelista"/>
        <w:numPr>
          <w:ilvl w:val="0"/>
          <w:numId w:val="55"/>
        </w:numPr>
        <w:shd w:val="clear" w:color="auto" w:fill="FFFFFF"/>
        <w:spacing w:before="0"/>
        <w:ind w:left="714" w:hanging="357"/>
        <w:rPr>
          <w:rFonts w:ascii="Arial" w:hAnsi="Arial" w:cs="Arial"/>
        </w:rPr>
      </w:pPr>
      <w:r w:rsidRPr="00104F4B">
        <w:rPr>
          <w:rFonts w:ascii="Arial" w:hAnsi="Arial" w:cs="Arial"/>
        </w:rPr>
        <w:t>Se debe trabajar en la búsqueda de recursos presupuestales para la conservación de malla vial y puentes vehiculares, pues es dicha infraestructura la que presenta mayor grado de deterioro progresivo en la ciudad.</w:t>
      </w:r>
    </w:p>
    <w:p w:rsidR="007C2377" w:rsidRPr="00104F4B" w:rsidRDefault="007C2377" w:rsidP="009A4DDD">
      <w:pPr>
        <w:pStyle w:val="Prrafodelista"/>
        <w:numPr>
          <w:ilvl w:val="0"/>
          <w:numId w:val="55"/>
        </w:numPr>
        <w:shd w:val="clear" w:color="auto" w:fill="FFFFFF"/>
        <w:spacing w:before="0"/>
        <w:ind w:left="714" w:hanging="357"/>
        <w:rPr>
          <w:rFonts w:ascii="Arial" w:hAnsi="Arial" w:cs="Arial"/>
        </w:rPr>
      </w:pPr>
      <w:r w:rsidRPr="00104F4B">
        <w:rPr>
          <w:rFonts w:ascii="Arial" w:hAnsi="Arial" w:cs="Arial"/>
        </w:rPr>
        <w:t>La Entidad debe propender para que el inicio de los contratos de conservación se de en el primer trimestre del año, puesto que, si se tiene ejecución en el transcurso del año, durante el transcurso y finalizando este, se pueden entregar mayor cantidad de obras que beneficiaran a la comunidad y redundará en mostrar mejores resultados en los indicadores de gestión tanto financieros como físicos del IDU.</w:t>
      </w:r>
    </w:p>
    <w:p w:rsidR="007C2377" w:rsidRPr="00104F4B" w:rsidRDefault="007C2377" w:rsidP="009A4DDD">
      <w:pPr>
        <w:pStyle w:val="Prrafodelista"/>
        <w:numPr>
          <w:ilvl w:val="0"/>
          <w:numId w:val="55"/>
        </w:numPr>
        <w:shd w:val="clear" w:color="auto" w:fill="FFFFFF"/>
        <w:spacing w:before="0"/>
        <w:ind w:left="714" w:hanging="357"/>
        <w:rPr>
          <w:rFonts w:ascii="Arial" w:hAnsi="Arial" w:cs="Arial"/>
        </w:rPr>
      </w:pPr>
      <w:r w:rsidRPr="00104F4B">
        <w:rPr>
          <w:rFonts w:ascii="Arial" w:hAnsi="Arial" w:cs="Arial"/>
        </w:rPr>
        <w:lastRenderedPageBreak/>
        <w:t>La DTP, debe tener en cuenta las observaciones que se realizan en el proceso de retroalimentación por parte de la DTM, en la estructuración de los documentos técnicos soporte de los diferentes programas de conservación, dado que son realizadas de acuerdo a la experiencia de los contratos anteriormente ejecutados.</w:t>
      </w:r>
    </w:p>
    <w:p w:rsidR="007C2377" w:rsidRPr="00104F4B" w:rsidRDefault="007C2377" w:rsidP="009A4DDD">
      <w:pPr>
        <w:pStyle w:val="Prrafodelista"/>
        <w:numPr>
          <w:ilvl w:val="0"/>
          <w:numId w:val="55"/>
        </w:numPr>
        <w:shd w:val="clear" w:color="auto" w:fill="FFFFFF"/>
        <w:spacing w:before="0"/>
        <w:ind w:left="714" w:hanging="357"/>
        <w:rPr>
          <w:rFonts w:ascii="Arial" w:hAnsi="Arial" w:cs="Arial"/>
        </w:rPr>
      </w:pPr>
      <w:r w:rsidRPr="00104F4B">
        <w:rPr>
          <w:rFonts w:ascii="Arial" w:hAnsi="Arial" w:cs="Arial"/>
        </w:rPr>
        <w:t>Se deben revisar los tiempos de estructuración de los proyectos, teniendo en cuenta que desde el mes de octubre se conoce en el anteproyecto el valor que será asignado en la siguiente vigencia y por lo cual se debe dejar adelantado desde el mismo año el proceso, con el fin de ejecutar en lo posible los recursos en la misma vigencia de asignación y evitar la constitución de reservas presupuestales y pasivos exigibles.</w:t>
      </w:r>
    </w:p>
    <w:p w:rsidR="007C2377" w:rsidRPr="00104F4B" w:rsidRDefault="007C2377" w:rsidP="009A4DDD">
      <w:pPr>
        <w:pStyle w:val="Prrafodelista"/>
        <w:numPr>
          <w:ilvl w:val="0"/>
          <w:numId w:val="55"/>
        </w:numPr>
        <w:shd w:val="clear" w:color="auto" w:fill="FFFFFF"/>
        <w:spacing w:before="0"/>
        <w:ind w:left="714" w:hanging="357"/>
        <w:rPr>
          <w:rFonts w:ascii="Arial" w:hAnsi="Arial" w:cs="Arial"/>
        </w:rPr>
      </w:pPr>
      <w:r w:rsidRPr="00104F4B">
        <w:rPr>
          <w:rFonts w:ascii="Arial" w:hAnsi="Arial" w:cs="Arial"/>
        </w:rPr>
        <w:t>Priorización de vías: la meta física definida por la DTP deber ser acorde al presupuesto disponible y al estado superficial de los segmentos priorizados.</w:t>
      </w:r>
    </w:p>
    <w:p w:rsidR="007C2377" w:rsidRPr="00104F4B" w:rsidRDefault="007C2377" w:rsidP="009A4DDD">
      <w:pPr>
        <w:pStyle w:val="Prrafodelista"/>
        <w:numPr>
          <w:ilvl w:val="0"/>
          <w:numId w:val="55"/>
        </w:numPr>
        <w:spacing w:before="0"/>
        <w:ind w:left="714" w:hanging="357"/>
        <w:contextualSpacing/>
        <w:rPr>
          <w:rFonts w:ascii="Arial" w:hAnsi="Arial" w:cs="Arial"/>
        </w:rPr>
      </w:pPr>
      <w:r w:rsidRPr="00104F4B">
        <w:rPr>
          <w:rFonts w:ascii="Arial" w:hAnsi="Arial" w:cs="Arial"/>
        </w:rPr>
        <w:t>Se debe continuar con la operación del patio fresado teniendo en cuenta que dicho centro de acopio es un activo de la Entidad. Por lo tanto, se debe considerar que para la administración del mismo es indispensable contar con todos los insumos necesarios para su funcionamiento.</w:t>
      </w:r>
    </w:p>
    <w:p w:rsidR="007C2377" w:rsidRPr="00104F4B" w:rsidRDefault="007C2377" w:rsidP="009A4DDD">
      <w:pPr>
        <w:pStyle w:val="Prrafodelista"/>
        <w:numPr>
          <w:ilvl w:val="0"/>
          <w:numId w:val="55"/>
        </w:numPr>
        <w:spacing w:before="0"/>
        <w:ind w:left="714" w:hanging="357"/>
        <w:contextualSpacing/>
        <w:rPr>
          <w:rFonts w:ascii="Arial" w:hAnsi="Arial" w:cs="Arial"/>
        </w:rPr>
      </w:pPr>
      <w:r w:rsidRPr="00104F4B">
        <w:rPr>
          <w:rFonts w:ascii="Arial" w:hAnsi="Arial" w:cs="Arial"/>
        </w:rPr>
        <w:t>Es necesario dar continuidad al control a la vigencia de la Garantía de Cumplimiento de la totalidad de contratos que se ejecutan en sus diferentes estados (En Ejecución, terminado, y en proceso de liquidación), garantizando de esta forma, el cumplimiento de las obligaciones surgidas a favor del Instituto con ocasión de la celebración de los contratos.</w:t>
      </w:r>
    </w:p>
    <w:p w:rsidR="007C2377" w:rsidRPr="00104F4B" w:rsidRDefault="007C2377" w:rsidP="009A4DDD">
      <w:pPr>
        <w:pStyle w:val="Prrafodelista"/>
        <w:numPr>
          <w:ilvl w:val="0"/>
          <w:numId w:val="55"/>
        </w:numPr>
        <w:spacing w:before="0"/>
        <w:ind w:left="714" w:hanging="357"/>
        <w:rPr>
          <w:rFonts w:ascii="Arial" w:hAnsi="Arial" w:cs="Arial"/>
        </w:rPr>
      </w:pPr>
      <w:r w:rsidRPr="00104F4B">
        <w:rPr>
          <w:rFonts w:ascii="Arial" w:hAnsi="Arial" w:cs="Arial"/>
        </w:rPr>
        <w:t>Teniendo en cuenta los proyectos a ejecutar y liquidar, continuar con las gestiones requeridas para la contratación del personal idóneo en sus diferentes especialidades (técnico, administrativo, financiero, legal, social, ambiental, SST, forestal, mecánico, contractual),  por prestación de servicios, para realizar la supervisión,  coordinación y seguimiento correspondiente a los contratos que se desarrollen en la DTM.</w:t>
      </w:r>
    </w:p>
    <w:p w:rsidR="007C2377" w:rsidRPr="00104F4B" w:rsidRDefault="007C2377" w:rsidP="009A4DDD">
      <w:pPr>
        <w:pStyle w:val="Prrafodelista"/>
        <w:numPr>
          <w:ilvl w:val="0"/>
          <w:numId w:val="55"/>
        </w:numPr>
        <w:spacing w:before="0"/>
        <w:ind w:left="714" w:hanging="357"/>
        <w:rPr>
          <w:rFonts w:ascii="Arial" w:hAnsi="Arial" w:cs="Arial"/>
        </w:rPr>
      </w:pPr>
      <w:r w:rsidRPr="00104F4B">
        <w:rPr>
          <w:rFonts w:ascii="Arial" w:hAnsi="Arial" w:cs="Arial"/>
        </w:rPr>
        <w:t xml:space="preserve">Se sugiere establecer espacios para el intercambio de experiencias e inquietudes, entre los responsables del IDU de cada uno de los componentes, de tal manera que construyan criterios unificados frente al desarrollo de los proyectos y las exigencias que se deben plantear a contratistas e interventorías en los comités y recorridos de obra. </w:t>
      </w:r>
    </w:p>
    <w:p w:rsidR="007C2377" w:rsidRPr="00104F4B" w:rsidRDefault="007C2377" w:rsidP="009A4DDD">
      <w:pPr>
        <w:pStyle w:val="Prrafodelista"/>
        <w:numPr>
          <w:ilvl w:val="0"/>
          <w:numId w:val="55"/>
        </w:numPr>
        <w:spacing w:before="0"/>
        <w:ind w:left="714" w:hanging="357"/>
        <w:rPr>
          <w:rFonts w:ascii="Arial" w:hAnsi="Arial" w:cs="Arial"/>
        </w:rPr>
      </w:pPr>
      <w:r w:rsidRPr="00104F4B">
        <w:rPr>
          <w:rFonts w:ascii="Arial" w:hAnsi="Arial" w:cs="Arial"/>
        </w:rPr>
        <w:t>Fortalecer los aplicativos y/o herramientas tecnológicas como lo son SIAC, ZIPA, COLECTOR, a fin de contar con datos únicos y reales que puedan ser consultados para los diferentes informes que se requieran para Entes de control, medios de comunicación y/o comunidad en general, evitando tener diferencias en el reporte de datos.</w:t>
      </w:r>
    </w:p>
    <w:p w:rsidR="007C2377" w:rsidRPr="00104F4B" w:rsidRDefault="007C2377" w:rsidP="009A4DDD">
      <w:pPr>
        <w:pStyle w:val="Prrafodelista"/>
        <w:numPr>
          <w:ilvl w:val="0"/>
          <w:numId w:val="55"/>
        </w:numPr>
        <w:spacing w:before="0"/>
        <w:ind w:left="714" w:hanging="357"/>
        <w:rPr>
          <w:rFonts w:ascii="Arial" w:hAnsi="Arial" w:cs="Arial"/>
        </w:rPr>
      </w:pPr>
      <w:r w:rsidRPr="00104F4B">
        <w:rPr>
          <w:rFonts w:ascii="Arial" w:hAnsi="Arial" w:cs="Arial"/>
        </w:rPr>
        <w:t xml:space="preserve">Conformar un grupo de profesionales entre el IDU y la SDM, a fin de articular y minimizar los tiempos de aprobación de los PMT y las devoluciones en las aprobaciones correspondientes. </w:t>
      </w:r>
    </w:p>
    <w:p w:rsidR="007C2377" w:rsidRPr="00104F4B" w:rsidRDefault="007C2377" w:rsidP="009A4DDD">
      <w:pPr>
        <w:pStyle w:val="Prrafodelista"/>
        <w:numPr>
          <w:ilvl w:val="0"/>
          <w:numId w:val="55"/>
        </w:numPr>
        <w:spacing w:before="0"/>
        <w:ind w:left="714" w:hanging="357"/>
        <w:rPr>
          <w:rFonts w:ascii="Arial" w:hAnsi="Arial" w:cs="Arial"/>
        </w:rPr>
      </w:pPr>
      <w:r w:rsidRPr="00104F4B">
        <w:rPr>
          <w:rFonts w:ascii="Arial" w:hAnsi="Arial" w:cs="Arial"/>
        </w:rPr>
        <w:t>Realizar gestiones necesarias para contratar un grupo multidisciplinario que permita realizar el apoyo a la supresión a los nuevos contratos a cargo del área.</w:t>
      </w:r>
    </w:p>
    <w:p w:rsidR="007C2377" w:rsidRPr="00104F4B" w:rsidRDefault="007C2377" w:rsidP="009A4DDD">
      <w:pPr>
        <w:pStyle w:val="Prrafodelista"/>
        <w:numPr>
          <w:ilvl w:val="0"/>
          <w:numId w:val="55"/>
        </w:numPr>
        <w:spacing w:before="0"/>
        <w:ind w:left="714" w:hanging="357"/>
        <w:contextualSpacing/>
        <w:rPr>
          <w:rFonts w:ascii="Arial" w:hAnsi="Arial" w:cs="Arial"/>
          <w:lang w:val="es-MX"/>
        </w:rPr>
      </w:pPr>
      <w:r w:rsidRPr="00104F4B">
        <w:rPr>
          <w:rFonts w:ascii="Arial" w:hAnsi="Arial" w:cs="Arial"/>
          <w:lang w:val="es-MX"/>
        </w:rPr>
        <w:t>Continuar con el seguimiento a los procesos Administrativos sancionatorios, tanto en los contratos de ejecución al igual que los procesos en liquidación, con el objeto de identificar dilaciones en el cumplimiento de los requisitos exigidos.</w:t>
      </w:r>
    </w:p>
    <w:p w:rsidR="007C2377" w:rsidRPr="00104F4B" w:rsidRDefault="007C2377" w:rsidP="009A4DDD">
      <w:pPr>
        <w:pStyle w:val="Prrafodelista"/>
        <w:numPr>
          <w:ilvl w:val="0"/>
          <w:numId w:val="55"/>
        </w:numPr>
        <w:spacing w:before="0"/>
        <w:ind w:left="714" w:hanging="357"/>
        <w:contextualSpacing/>
        <w:rPr>
          <w:rFonts w:ascii="Arial" w:hAnsi="Arial" w:cs="Arial"/>
          <w:lang w:val="es-MX"/>
        </w:rPr>
      </w:pPr>
      <w:r w:rsidRPr="00104F4B">
        <w:rPr>
          <w:rFonts w:ascii="Arial" w:hAnsi="Arial" w:cs="Arial"/>
          <w:lang w:val="es-MX"/>
        </w:rPr>
        <w:t>Se recomienda mejorar el tiempo de respuestas a los conceptos técnicos que se solicitan a las otras áreas, con el fin de obtener resultados en los tiempos establecidos.</w:t>
      </w:r>
    </w:p>
    <w:p w:rsidR="007C2377" w:rsidRPr="00104F4B" w:rsidRDefault="007C2377" w:rsidP="009A4DDD">
      <w:pPr>
        <w:pStyle w:val="Prrafodelista"/>
        <w:numPr>
          <w:ilvl w:val="0"/>
          <w:numId w:val="55"/>
        </w:numPr>
        <w:spacing w:before="0"/>
        <w:ind w:left="714" w:hanging="357"/>
        <w:contextualSpacing/>
        <w:rPr>
          <w:rFonts w:ascii="Arial" w:hAnsi="Arial" w:cs="Arial"/>
        </w:rPr>
      </w:pPr>
      <w:r w:rsidRPr="00104F4B">
        <w:rPr>
          <w:rFonts w:ascii="Arial" w:hAnsi="Arial" w:cs="Arial"/>
        </w:rPr>
        <w:t xml:space="preserve">Se deben revisar con más rigurosidad los productos de las consultorías y los productos de la Etapa de Diseños cuando los contratos son Mixtos toda vez que la entidad estatal debe tener un conocimiento real de los precios de las cosas y de las obras o servicios que constituyen el objeto del contrato, solo de esta manera se podrán aprovechar eficientemente los recursos públicos y evitar posibles sobrecostos </w:t>
      </w:r>
    </w:p>
    <w:p w:rsidR="007C2377" w:rsidRPr="00104F4B" w:rsidRDefault="007C2377" w:rsidP="009A4DDD">
      <w:pPr>
        <w:pStyle w:val="Prrafodelista"/>
        <w:numPr>
          <w:ilvl w:val="0"/>
          <w:numId w:val="55"/>
        </w:numPr>
        <w:spacing w:before="0"/>
        <w:ind w:left="714" w:hanging="357"/>
        <w:contextualSpacing/>
        <w:rPr>
          <w:rFonts w:ascii="Arial" w:hAnsi="Arial" w:cs="Arial"/>
        </w:rPr>
      </w:pPr>
      <w:r w:rsidRPr="00104F4B">
        <w:rPr>
          <w:rFonts w:ascii="Arial" w:hAnsi="Arial" w:cs="Arial"/>
        </w:rPr>
        <w:t>Se requiere no iniciar los contratos en su fase de Ejecución de obra sin contar con la definición de las competencias con todas las ESP.</w:t>
      </w:r>
    </w:p>
    <w:p w:rsidR="007C2377" w:rsidRPr="00104F4B" w:rsidRDefault="007C2377" w:rsidP="009A4DDD">
      <w:pPr>
        <w:pStyle w:val="Prrafodelista"/>
        <w:numPr>
          <w:ilvl w:val="0"/>
          <w:numId w:val="55"/>
        </w:numPr>
        <w:spacing w:before="0"/>
        <w:ind w:left="714" w:hanging="357"/>
        <w:contextualSpacing/>
        <w:rPr>
          <w:rFonts w:ascii="Arial" w:hAnsi="Arial" w:cs="Arial"/>
        </w:rPr>
      </w:pPr>
      <w:r w:rsidRPr="00104F4B">
        <w:rPr>
          <w:rFonts w:ascii="Arial" w:hAnsi="Arial" w:cs="Arial"/>
        </w:rPr>
        <w:lastRenderedPageBreak/>
        <w:t>Fortalecer la cuantificación de tasaciones por el grupo de apoyo técnico a la supervisión para incorporarlas en los procesos administrativos sancionatorios.</w:t>
      </w:r>
    </w:p>
    <w:p w:rsidR="007C2377" w:rsidRPr="00104F4B" w:rsidRDefault="007C2377" w:rsidP="009A4DDD">
      <w:pPr>
        <w:pStyle w:val="Prrafodelista"/>
        <w:numPr>
          <w:ilvl w:val="0"/>
          <w:numId w:val="55"/>
        </w:numPr>
        <w:spacing w:before="0"/>
        <w:ind w:left="714" w:hanging="357"/>
        <w:contextualSpacing/>
        <w:rPr>
          <w:rFonts w:ascii="Arial" w:hAnsi="Arial" w:cs="Arial"/>
        </w:rPr>
      </w:pPr>
      <w:r w:rsidRPr="00104F4B">
        <w:rPr>
          <w:rFonts w:ascii="Arial" w:hAnsi="Arial" w:cs="Arial"/>
        </w:rPr>
        <w:t>Realizar una labor con la ESP y entidades del Distrito para que se articulen en pos del logro y ejecución de los proyectos, toda vez que en muchos casos en lugar de observarse una actitud solidaria se encuentran obstáculos en la ejecución.</w:t>
      </w:r>
    </w:p>
    <w:p w:rsidR="007C2377" w:rsidRPr="00104F4B" w:rsidRDefault="007C2377" w:rsidP="009A4DDD">
      <w:pPr>
        <w:pStyle w:val="Prrafodelista"/>
        <w:numPr>
          <w:ilvl w:val="0"/>
          <w:numId w:val="55"/>
        </w:numPr>
        <w:spacing w:before="0"/>
        <w:ind w:left="714" w:hanging="357"/>
        <w:contextualSpacing/>
        <w:rPr>
          <w:rFonts w:ascii="Arial" w:hAnsi="Arial" w:cs="Arial"/>
        </w:rPr>
      </w:pPr>
      <w:r w:rsidRPr="00104F4B">
        <w:rPr>
          <w:rFonts w:ascii="Arial" w:hAnsi="Arial" w:cs="Arial"/>
        </w:rPr>
        <w:t>Se recomienda propender por un mejor clima laboral, los cambios de personal dentro de las entidades causan efectos negativos como la pérdida de la memoria institucional y la trazabilidad de los procesos llevados. En el caso del Instituto se observa que la carga administrativa es demasiado alta.</w:t>
      </w:r>
    </w:p>
    <w:p w:rsidR="007C2377" w:rsidRPr="00104F4B" w:rsidRDefault="007C2377" w:rsidP="009A4DDD">
      <w:pPr>
        <w:pStyle w:val="Prrafodelista"/>
        <w:numPr>
          <w:ilvl w:val="0"/>
          <w:numId w:val="55"/>
        </w:numPr>
        <w:spacing w:before="0"/>
        <w:ind w:left="714" w:hanging="357"/>
        <w:contextualSpacing/>
        <w:rPr>
          <w:rFonts w:ascii="Arial" w:hAnsi="Arial" w:cs="Arial"/>
        </w:rPr>
      </w:pPr>
      <w:r w:rsidRPr="00104F4B">
        <w:rPr>
          <w:rFonts w:ascii="Arial" w:hAnsi="Arial" w:cs="Arial"/>
        </w:rPr>
        <w:t>Se sugiere la realización de un manual de seguimiento a los convenios para que se ejecuten dentro de los plazos establecidos y de conformidad a los requisitos establecidos contractualmente. Toda vez que no se tiene herramientas claras exigibles para estos casos toda vez que no se enmarcan en las normativas de contratación</w:t>
      </w:r>
    </w:p>
    <w:p w:rsidR="007C2377" w:rsidRPr="00104F4B" w:rsidRDefault="007C2377" w:rsidP="009A4DDD">
      <w:pPr>
        <w:pStyle w:val="Prrafodelista"/>
        <w:numPr>
          <w:ilvl w:val="0"/>
          <w:numId w:val="55"/>
        </w:numPr>
        <w:spacing w:before="0"/>
        <w:ind w:left="714" w:hanging="357"/>
        <w:contextualSpacing/>
        <w:rPr>
          <w:rFonts w:ascii="Arial" w:hAnsi="Arial" w:cs="Arial"/>
          <w:color w:val="222222"/>
        </w:rPr>
      </w:pPr>
      <w:r w:rsidRPr="00104F4B">
        <w:rPr>
          <w:rFonts w:ascii="Arial" w:hAnsi="Arial" w:cs="Arial"/>
          <w:color w:val="222222"/>
        </w:rPr>
        <w:t>Se sugiere continuar con las gestiones y comités de seguimiento pertinentes con las Empresas de Servicios Públicos y Entidades Distritales para lograr las aprobaciones requeridas para los proyectos y para los traslados y maniobras requeridas para el buen desarrollo de las obras, especialmente los traslados de Codensa.</w:t>
      </w:r>
    </w:p>
    <w:p w:rsidR="007C2377" w:rsidRPr="00104F4B" w:rsidRDefault="007C2377" w:rsidP="009A4DDD">
      <w:pPr>
        <w:pStyle w:val="Prrafodelista"/>
        <w:numPr>
          <w:ilvl w:val="0"/>
          <w:numId w:val="55"/>
        </w:numPr>
        <w:spacing w:before="0"/>
        <w:ind w:left="714" w:hanging="357"/>
        <w:contextualSpacing/>
        <w:rPr>
          <w:rFonts w:ascii="Arial" w:hAnsi="Arial" w:cs="Arial"/>
          <w:color w:val="222222"/>
        </w:rPr>
      </w:pPr>
      <w:r w:rsidRPr="00104F4B">
        <w:rPr>
          <w:rFonts w:ascii="Arial" w:hAnsi="Arial" w:cs="Arial"/>
          <w:color w:val="222222"/>
        </w:rPr>
        <w:t>Al momento de realizar la planeación y adjudicación de recursos, se debe analizar que estos recursos estén de acuerdo a las obras a ejecutar y que dichas cuantías no sean estimadas en un valor real, evitando con esto liberar recursos de parte dela entidad a la empresa TRANSMILENIO.</w:t>
      </w:r>
    </w:p>
    <w:p w:rsidR="007C2377" w:rsidRPr="00104F4B" w:rsidRDefault="007C2377" w:rsidP="009A4DDD">
      <w:pPr>
        <w:pStyle w:val="Prrafodelista"/>
        <w:numPr>
          <w:ilvl w:val="0"/>
          <w:numId w:val="55"/>
        </w:numPr>
        <w:spacing w:before="0"/>
        <w:ind w:left="714" w:hanging="357"/>
        <w:contextualSpacing/>
        <w:rPr>
          <w:rFonts w:ascii="Arial" w:eastAsia="Times New Roman" w:hAnsi="Arial" w:cs="Arial"/>
          <w:color w:val="222222"/>
        </w:rPr>
      </w:pPr>
      <w:r w:rsidRPr="00104F4B">
        <w:rPr>
          <w:rFonts w:ascii="Arial" w:hAnsi="Arial" w:cs="Arial"/>
          <w:color w:val="222222"/>
        </w:rPr>
        <w:t>Requerir a la interventoría la presentación oportuna de los informes de acuerdo a la trazabilidad del proyecto, para que estos sean evaluados en los tiempos definidos en el Manual de Interventoría y/o Supervisión de contratos del IDU.</w:t>
      </w:r>
    </w:p>
    <w:p w:rsidR="00D21ED1" w:rsidRPr="00104F4B" w:rsidRDefault="00D21ED1" w:rsidP="00D21ED1">
      <w:pPr>
        <w:pStyle w:val="Ttulo1"/>
        <w:rPr>
          <w:rFonts w:ascii="Arial" w:hAnsi="Arial" w:cs="Arial"/>
          <w:sz w:val="22"/>
          <w:szCs w:val="22"/>
          <w:lang w:val="es-CO"/>
        </w:rPr>
      </w:pPr>
      <w:bookmarkStart w:id="68" w:name="_Toc536195557"/>
      <w:r w:rsidRPr="00104F4B">
        <w:rPr>
          <w:rFonts w:ascii="Arial" w:hAnsi="Arial" w:cs="Arial"/>
          <w:sz w:val="22"/>
          <w:szCs w:val="22"/>
          <w:lang w:val="es-CO"/>
        </w:rPr>
        <w:t>5.4 Dificultades en la ejecución de la gestión a cargo</w:t>
      </w:r>
      <w:bookmarkEnd w:id="68"/>
    </w:p>
    <w:p w:rsidR="00D21ED1" w:rsidRPr="00104F4B" w:rsidRDefault="00D21ED1" w:rsidP="002625A5">
      <w:pPr>
        <w:pStyle w:val="Prrafodelista"/>
        <w:numPr>
          <w:ilvl w:val="0"/>
          <w:numId w:val="56"/>
        </w:numPr>
        <w:rPr>
          <w:rFonts w:ascii="Arial" w:hAnsi="Arial" w:cs="Arial"/>
        </w:rPr>
      </w:pPr>
      <w:r w:rsidRPr="00104F4B">
        <w:rPr>
          <w:rFonts w:ascii="Arial" w:hAnsi="Arial" w:cs="Arial"/>
        </w:rPr>
        <w:t>Dentro de la ejecución de los proyectos se ha observado que pese a las directrices existentes en el manual de interventoría, los tiempos de aprobación de algunas empresas de servicios públicos y entidades distritales, exceden los plazos definidos por el IDU afectando los tiempos estimados para el desarrollo de los proyectos.</w:t>
      </w:r>
    </w:p>
    <w:p w:rsidR="00D21ED1" w:rsidRPr="00104F4B" w:rsidRDefault="00D21ED1" w:rsidP="002625A5">
      <w:pPr>
        <w:pStyle w:val="Prrafodelista"/>
        <w:numPr>
          <w:ilvl w:val="0"/>
          <w:numId w:val="56"/>
        </w:numPr>
        <w:shd w:val="clear" w:color="auto" w:fill="FFFFFF"/>
        <w:spacing w:after="240"/>
        <w:contextualSpacing/>
        <w:rPr>
          <w:rFonts w:ascii="Arial" w:hAnsi="Arial" w:cs="Arial"/>
          <w:color w:val="222222"/>
        </w:rPr>
      </w:pPr>
      <w:r w:rsidRPr="00104F4B">
        <w:rPr>
          <w:rFonts w:ascii="Arial" w:hAnsi="Arial" w:cs="Arial"/>
          <w:color w:val="222222"/>
        </w:rPr>
        <w:t xml:space="preserve">Modificaciones en el alcance de los proyectos debido a interferencias y/o hallazgos de redes de servicios públicos no reportadas por las Empresas de Servicios Públicos - E.S.P (Codensa, EAB, Gas Natural, entre otros). </w:t>
      </w:r>
    </w:p>
    <w:p w:rsidR="00D21ED1" w:rsidRPr="00104F4B" w:rsidRDefault="00D21ED1" w:rsidP="002625A5">
      <w:pPr>
        <w:pStyle w:val="Prrafodelista"/>
        <w:numPr>
          <w:ilvl w:val="0"/>
          <w:numId w:val="56"/>
        </w:numPr>
        <w:shd w:val="clear" w:color="auto" w:fill="FFFFFF"/>
        <w:spacing w:after="240"/>
        <w:contextualSpacing/>
        <w:rPr>
          <w:rFonts w:ascii="Arial" w:hAnsi="Arial" w:cs="Arial"/>
          <w:color w:val="222222"/>
        </w:rPr>
      </w:pPr>
      <w:r w:rsidRPr="00104F4B">
        <w:rPr>
          <w:rFonts w:ascii="Arial" w:hAnsi="Arial" w:cs="Arial"/>
          <w:color w:val="222222"/>
        </w:rPr>
        <w:t>Alta dificultad en el desarrollo de la Gestión Predial, lo cual impacta los cronogramas de los proyectos.</w:t>
      </w:r>
    </w:p>
    <w:p w:rsidR="00D21ED1" w:rsidRPr="00104F4B" w:rsidRDefault="00D21ED1" w:rsidP="002625A5">
      <w:pPr>
        <w:pStyle w:val="Prrafodelista"/>
        <w:numPr>
          <w:ilvl w:val="0"/>
          <w:numId w:val="56"/>
        </w:numPr>
        <w:rPr>
          <w:rFonts w:ascii="Arial" w:hAnsi="Arial" w:cs="Arial"/>
        </w:rPr>
      </w:pPr>
      <w:r w:rsidRPr="00104F4B">
        <w:rPr>
          <w:rFonts w:ascii="Arial" w:hAnsi="Arial" w:cs="Arial"/>
        </w:rPr>
        <w:t>Diferencias conceptuales entre la planeación de los procesos de selección y la materialización de los proyectos durante la ejecución, a cargo de la SGI.</w:t>
      </w:r>
    </w:p>
    <w:p w:rsidR="00D21ED1" w:rsidRPr="00104F4B" w:rsidRDefault="00D21ED1" w:rsidP="002625A5">
      <w:pPr>
        <w:pStyle w:val="Prrafodelista"/>
        <w:numPr>
          <w:ilvl w:val="0"/>
          <w:numId w:val="56"/>
        </w:numPr>
        <w:shd w:val="clear" w:color="auto" w:fill="FFFFFF"/>
        <w:rPr>
          <w:rFonts w:ascii="Arial" w:hAnsi="Arial" w:cs="Arial"/>
          <w:color w:val="222222"/>
        </w:rPr>
      </w:pPr>
      <w:r w:rsidRPr="00104F4B">
        <w:rPr>
          <w:rFonts w:ascii="Arial" w:hAnsi="Arial" w:cs="Arial"/>
          <w:color w:val="222222"/>
        </w:rPr>
        <w:t>Falta de asignación de suficiente personal y recursos económicos y administrativos por parte de las ESP, para llevar a cabo los inventarios de redes, maniobras, revisión de diseños y subterranización de redes en los diferentes proyectos del Instituto.</w:t>
      </w:r>
    </w:p>
    <w:p w:rsidR="00D21ED1" w:rsidRPr="00104F4B" w:rsidRDefault="00D21ED1" w:rsidP="002625A5">
      <w:pPr>
        <w:pStyle w:val="Prrafodelista"/>
        <w:numPr>
          <w:ilvl w:val="0"/>
          <w:numId w:val="56"/>
        </w:numPr>
        <w:rPr>
          <w:rFonts w:ascii="Arial" w:eastAsia="Arial Unicode MS" w:hAnsi="Arial" w:cs="Arial"/>
        </w:rPr>
      </w:pPr>
      <w:r w:rsidRPr="00104F4B">
        <w:rPr>
          <w:rFonts w:ascii="Arial" w:eastAsia="Arial Unicode MS" w:hAnsi="Arial" w:cs="Arial"/>
        </w:rPr>
        <w:t xml:space="preserve">En el desarrollo de las actividades de expedición de licencias de excavación y recibo de espacio público intervenido con licencia de excavación, la mayor dificultad se presenta en las intervenciones sin permiso, que generar traumatismo a la movilidad. </w:t>
      </w:r>
    </w:p>
    <w:p w:rsidR="00D21ED1" w:rsidRPr="00104F4B" w:rsidRDefault="00D21ED1" w:rsidP="009A4DDD">
      <w:pPr>
        <w:pStyle w:val="Prrafodelista"/>
        <w:numPr>
          <w:ilvl w:val="0"/>
          <w:numId w:val="56"/>
        </w:numPr>
        <w:spacing w:before="0"/>
        <w:rPr>
          <w:rFonts w:ascii="Arial" w:hAnsi="Arial" w:cs="Arial"/>
        </w:rPr>
      </w:pPr>
      <w:r w:rsidRPr="00104F4B">
        <w:rPr>
          <w:rFonts w:ascii="Arial" w:hAnsi="Arial" w:cs="Arial"/>
        </w:rPr>
        <w:t>Radicación por parte de los Urbanizadores de documentación incompleta y sin el lleno de los requisitos técnicos y normativos, por lo que se generan múltiples revisiones y reprocesos que demoran la entrega.</w:t>
      </w:r>
    </w:p>
    <w:p w:rsidR="00D21ED1" w:rsidRPr="00104F4B" w:rsidRDefault="00D21ED1" w:rsidP="009A4DDD">
      <w:pPr>
        <w:pStyle w:val="Prrafodelista"/>
        <w:numPr>
          <w:ilvl w:val="0"/>
          <w:numId w:val="56"/>
        </w:numPr>
        <w:spacing w:before="0"/>
        <w:rPr>
          <w:rFonts w:ascii="Arial" w:hAnsi="Arial" w:cs="Arial"/>
        </w:rPr>
      </w:pPr>
      <w:r w:rsidRPr="00104F4B">
        <w:rPr>
          <w:rFonts w:ascii="Arial" w:hAnsi="Arial" w:cs="Arial"/>
        </w:rPr>
        <w:lastRenderedPageBreak/>
        <w:t xml:space="preserve">Los Urbanizadores construyen obras sin seguimiento por parte del IDU y posteriormente efectúan el trámite de entrega, dejando de cumplir con los requisitos normativos vigentes, por lo que al momento de la entrega deben corregir aspectos técnicos que implican una mayor inversión a pesar que el proyecto está en servicio de los habitantes.  </w:t>
      </w:r>
    </w:p>
    <w:p w:rsidR="00D21ED1" w:rsidRPr="00104F4B" w:rsidRDefault="00D21ED1" w:rsidP="009A4DDD">
      <w:pPr>
        <w:pStyle w:val="Prrafodelista"/>
        <w:numPr>
          <w:ilvl w:val="0"/>
          <w:numId w:val="56"/>
        </w:numPr>
        <w:spacing w:before="0"/>
        <w:rPr>
          <w:rFonts w:ascii="Arial" w:hAnsi="Arial" w:cs="Arial"/>
        </w:rPr>
      </w:pPr>
      <w:r w:rsidRPr="00104F4B">
        <w:rPr>
          <w:rFonts w:ascii="Arial" w:hAnsi="Arial" w:cs="Arial"/>
        </w:rPr>
        <w:t xml:space="preserve">El IDU debe recurrir a las Alcaldías Locales y al DADEP para solicitar a los constructores el cumplimiento de sus obligaciones Urbanísticas, y de requerirse, se solicite  los procesos sancionatorios de infracciones urbanísticas. </w:t>
      </w:r>
    </w:p>
    <w:p w:rsidR="00D21ED1" w:rsidRPr="00104F4B" w:rsidRDefault="00D21ED1" w:rsidP="009A4DDD">
      <w:pPr>
        <w:pStyle w:val="Prrafodelista"/>
        <w:numPr>
          <w:ilvl w:val="0"/>
          <w:numId w:val="56"/>
        </w:numPr>
        <w:spacing w:before="0"/>
        <w:rPr>
          <w:rFonts w:ascii="Arial" w:hAnsi="Arial" w:cs="Arial"/>
        </w:rPr>
      </w:pPr>
      <w:r w:rsidRPr="00104F4B">
        <w:rPr>
          <w:rFonts w:ascii="Arial" w:hAnsi="Arial" w:cs="Arial"/>
        </w:rPr>
        <w:t>La mayor parte de los planos urbanísticos no han sido incorporados a la base de datos cartográfica de la SDP, aumentando el riesgo de error o problemas con el recibo de las áreas de cesión por traslapos o invasiones.</w:t>
      </w:r>
    </w:p>
    <w:p w:rsidR="00D21ED1" w:rsidRPr="00104F4B" w:rsidRDefault="00D21ED1" w:rsidP="009A4DDD">
      <w:pPr>
        <w:pStyle w:val="Prrafodelista"/>
        <w:numPr>
          <w:ilvl w:val="0"/>
          <w:numId w:val="56"/>
        </w:numPr>
        <w:spacing w:before="0"/>
        <w:rPr>
          <w:rFonts w:ascii="Arial" w:hAnsi="Arial" w:cs="Arial"/>
        </w:rPr>
      </w:pPr>
      <w:r w:rsidRPr="00104F4B">
        <w:rPr>
          <w:rFonts w:ascii="Arial" w:hAnsi="Arial" w:cs="Arial"/>
        </w:rPr>
        <w:t xml:space="preserve">Dificultad de acceso a las estructuras por cerramientos y por problemática social y de seguridad asociada a la ocupación de las zonas bajo puentes. </w:t>
      </w:r>
    </w:p>
    <w:p w:rsidR="00D21ED1" w:rsidRPr="00104F4B" w:rsidRDefault="00D21ED1" w:rsidP="009A4DDD">
      <w:pPr>
        <w:pStyle w:val="Prrafodelista"/>
        <w:numPr>
          <w:ilvl w:val="0"/>
          <w:numId w:val="56"/>
        </w:numPr>
        <w:spacing w:before="0"/>
        <w:rPr>
          <w:rFonts w:ascii="Arial" w:hAnsi="Arial" w:cs="Arial"/>
        </w:rPr>
      </w:pPr>
      <w:r w:rsidRPr="00104F4B">
        <w:rPr>
          <w:rFonts w:ascii="Arial" w:hAnsi="Arial" w:cs="Arial"/>
        </w:rPr>
        <w:t>Problemáticas en la definición por parte de las áreas técnicas (DTC y DTM) frente a las acciones a seguir para lograr el recibo de las obras por parte de las ESP.</w:t>
      </w:r>
    </w:p>
    <w:p w:rsidR="00D21ED1" w:rsidRPr="00104F4B" w:rsidRDefault="00D21ED1" w:rsidP="009A4DDD">
      <w:pPr>
        <w:pStyle w:val="Prrafodelista"/>
        <w:numPr>
          <w:ilvl w:val="0"/>
          <w:numId w:val="56"/>
        </w:numPr>
        <w:spacing w:before="0"/>
        <w:rPr>
          <w:rFonts w:ascii="Arial" w:hAnsi="Arial" w:cs="Arial"/>
        </w:rPr>
      </w:pPr>
      <w:r w:rsidRPr="00104F4B">
        <w:rPr>
          <w:rFonts w:ascii="Arial" w:hAnsi="Arial" w:cs="Arial"/>
        </w:rPr>
        <w:t>Los recursos TM por $4.150.000.000 dejados en el IDU para pagos a CODENSA y ETB fueron devueltos a TM y ahora se presenta dificultad para el pago a las empresas.</w:t>
      </w:r>
    </w:p>
    <w:p w:rsidR="00D21ED1" w:rsidRPr="00104F4B" w:rsidRDefault="00D21ED1" w:rsidP="009A4DDD">
      <w:pPr>
        <w:pStyle w:val="Textoindependiente"/>
        <w:numPr>
          <w:ilvl w:val="0"/>
          <w:numId w:val="56"/>
        </w:numPr>
        <w:spacing w:before="0"/>
        <w:ind w:right="51"/>
        <w:rPr>
          <w:rFonts w:ascii="Arial" w:hAnsi="Arial" w:cs="Arial"/>
          <w:szCs w:val="22"/>
        </w:rPr>
      </w:pPr>
      <w:r w:rsidRPr="00104F4B">
        <w:rPr>
          <w:rFonts w:ascii="Arial" w:hAnsi="Arial" w:cs="Arial"/>
          <w:szCs w:val="22"/>
        </w:rPr>
        <w:t xml:space="preserve">La mayor dificultad de la Dirección Técnica de Mantenimiento para desarrollar la gestión que le compete, se deriva de la poca asignación de recursos presupuestales para atender los diferentes sistemas de movilidad y de espacio público construidos en la ciudad que requieren de forma prioritaria conservación. </w:t>
      </w:r>
    </w:p>
    <w:p w:rsidR="00D21ED1" w:rsidRPr="00104F4B" w:rsidRDefault="00D21ED1" w:rsidP="009A4DDD">
      <w:pPr>
        <w:pStyle w:val="Textoindependiente"/>
        <w:numPr>
          <w:ilvl w:val="0"/>
          <w:numId w:val="56"/>
        </w:numPr>
        <w:spacing w:before="0"/>
        <w:ind w:right="51"/>
        <w:rPr>
          <w:rFonts w:ascii="Arial" w:hAnsi="Arial" w:cs="Arial"/>
          <w:szCs w:val="22"/>
        </w:rPr>
      </w:pPr>
      <w:r w:rsidRPr="00104F4B">
        <w:rPr>
          <w:rFonts w:ascii="Arial" w:hAnsi="Arial" w:cs="Arial"/>
          <w:szCs w:val="22"/>
        </w:rPr>
        <w:t>Es así como en los diferentes programas en ejecución durante el 2018, es decir, conservación de la malla vial arterial troncal y no troncal, conservación malla vial rural, Conservación de Espacio Público y Conservación de Puentes Peatonales, fue latente la necesidad de buscar recursos adicionales para tener continuidad en la atención de la correspondiente infraestructura en los programas relacionados. Así mismo se solicitó a la OAP y SGDU estructurar la continuidad de los programas de conservación de puentes peatonales, vehiculares, espacio público y cicloRutas, al igual que de brigadas de malla vial arterial y malla vial intermedia que soporta las rutas del SITP en la vigencia 2019.</w:t>
      </w:r>
    </w:p>
    <w:p w:rsidR="00D21ED1" w:rsidRPr="00104F4B" w:rsidRDefault="00D21ED1" w:rsidP="009A4DDD">
      <w:pPr>
        <w:pStyle w:val="Textoindependiente"/>
        <w:numPr>
          <w:ilvl w:val="0"/>
          <w:numId w:val="56"/>
        </w:numPr>
        <w:spacing w:before="0"/>
        <w:ind w:right="51"/>
        <w:rPr>
          <w:rFonts w:ascii="Arial" w:hAnsi="Arial" w:cs="Arial"/>
          <w:szCs w:val="22"/>
        </w:rPr>
      </w:pPr>
      <w:r w:rsidRPr="00104F4B">
        <w:rPr>
          <w:rFonts w:ascii="Arial" w:hAnsi="Arial" w:cs="Arial"/>
          <w:szCs w:val="22"/>
        </w:rPr>
        <w:t>Adicionalmente, en la ejecución de los contratos se presentaron dificultades en la aprobación oportuna de los PMT, teniendo en cuenta que se realizaron muchas devoluciones, generando demoras en el inicio de frentes de trabajo y cumplimiento de los cronogramas.</w:t>
      </w:r>
    </w:p>
    <w:p w:rsidR="00D21ED1" w:rsidRPr="00104F4B" w:rsidRDefault="00D21ED1" w:rsidP="009A4DDD">
      <w:pPr>
        <w:pStyle w:val="Textoindependiente"/>
        <w:numPr>
          <w:ilvl w:val="0"/>
          <w:numId w:val="56"/>
        </w:numPr>
        <w:spacing w:before="0"/>
        <w:ind w:right="51"/>
        <w:rPr>
          <w:rFonts w:ascii="Arial" w:hAnsi="Arial" w:cs="Arial"/>
          <w:b/>
          <w:szCs w:val="22"/>
          <w:u w:val="single"/>
        </w:rPr>
      </w:pPr>
      <w:r w:rsidRPr="00104F4B">
        <w:rPr>
          <w:rFonts w:ascii="Arial" w:hAnsi="Arial" w:cs="Arial"/>
          <w:szCs w:val="22"/>
        </w:rPr>
        <w:t>En la etapa de liquidación se presentaron demoras en los cierres de PIN por parte de la SDA, lo que genero liquidaciones con glosas y las aprobaciones por parte de la SDM teniendo en cuenta las correcciones que ha solicitado a la señalización en el contrato 1862 y 1863 de 2014.</w:t>
      </w:r>
    </w:p>
    <w:p w:rsidR="00D21ED1" w:rsidRPr="00104F4B" w:rsidRDefault="00D21ED1" w:rsidP="009A4DDD">
      <w:pPr>
        <w:pStyle w:val="Prrafodelista"/>
        <w:numPr>
          <w:ilvl w:val="0"/>
          <w:numId w:val="56"/>
        </w:numPr>
        <w:spacing w:before="0"/>
        <w:contextualSpacing/>
        <w:rPr>
          <w:rFonts w:ascii="Arial" w:hAnsi="Arial" w:cs="Arial"/>
        </w:rPr>
      </w:pPr>
      <w:r w:rsidRPr="00104F4B">
        <w:rPr>
          <w:rFonts w:ascii="Arial" w:hAnsi="Arial" w:cs="Arial"/>
        </w:rPr>
        <w:t>Aunque se logró el cumplimiento de los requisitos para el acta de inicio de los contratos, se evidenció dificultades en el cumplimiento de los requisitos de perfeccionamiento, como la aprobación de garantías dentro de los términos contractuales, así como el cumplimento con las hojas de vida del personal requerido, toda vez que mucho se encontraban vinculadas en más de 2 contratos y/o con porcentajes de dedicación altas.</w:t>
      </w:r>
    </w:p>
    <w:p w:rsidR="00D21ED1" w:rsidRPr="00104F4B" w:rsidRDefault="00D21ED1" w:rsidP="009A4DDD">
      <w:pPr>
        <w:pStyle w:val="Prrafodelista"/>
        <w:numPr>
          <w:ilvl w:val="0"/>
          <w:numId w:val="56"/>
        </w:numPr>
        <w:spacing w:before="0"/>
        <w:contextualSpacing/>
        <w:rPr>
          <w:rFonts w:ascii="Arial" w:eastAsia="Arial Unicode MS" w:hAnsi="Arial" w:cs="Arial"/>
        </w:rPr>
      </w:pPr>
      <w:r w:rsidRPr="00104F4B">
        <w:rPr>
          <w:rFonts w:ascii="Arial" w:eastAsia="Arial Unicode MS" w:hAnsi="Arial" w:cs="Arial"/>
        </w:rPr>
        <w:t>Se evidencio dificultad en la comunicación interna y en unificación de criterios entre la DTP y el área ejecutora, toda vez que son áreas de diferentes dependencias, encontrándose la ordenación del gasto en esta última.</w:t>
      </w:r>
    </w:p>
    <w:p w:rsidR="00D21ED1" w:rsidRPr="00104F4B" w:rsidRDefault="00D21ED1" w:rsidP="009A4DDD">
      <w:pPr>
        <w:pStyle w:val="Prrafodelista"/>
        <w:numPr>
          <w:ilvl w:val="0"/>
          <w:numId w:val="56"/>
        </w:numPr>
        <w:spacing w:before="0"/>
        <w:contextualSpacing/>
        <w:rPr>
          <w:rFonts w:ascii="Arial" w:hAnsi="Arial" w:cs="Arial"/>
        </w:rPr>
      </w:pPr>
      <w:r w:rsidRPr="00104F4B">
        <w:rPr>
          <w:rFonts w:ascii="Arial" w:hAnsi="Arial" w:cs="Arial"/>
        </w:rPr>
        <w:t xml:space="preserve">En la estructuración de los proyectos Mixtos y en general en todos los proyectos, se deben tener en cuenta los tiempos reales de diseños y los tiempos que toman las empresas de servicios públicos en impartir sus aprobaciones, siendo estos últimos los más críticos puesto que la mayoría de veces las ESP o Entidades no entienden que las dilaciones en las </w:t>
      </w:r>
      <w:r w:rsidRPr="00104F4B">
        <w:rPr>
          <w:rFonts w:ascii="Arial" w:hAnsi="Arial" w:cs="Arial"/>
        </w:rPr>
        <w:lastRenderedPageBreak/>
        <w:t>aprobaciones causan mayores permanencias a los contratistas que le son imputables al Distrito.</w:t>
      </w:r>
    </w:p>
    <w:p w:rsidR="00D21ED1" w:rsidRPr="00104F4B" w:rsidRDefault="00D21ED1" w:rsidP="009A4DDD">
      <w:pPr>
        <w:pStyle w:val="Prrafodelista"/>
        <w:numPr>
          <w:ilvl w:val="0"/>
          <w:numId w:val="56"/>
        </w:numPr>
        <w:spacing w:before="0"/>
        <w:contextualSpacing/>
        <w:rPr>
          <w:rFonts w:ascii="Arial" w:hAnsi="Arial" w:cs="Arial"/>
        </w:rPr>
      </w:pPr>
      <w:r w:rsidRPr="00104F4B">
        <w:rPr>
          <w:rFonts w:ascii="Arial" w:hAnsi="Arial" w:cs="Arial"/>
        </w:rPr>
        <w:t>Aunque el manual del IDU establece que se debe contar con el 80% de disponibilidad predial, es importante que al inicio de la etapa de construcción se cuente con la totalidad de predios disponibles, entendiendo que disponible no significa ofertado ni en trámite de expropiación o de enajenación voluntaria, puesto que ese 20% restante dependiendo de su localización puede impactar significativamente el desarrollo y ejecución de la obra, es importante mencionar que los procesos licitatorios siempre deben corresponder a negocios debidamente diseñados en búsqueda de que el contrato estatal no sea el producto de la improvisación o de la acción de terceros .</w:t>
      </w:r>
    </w:p>
    <w:p w:rsidR="00D21ED1" w:rsidRPr="00104F4B" w:rsidRDefault="00D21ED1" w:rsidP="009A4DDD">
      <w:pPr>
        <w:spacing w:before="0"/>
        <w:rPr>
          <w:rFonts w:cs="Arial"/>
          <w:lang w:val="es-CO"/>
        </w:rPr>
      </w:pPr>
    </w:p>
    <w:p w:rsidR="004524F6" w:rsidRPr="00104F4B" w:rsidRDefault="004524F6" w:rsidP="007C2377">
      <w:pPr>
        <w:rPr>
          <w:rFonts w:cs="Arial"/>
          <w:lang w:val="es-CO"/>
        </w:rPr>
      </w:pPr>
    </w:p>
    <w:p w:rsidR="004524F6" w:rsidRPr="00104F4B" w:rsidRDefault="004524F6" w:rsidP="007C2377">
      <w:pPr>
        <w:rPr>
          <w:rFonts w:cs="Arial"/>
          <w:lang w:val="es-CO"/>
        </w:rPr>
      </w:pPr>
    </w:p>
    <w:p w:rsidR="004524F6" w:rsidRPr="00104F4B" w:rsidRDefault="004524F6" w:rsidP="007C2377">
      <w:pPr>
        <w:rPr>
          <w:rFonts w:cs="Arial"/>
          <w:lang w:val="es-CO"/>
        </w:rPr>
      </w:pPr>
    </w:p>
    <w:p w:rsidR="004524F6" w:rsidRPr="00104F4B" w:rsidRDefault="004524F6" w:rsidP="007C2377">
      <w:pPr>
        <w:rPr>
          <w:rFonts w:cs="Arial"/>
          <w:lang w:val="es-CO"/>
        </w:rPr>
      </w:pPr>
    </w:p>
    <w:p w:rsidR="004524F6" w:rsidRPr="00104F4B" w:rsidRDefault="004524F6" w:rsidP="007C2377">
      <w:pPr>
        <w:rPr>
          <w:rFonts w:cs="Arial"/>
          <w:lang w:val="es-CO"/>
        </w:rPr>
      </w:pPr>
    </w:p>
    <w:p w:rsidR="004524F6" w:rsidRPr="00104F4B" w:rsidRDefault="004524F6" w:rsidP="007C2377">
      <w:pPr>
        <w:rPr>
          <w:rFonts w:cs="Arial"/>
          <w:lang w:val="es-CO"/>
        </w:rPr>
      </w:pPr>
    </w:p>
    <w:p w:rsidR="004524F6" w:rsidRPr="00104F4B" w:rsidRDefault="004524F6" w:rsidP="007C2377">
      <w:pPr>
        <w:rPr>
          <w:rFonts w:cs="Arial"/>
          <w:lang w:val="es-CO"/>
        </w:rPr>
      </w:pPr>
    </w:p>
    <w:p w:rsidR="004524F6" w:rsidRPr="00104F4B" w:rsidRDefault="004524F6" w:rsidP="007C2377">
      <w:pPr>
        <w:rPr>
          <w:rFonts w:cs="Arial"/>
          <w:lang w:val="es-CO"/>
        </w:rPr>
      </w:pPr>
    </w:p>
    <w:p w:rsidR="004524F6" w:rsidRPr="00104F4B" w:rsidRDefault="004524F6" w:rsidP="007C2377">
      <w:pPr>
        <w:rPr>
          <w:rFonts w:cs="Arial"/>
          <w:lang w:val="es-CO"/>
        </w:rPr>
      </w:pPr>
    </w:p>
    <w:p w:rsidR="004524F6" w:rsidRPr="00104F4B" w:rsidRDefault="004524F6" w:rsidP="007C2377">
      <w:pPr>
        <w:rPr>
          <w:rFonts w:cs="Arial"/>
          <w:lang w:val="es-CO"/>
        </w:rPr>
      </w:pPr>
    </w:p>
    <w:p w:rsidR="004524F6" w:rsidRPr="00104F4B" w:rsidRDefault="004524F6" w:rsidP="007C2377">
      <w:pPr>
        <w:rPr>
          <w:rFonts w:cs="Arial"/>
          <w:lang w:val="es-CO"/>
        </w:rPr>
      </w:pPr>
    </w:p>
    <w:p w:rsidR="004524F6" w:rsidRPr="00104F4B" w:rsidRDefault="004524F6" w:rsidP="007C2377">
      <w:pPr>
        <w:rPr>
          <w:rFonts w:cs="Arial"/>
          <w:lang w:val="es-CO"/>
        </w:rPr>
      </w:pPr>
    </w:p>
    <w:p w:rsidR="004524F6" w:rsidRPr="00104F4B" w:rsidRDefault="004524F6" w:rsidP="007C2377">
      <w:pPr>
        <w:rPr>
          <w:rFonts w:cs="Arial"/>
          <w:lang w:val="es-CO"/>
        </w:rPr>
      </w:pPr>
    </w:p>
    <w:p w:rsidR="004524F6" w:rsidRPr="00104F4B" w:rsidRDefault="004524F6" w:rsidP="007C2377">
      <w:pPr>
        <w:rPr>
          <w:rFonts w:cs="Arial"/>
          <w:lang w:val="es-CO"/>
        </w:rPr>
      </w:pPr>
    </w:p>
    <w:p w:rsidR="004524F6" w:rsidRDefault="004524F6" w:rsidP="007C2377">
      <w:pPr>
        <w:rPr>
          <w:rFonts w:cs="Arial"/>
          <w:lang w:val="es-CO"/>
        </w:rPr>
      </w:pPr>
    </w:p>
    <w:p w:rsidR="005C3D90" w:rsidRDefault="005C3D90" w:rsidP="007C2377">
      <w:pPr>
        <w:rPr>
          <w:rFonts w:cs="Arial"/>
          <w:lang w:val="es-CO"/>
        </w:rPr>
      </w:pPr>
    </w:p>
    <w:p w:rsidR="005C3D90" w:rsidRDefault="005C3D90" w:rsidP="007C2377">
      <w:pPr>
        <w:rPr>
          <w:rFonts w:cs="Arial"/>
          <w:lang w:val="es-CO"/>
        </w:rPr>
      </w:pPr>
    </w:p>
    <w:p w:rsidR="005C3D90" w:rsidRDefault="005C3D90" w:rsidP="007C2377">
      <w:pPr>
        <w:rPr>
          <w:rFonts w:cs="Arial"/>
          <w:lang w:val="es-CO"/>
        </w:rPr>
      </w:pPr>
    </w:p>
    <w:p w:rsidR="005C3D90" w:rsidRDefault="005C3D90" w:rsidP="007C2377">
      <w:pPr>
        <w:rPr>
          <w:rFonts w:cs="Arial"/>
          <w:lang w:val="es-CO"/>
        </w:rPr>
      </w:pPr>
    </w:p>
    <w:p w:rsidR="005C3D90" w:rsidRDefault="005C3D90" w:rsidP="007C2377">
      <w:pPr>
        <w:rPr>
          <w:rFonts w:cs="Arial"/>
          <w:lang w:val="es-CO"/>
        </w:rPr>
      </w:pPr>
    </w:p>
    <w:p w:rsidR="005C3D90" w:rsidRDefault="005C3D90" w:rsidP="007C2377">
      <w:pPr>
        <w:rPr>
          <w:rFonts w:cs="Arial"/>
          <w:lang w:val="es-CO"/>
        </w:rPr>
      </w:pPr>
    </w:p>
    <w:p w:rsidR="005C3D90" w:rsidRDefault="005C3D90" w:rsidP="007C2377">
      <w:pPr>
        <w:rPr>
          <w:rFonts w:cs="Arial"/>
          <w:lang w:val="es-CO"/>
        </w:rPr>
      </w:pPr>
    </w:p>
    <w:p w:rsidR="005C3D90" w:rsidRPr="00104F4B" w:rsidRDefault="005C3D90" w:rsidP="007C2377">
      <w:pPr>
        <w:rPr>
          <w:rFonts w:cs="Arial"/>
          <w:lang w:val="es-CO"/>
        </w:rPr>
      </w:pPr>
    </w:p>
    <w:p w:rsidR="004524F6" w:rsidRPr="00104F4B" w:rsidRDefault="004524F6" w:rsidP="007C2377">
      <w:pPr>
        <w:rPr>
          <w:rFonts w:cs="Arial"/>
          <w:lang w:val="es-CO"/>
        </w:rPr>
      </w:pPr>
    </w:p>
    <w:p w:rsidR="004524F6" w:rsidRPr="00104F4B" w:rsidRDefault="004524F6" w:rsidP="007C2377">
      <w:pPr>
        <w:rPr>
          <w:rFonts w:cs="Arial"/>
          <w:lang w:val="es-CO"/>
        </w:rPr>
      </w:pPr>
    </w:p>
    <w:p w:rsidR="009A4DDD" w:rsidRPr="00104F4B" w:rsidRDefault="009A4DDD" w:rsidP="007C2377">
      <w:pPr>
        <w:rPr>
          <w:rFonts w:cs="Arial"/>
          <w:lang w:val="es-CO"/>
        </w:rPr>
      </w:pPr>
    </w:p>
    <w:p w:rsidR="004524F6" w:rsidRPr="00104F4B" w:rsidRDefault="004524F6" w:rsidP="006D18D6">
      <w:pPr>
        <w:pStyle w:val="Ttulo1"/>
        <w:jc w:val="center"/>
        <w:rPr>
          <w:rFonts w:ascii="Arial" w:hAnsi="Arial" w:cs="Arial"/>
          <w:sz w:val="22"/>
          <w:szCs w:val="22"/>
        </w:rPr>
      </w:pPr>
      <w:bookmarkStart w:id="69" w:name="_Toc536195558"/>
      <w:r w:rsidRPr="00104F4B">
        <w:rPr>
          <w:rFonts w:ascii="Arial" w:hAnsi="Arial" w:cs="Arial"/>
          <w:sz w:val="22"/>
          <w:szCs w:val="22"/>
        </w:rPr>
        <w:t>CAPITULO 6. GESTIÓN DEL DESARROLLO URBANO</w:t>
      </w:r>
      <w:bookmarkEnd w:id="69"/>
    </w:p>
    <w:p w:rsidR="00762102" w:rsidRPr="00104F4B" w:rsidRDefault="00762102" w:rsidP="00762102">
      <w:pPr>
        <w:pStyle w:val="Ttulo1"/>
        <w:rPr>
          <w:rFonts w:ascii="Arial" w:hAnsi="Arial" w:cs="Arial"/>
          <w:sz w:val="22"/>
          <w:szCs w:val="22"/>
        </w:rPr>
      </w:pPr>
      <w:bookmarkStart w:id="70" w:name="_Toc536195559"/>
      <w:r w:rsidRPr="00104F4B">
        <w:rPr>
          <w:rFonts w:ascii="Arial" w:hAnsi="Arial" w:cs="Arial"/>
          <w:sz w:val="22"/>
          <w:szCs w:val="22"/>
        </w:rPr>
        <w:t>6.1 Gestiones a Cargo</w:t>
      </w:r>
      <w:bookmarkEnd w:id="70"/>
    </w:p>
    <w:p w:rsidR="004524F6" w:rsidRPr="00104F4B" w:rsidRDefault="004524F6" w:rsidP="004524F6">
      <w:pPr>
        <w:contextualSpacing/>
        <w:rPr>
          <w:rFonts w:cs="Arial"/>
          <w:color w:val="000000"/>
          <w:szCs w:val="22"/>
        </w:rPr>
      </w:pPr>
      <w:r w:rsidRPr="00104F4B">
        <w:rPr>
          <w:rFonts w:cs="Arial"/>
          <w:color w:val="000000"/>
          <w:szCs w:val="22"/>
        </w:rPr>
        <w:t xml:space="preserve">Durante la vigencia 2018, y al mes de diciembre de 2018, se tienen setenta y nueve (79) contratos en ejecución, incluyendo contratos principales (38), interventorías (36) y contratos producto de convenios (5).  </w:t>
      </w:r>
    </w:p>
    <w:p w:rsidR="004524F6" w:rsidRPr="00104F4B" w:rsidRDefault="004524F6" w:rsidP="004524F6">
      <w:pPr>
        <w:contextualSpacing/>
        <w:rPr>
          <w:rFonts w:cs="Arial"/>
          <w:color w:val="000000"/>
        </w:rPr>
      </w:pPr>
      <w:r w:rsidRPr="00104F4B">
        <w:rPr>
          <w:rFonts w:cs="Arial"/>
          <w:color w:val="000000"/>
        </w:rPr>
        <w:t xml:space="preserve"> </w:t>
      </w:r>
    </w:p>
    <w:p w:rsidR="004524F6" w:rsidRPr="00104F4B" w:rsidRDefault="004524F6" w:rsidP="00857FDC">
      <w:pPr>
        <w:pStyle w:val="Contenidodelatabla"/>
        <w:rPr>
          <w:rFonts w:ascii="Arial" w:hAnsi="Arial" w:cs="Arial"/>
          <w:b/>
          <w:sz w:val="22"/>
          <w:szCs w:val="22"/>
        </w:rPr>
      </w:pPr>
      <w:r w:rsidRPr="00104F4B">
        <w:rPr>
          <w:rFonts w:ascii="Arial" w:hAnsi="Arial" w:cs="Arial"/>
          <w:b/>
          <w:sz w:val="22"/>
          <w:szCs w:val="22"/>
        </w:rPr>
        <w:t>En ejecución setenta y nueve (79) contratos vigencia 2018</w:t>
      </w:r>
    </w:p>
    <w:p w:rsidR="004524F6" w:rsidRPr="00104F4B" w:rsidRDefault="004524F6" w:rsidP="004524F6">
      <w:pPr>
        <w:pStyle w:val="Prrafodelista"/>
        <w:ind w:left="357"/>
        <w:contextualSpacing/>
        <w:rPr>
          <w:rFonts w:ascii="Arial" w:hAnsi="Arial" w:cs="Arial"/>
          <w:b/>
          <w:smallCaps/>
          <w:sz w:val="16"/>
          <w:szCs w:val="16"/>
        </w:rPr>
      </w:pPr>
    </w:p>
    <w:p w:rsidR="004524F6" w:rsidRPr="00104F4B" w:rsidRDefault="004524F6" w:rsidP="004524F6">
      <w:pPr>
        <w:pStyle w:val="Prrafodelista"/>
        <w:ind w:left="357"/>
        <w:contextualSpacing/>
        <w:rPr>
          <w:rFonts w:ascii="Arial" w:hAnsi="Arial" w:cs="Arial"/>
          <w:b/>
          <w:smallCaps/>
          <w:sz w:val="16"/>
          <w:szCs w:val="16"/>
        </w:rPr>
      </w:pPr>
      <w:r w:rsidRPr="00104F4B">
        <w:rPr>
          <w:rFonts w:ascii="Arial" w:hAnsi="Arial" w:cs="Arial"/>
          <w:b/>
          <w:smallCaps/>
          <w:sz w:val="16"/>
          <w:szCs w:val="16"/>
        </w:rPr>
        <w:t>DTP - FUENTE REGALIAS</w:t>
      </w:r>
    </w:p>
    <w:tbl>
      <w:tblPr>
        <w:tblStyle w:val="Tablaconcuadrcula"/>
        <w:tblW w:w="9639" w:type="dxa"/>
        <w:tblInd w:w="137" w:type="dxa"/>
        <w:tblLayout w:type="fixed"/>
        <w:tblLook w:val="04A0" w:firstRow="1" w:lastRow="0" w:firstColumn="1" w:lastColumn="0" w:noHBand="0" w:noVBand="1"/>
      </w:tblPr>
      <w:tblGrid>
        <w:gridCol w:w="284"/>
        <w:gridCol w:w="9355"/>
      </w:tblGrid>
      <w:tr w:rsidR="004524F6" w:rsidRPr="00104F4B" w:rsidTr="009A4DDD">
        <w:trPr>
          <w:trHeight w:val="258"/>
        </w:trPr>
        <w:tc>
          <w:tcPr>
            <w:tcW w:w="284" w:type="dxa"/>
            <w:vAlign w:val="center"/>
          </w:tcPr>
          <w:p w:rsidR="004524F6" w:rsidRPr="00104F4B" w:rsidRDefault="004524F6" w:rsidP="00FC0A3C">
            <w:pPr>
              <w:contextualSpacing/>
              <w:rPr>
                <w:rFonts w:cs="Arial"/>
                <w:b/>
                <w:color w:val="000000"/>
                <w:sz w:val="16"/>
                <w:szCs w:val="16"/>
                <w:lang w:eastAsia="es-CO"/>
              </w:rPr>
            </w:pPr>
            <w:r w:rsidRPr="00104F4B">
              <w:rPr>
                <w:rFonts w:cs="Arial"/>
                <w:b/>
                <w:color w:val="000000"/>
                <w:sz w:val="16"/>
                <w:szCs w:val="16"/>
                <w:lang w:eastAsia="es-CO"/>
              </w:rPr>
              <w:t>1</w:t>
            </w:r>
          </w:p>
        </w:tc>
        <w:tc>
          <w:tcPr>
            <w:tcW w:w="9355" w:type="dxa"/>
            <w:vAlign w:val="center"/>
          </w:tcPr>
          <w:p w:rsidR="004524F6" w:rsidRPr="00104F4B" w:rsidRDefault="004524F6" w:rsidP="00FC0A3C">
            <w:pPr>
              <w:spacing w:before="100" w:beforeAutospacing="1" w:afterAutospacing="1"/>
              <w:contextualSpacing/>
              <w:rPr>
                <w:rFonts w:cs="Arial"/>
                <w:color w:val="000000"/>
                <w:sz w:val="16"/>
                <w:szCs w:val="16"/>
                <w:lang w:eastAsia="es-CO"/>
              </w:rPr>
            </w:pPr>
            <w:r w:rsidRPr="00104F4B">
              <w:rPr>
                <w:rFonts w:cs="Arial"/>
                <w:color w:val="000000"/>
                <w:sz w:val="16"/>
                <w:szCs w:val="16"/>
                <w:lang w:eastAsia="es-CO"/>
              </w:rPr>
              <w:t>ESTUDIOS Y DISEÑOS DE LA CONEXIÓN REGIONAL CANAL SALITRE Y RÍO NEGRO DESDE EL RÍO BOGOTÁ HASTA LA NQS Y LA CARRERA 7</w:t>
            </w:r>
          </w:p>
        </w:tc>
      </w:tr>
      <w:tr w:rsidR="004524F6" w:rsidRPr="00104F4B" w:rsidTr="009A4DDD">
        <w:trPr>
          <w:trHeight w:val="232"/>
        </w:trPr>
        <w:tc>
          <w:tcPr>
            <w:tcW w:w="284" w:type="dxa"/>
            <w:vAlign w:val="center"/>
          </w:tcPr>
          <w:p w:rsidR="004524F6" w:rsidRPr="00104F4B" w:rsidRDefault="004524F6" w:rsidP="00FC0A3C">
            <w:pPr>
              <w:contextualSpacing/>
              <w:rPr>
                <w:rFonts w:cs="Arial"/>
                <w:b/>
                <w:color w:val="000000"/>
                <w:sz w:val="16"/>
                <w:szCs w:val="16"/>
                <w:lang w:eastAsia="es-CO"/>
              </w:rPr>
            </w:pPr>
            <w:r w:rsidRPr="00104F4B">
              <w:rPr>
                <w:rFonts w:cs="Arial"/>
                <w:b/>
                <w:color w:val="000000"/>
                <w:sz w:val="16"/>
                <w:szCs w:val="16"/>
                <w:lang w:eastAsia="es-CO"/>
              </w:rPr>
              <w:t>2</w:t>
            </w:r>
          </w:p>
        </w:tc>
        <w:tc>
          <w:tcPr>
            <w:tcW w:w="9355" w:type="dxa"/>
            <w:vAlign w:val="center"/>
          </w:tcPr>
          <w:p w:rsidR="004524F6" w:rsidRPr="00104F4B" w:rsidRDefault="004524F6" w:rsidP="00FC0A3C">
            <w:pPr>
              <w:spacing w:before="100" w:beforeAutospacing="1" w:afterAutospacing="1"/>
              <w:contextualSpacing/>
              <w:rPr>
                <w:rFonts w:cs="Arial"/>
                <w:color w:val="000000"/>
                <w:sz w:val="16"/>
                <w:szCs w:val="16"/>
                <w:lang w:eastAsia="es-CO"/>
              </w:rPr>
            </w:pPr>
            <w:r w:rsidRPr="00104F4B">
              <w:rPr>
                <w:rFonts w:cs="Arial"/>
                <w:color w:val="000000"/>
                <w:sz w:val="16"/>
                <w:szCs w:val="16"/>
                <w:lang w:eastAsia="es-CO"/>
              </w:rPr>
              <w:t>ESTUDIOS Y DISEÑOS DE LA CIRCUNVALAR DE ORIENTE DESDE SALIDA AL LLANO HASTA LA AV. VILLAVICENCIO BOGOTÁ D.C.</w:t>
            </w:r>
          </w:p>
        </w:tc>
      </w:tr>
      <w:tr w:rsidR="004524F6" w:rsidRPr="00104F4B" w:rsidTr="009A4DDD">
        <w:trPr>
          <w:trHeight w:val="322"/>
        </w:trPr>
        <w:tc>
          <w:tcPr>
            <w:tcW w:w="284" w:type="dxa"/>
            <w:vAlign w:val="center"/>
          </w:tcPr>
          <w:p w:rsidR="004524F6" w:rsidRPr="00104F4B" w:rsidRDefault="004524F6" w:rsidP="00FC0A3C">
            <w:pPr>
              <w:contextualSpacing/>
              <w:rPr>
                <w:rFonts w:cs="Arial"/>
                <w:b/>
                <w:color w:val="000000"/>
                <w:sz w:val="16"/>
                <w:szCs w:val="16"/>
                <w:lang w:eastAsia="es-CO"/>
              </w:rPr>
            </w:pPr>
            <w:r w:rsidRPr="00104F4B">
              <w:rPr>
                <w:rFonts w:cs="Arial"/>
                <w:b/>
                <w:color w:val="000000"/>
                <w:sz w:val="16"/>
                <w:szCs w:val="16"/>
                <w:lang w:eastAsia="es-CO"/>
              </w:rPr>
              <w:t>3</w:t>
            </w:r>
          </w:p>
        </w:tc>
        <w:tc>
          <w:tcPr>
            <w:tcW w:w="9355" w:type="dxa"/>
            <w:vAlign w:val="center"/>
          </w:tcPr>
          <w:p w:rsidR="004524F6" w:rsidRPr="00104F4B" w:rsidRDefault="004524F6" w:rsidP="00FC0A3C">
            <w:pPr>
              <w:spacing w:before="100" w:beforeAutospacing="1" w:afterAutospacing="1"/>
              <w:contextualSpacing/>
              <w:rPr>
                <w:rFonts w:cs="Arial"/>
                <w:color w:val="000000"/>
                <w:sz w:val="16"/>
                <w:szCs w:val="16"/>
                <w:lang w:eastAsia="es-CO"/>
              </w:rPr>
            </w:pPr>
            <w:r w:rsidRPr="00104F4B">
              <w:rPr>
                <w:rFonts w:cs="Arial"/>
                <w:color w:val="000000"/>
                <w:sz w:val="16"/>
                <w:szCs w:val="16"/>
                <w:lang w:eastAsia="es-CO"/>
              </w:rPr>
              <w:t>ESTUDIOS Y DISEÑOS AUTOPISTA NORTE DESDE HÉROES HASTA LA CALLE 193 Y AV. SAN JOSÉ (CALLE 170) DESDE LA AV. ALBERTO LLERAS CAMARGO (CARRERA 7) HASTA LA CARRERA 92, A LO LARGO DEL CORREDOR DE LA VÍA SUBA-COTA HASTA EL LÍMITE CON EL DISTRITO -RÍO BOGOTÁ”</w:t>
            </w:r>
          </w:p>
        </w:tc>
      </w:tr>
      <w:tr w:rsidR="004524F6" w:rsidRPr="00104F4B" w:rsidTr="009A4DDD">
        <w:trPr>
          <w:trHeight w:val="327"/>
        </w:trPr>
        <w:tc>
          <w:tcPr>
            <w:tcW w:w="284" w:type="dxa"/>
            <w:vAlign w:val="center"/>
          </w:tcPr>
          <w:p w:rsidR="004524F6" w:rsidRPr="00104F4B" w:rsidRDefault="004524F6" w:rsidP="00FC0A3C">
            <w:pPr>
              <w:contextualSpacing/>
              <w:rPr>
                <w:rFonts w:cs="Arial"/>
                <w:b/>
                <w:color w:val="000000"/>
                <w:sz w:val="16"/>
                <w:szCs w:val="16"/>
                <w:lang w:eastAsia="es-CO"/>
              </w:rPr>
            </w:pPr>
            <w:r w:rsidRPr="00104F4B">
              <w:rPr>
                <w:rFonts w:cs="Arial"/>
                <w:b/>
                <w:color w:val="000000"/>
                <w:sz w:val="16"/>
                <w:szCs w:val="16"/>
                <w:lang w:eastAsia="es-CO"/>
              </w:rPr>
              <w:t>4</w:t>
            </w:r>
          </w:p>
        </w:tc>
        <w:tc>
          <w:tcPr>
            <w:tcW w:w="9355" w:type="dxa"/>
            <w:vAlign w:val="center"/>
          </w:tcPr>
          <w:p w:rsidR="004524F6" w:rsidRPr="00104F4B" w:rsidRDefault="004524F6" w:rsidP="00FC0A3C">
            <w:pPr>
              <w:spacing w:before="100" w:beforeAutospacing="1" w:afterAutospacing="1"/>
              <w:contextualSpacing/>
              <w:rPr>
                <w:rFonts w:cs="Arial"/>
                <w:color w:val="000000"/>
                <w:sz w:val="16"/>
                <w:szCs w:val="16"/>
                <w:lang w:eastAsia="es-CO"/>
              </w:rPr>
            </w:pPr>
            <w:r w:rsidRPr="00104F4B">
              <w:rPr>
                <w:rFonts w:cs="Arial"/>
                <w:color w:val="000000"/>
                <w:sz w:val="16"/>
                <w:szCs w:val="16"/>
                <w:lang w:eastAsia="es-CO"/>
              </w:rPr>
              <w:t>“ESTUDIOS Y DISEÑOS DE LA TRONCAL CENTENARIO DESDE EL LÍMITE OCCIDENTE DEL DISTRITO HASTA LA TRONCAL AMÉRICAS CON CARRERA 50, Y DE LA AVENIDA LONGITUDINAL DE OCCIDENTE, RAMAL AV VILLAVICENCIO HASTA LA AV. CALI Y RAMAL AV. AMÉRICAS HASTA LA AV. CALI, EN BOGOTÁ”</w:t>
            </w:r>
          </w:p>
        </w:tc>
      </w:tr>
    </w:tbl>
    <w:p w:rsidR="004524F6" w:rsidRPr="00104F4B" w:rsidRDefault="004524F6" w:rsidP="004524F6">
      <w:pPr>
        <w:pStyle w:val="Prrafodelista"/>
        <w:ind w:left="357"/>
        <w:contextualSpacing/>
        <w:rPr>
          <w:rFonts w:ascii="Arial" w:hAnsi="Arial" w:cs="Arial"/>
          <w:b/>
          <w:smallCaps/>
          <w:sz w:val="24"/>
          <w:szCs w:val="24"/>
        </w:rPr>
      </w:pPr>
    </w:p>
    <w:p w:rsidR="004524F6" w:rsidRPr="00104F4B" w:rsidRDefault="004524F6" w:rsidP="004524F6">
      <w:pPr>
        <w:pStyle w:val="Prrafodelista"/>
        <w:ind w:left="357"/>
        <w:contextualSpacing/>
        <w:rPr>
          <w:rFonts w:ascii="Arial" w:hAnsi="Arial" w:cs="Arial"/>
          <w:b/>
          <w:smallCaps/>
          <w:sz w:val="16"/>
          <w:szCs w:val="16"/>
        </w:rPr>
      </w:pPr>
      <w:r w:rsidRPr="00104F4B">
        <w:rPr>
          <w:rFonts w:ascii="Arial" w:hAnsi="Arial" w:cs="Arial"/>
          <w:b/>
          <w:smallCaps/>
          <w:sz w:val="16"/>
          <w:szCs w:val="16"/>
        </w:rPr>
        <w:t>DTP - FUENTE TRANSMILENIO</w:t>
      </w:r>
    </w:p>
    <w:tbl>
      <w:tblPr>
        <w:tblStyle w:val="Tablaconcuadrcula"/>
        <w:tblW w:w="9639" w:type="dxa"/>
        <w:tblInd w:w="137" w:type="dxa"/>
        <w:tblLayout w:type="fixed"/>
        <w:tblLook w:val="04A0" w:firstRow="1" w:lastRow="0" w:firstColumn="1" w:lastColumn="0" w:noHBand="0" w:noVBand="1"/>
      </w:tblPr>
      <w:tblGrid>
        <w:gridCol w:w="567"/>
        <w:gridCol w:w="9072"/>
      </w:tblGrid>
      <w:tr w:rsidR="004524F6" w:rsidRPr="00104F4B" w:rsidTr="00FC0A3C">
        <w:trPr>
          <w:trHeight w:val="258"/>
        </w:trPr>
        <w:tc>
          <w:tcPr>
            <w:tcW w:w="567" w:type="dxa"/>
            <w:vAlign w:val="center"/>
          </w:tcPr>
          <w:p w:rsidR="004524F6" w:rsidRPr="00104F4B" w:rsidRDefault="004524F6" w:rsidP="00FC0A3C">
            <w:pPr>
              <w:contextualSpacing/>
              <w:rPr>
                <w:rFonts w:cs="Arial"/>
                <w:b/>
                <w:color w:val="000000"/>
                <w:sz w:val="16"/>
                <w:szCs w:val="16"/>
                <w:lang w:eastAsia="es-CO"/>
              </w:rPr>
            </w:pPr>
            <w:r w:rsidRPr="00104F4B">
              <w:rPr>
                <w:rFonts w:cs="Arial"/>
                <w:b/>
                <w:color w:val="000000"/>
                <w:sz w:val="16"/>
                <w:szCs w:val="16"/>
                <w:lang w:eastAsia="es-CO"/>
              </w:rPr>
              <w:t>5</w:t>
            </w:r>
          </w:p>
        </w:tc>
        <w:tc>
          <w:tcPr>
            <w:tcW w:w="9072" w:type="dxa"/>
            <w:vAlign w:val="center"/>
          </w:tcPr>
          <w:p w:rsidR="004524F6" w:rsidRPr="00104F4B" w:rsidRDefault="004524F6" w:rsidP="00FC0A3C">
            <w:pPr>
              <w:spacing w:before="100" w:beforeAutospacing="1" w:afterAutospacing="1"/>
              <w:contextualSpacing/>
              <w:rPr>
                <w:rFonts w:cs="Arial"/>
                <w:color w:val="000000"/>
                <w:sz w:val="16"/>
                <w:szCs w:val="16"/>
                <w:lang w:eastAsia="es-CO"/>
              </w:rPr>
            </w:pPr>
            <w:r w:rsidRPr="00104F4B">
              <w:rPr>
                <w:rFonts w:cs="Arial"/>
                <w:color w:val="000000"/>
                <w:sz w:val="16"/>
                <w:szCs w:val="16"/>
                <w:lang w:eastAsia="es-CO"/>
              </w:rPr>
              <w:t>COMPLEMENTACIÓN Y/O ACTUALIZACIÓN Y/O AJUSTES DE LOS ESTUDIOS Y DISEÑOS AL SISTEMA TRANSMILENIO Y CONSTRUCCIÓN DE LA AVENIDA BOYACÁ (AK 72) DESDE LA AVENIDA SAN JOSÉ (AC 170) HASTA LA AVENIDA SAN ANTONIO (AC 183), EN BOGOTÁ DC FASE 1</w:t>
            </w:r>
          </w:p>
        </w:tc>
      </w:tr>
      <w:tr w:rsidR="004524F6" w:rsidRPr="00104F4B" w:rsidTr="00FC0A3C">
        <w:trPr>
          <w:trHeight w:val="258"/>
        </w:trPr>
        <w:tc>
          <w:tcPr>
            <w:tcW w:w="567" w:type="dxa"/>
            <w:vAlign w:val="center"/>
          </w:tcPr>
          <w:p w:rsidR="004524F6" w:rsidRPr="00104F4B" w:rsidRDefault="004524F6" w:rsidP="00FC0A3C">
            <w:pPr>
              <w:contextualSpacing/>
              <w:rPr>
                <w:rFonts w:cs="Arial"/>
                <w:b/>
                <w:color w:val="000000"/>
                <w:sz w:val="16"/>
                <w:szCs w:val="16"/>
                <w:lang w:eastAsia="es-CO"/>
              </w:rPr>
            </w:pPr>
            <w:r w:rsidRPr="00104F4B">
              <w:rPr>
                <w:rFonts w:cs="Arial"/>
                <w:b/>
                <w:color w:val="000000"/>
                <w:sz w:val="16"/>
                <w:szCs w:val="16"/>
                <w:lang w:eastAsia="es-CO"/>
              </w:rPr>
              <w:t>6</w:t>
            </w:r>
          </w:p>
        </w:tc>
        <w:tc>
          <w:tcPr>
            <w:tcW w:w="9072" w:type="dxa"/>
            <w:vAlign w:val="center"/>
          </w:tcPr>
          <w:p w:rsidR="004524F6" w:rsidRPr="00104F4B" w:rsidRDefault="004524F6" w:rsidP="00FC0A3C">
            <w:pPr>
              <w:spacing w:before="100" w:beforeAutospacing="1" w:afterAutospacing="1"/>
              <w:contextualSpacing/>
              <w:rPr>
                <w:rFonts w:cs="Arial"/>
                <w:color w:val="000000"/>
                <w:sz w:val="16"/>
                <w:szCs w:val="16"/>
                <w:lang w:eastAsia="es-CO"/>
              </w:rPr>
            </w:pPr>
            <w:r w:rsidRPr="00104F4B">
              <w:rPr>
                <w:rFonts w:cs="Arial"/>
                <w:color w:val="000000"/>
                <w:sz w:val="16"/>
                <w:szCs w:val="16"/>
                <w:lang w:eastAsia="es-CO"/>
              </w:rPr>
              <w:t>ACTUALIZACIÓN, COMPLEMENTACIÓN, AJUSTES DE LOS ESTUDIOS Y DISEÑOS DE LA AMPLIACIÓN Y EXTENSIÓN DE LA TRONCAL CARACAS ENTRE LA ESTACIÓN MOLINOS HASTA PORTAL USME - ACTUALIZACIÓN, COMPLEMENTACIÓN, AJUSTES DE LA FACTIBILIDAD Y ESTUDIOS Y DISEÑOS DEL TRAMO USME - YOMASA Y FACTIBILIDAD, ESTUDIOS Y DISEÑOS DESDE YOMASA HASTA EL NUEVO PATIO Y OBRAS COMPLEMENTARIAS EN BOGOTÁ D.C.</w:t>
            </w:r>
          </w:p>
        </w:tc>
      </w:tr>
      <w:tr w:rsidR="004524F6" w:rsidRPr="00104F4B" w:rsidTr="00FC0A3C">
        <w:trPr>
          <w:trHeight w:val="248"/>
        </w:trPr>
        <w:tc>
          <w:tcPr>
            <w:tcW w:w="567" w:type="dxa"/>
            <w:vAlign w:val="center"/>
          </w:tcPr>
          <w:p w:rsidR="004524F6" w:rsidRPr="00104F4B" w:rsidRDefault="004524F6" w:rsidP="00FC0A3C">
            <w:pPr>
              <w:contextualSpacing/>
              <w:rPr>
                <w:rFonts w:cs="Arial"/>
                <w:b/>
                <w:color w:val="000000"/>
                <w:sz w:val="16"/>
                <w:szCs w:val="16"/>
                <w:lang w:eastAsia="es-CO"/>
              </w:rPr>
            </w:pPr>
            <w:r w:rsidRPr="00104F4B">
              <w:rPr>
                <w:rFonts w:cs="Arial"/>
                <w:b/>
                <w:color w:val="000000"/>
                <w:sz w:val="16"/>
                <w:szCs w:val="16"/>
                <w:lang w:eastAsia="es-CO"/>
              </w:rPr>
              <w:t>7</w:t>
            </w:r>
          </w:p>
        </w:tc>
        <w:tc>
          <w:tcPr>
            <w:tcW w:w="9072" w:type="dxa"/>
            <w:vAlign w:val="center"/>
          </w:tcPr>
          <w:p w:rsidR="004524F6" w:rsidRPr="00104F4B" w:rsidRDefault="004524F6" w:rsidP="00FC0A3C">
            <w:pPr>
              <w:spacing w:before="100" w:beforeAutospacing="1" w:afterAutospacing="1"/>
              <w:contextualSpacing/>
              <w:rPr>
                <w:rFonts w:cs="Arial"/>
                <w:color w:val="000000"/>
                <w:sz w:val="16"/>
                <w:szCs w:val="16"/>
                <w:lang w:eastAsia="es-CO"/>
              </w:rPr>
            </w:pPr>
            <w:r w:rsidRPr="00104F4B">
              <w:rPr>
                <w:rFonts w:cs="Arial"/>
                <w:color w:val="000000"/>
                <w:sz w:val="16"/>
                <w:szCs w:val="16"/>
                <w:lang w:eastAsia="es-CO"/>
              </w:rPr>
              <w:t>ACTUALIZACIÓN Y AJUSTE DE FACTIBILIDAD, Y ESTUDIOS Y DISEÑOS PARA LA ADECUACIÓN AL SISTEMA TRANSMILENIO DE LA TRONCAL AV. VILAVICENCIO DESDE EL PORTAL TUNAL HASTA LA TRONCAL NQS, EN BOGOTÁ D.C.</w:t>
            </w:r>
          </w:p>
        </w:tc>
      </w:tr>
      <w:tr w:rsidR="004524F6" w:rsidRPr="00104F4B" w:rsidTr="00FC0A3C">
        <w:trPr>
          <w:trHeight w:val="307"/>
        </w:trPr>
        <w:tc>
          <w:tcPr>
            <w:tcW w:w="567" w:type="dxa"/>
            <w:vAlign w:val="center"/>
          </w:tcPr>
          <w:p w:rsidR="004524F6" w:rsidRPr="00104F4B" w:rsidRDefault="004524F6" w:rsidP="00FC0A3C">
            <w:pPr>
              <w:contextualSpacing/>
              <w:rPr>
                <w:rFonts w:cs="Arial"/>
                <w:b/>
                <w:color w:val="000000"/>
                <w:sz w:val="16"/>
                <w:szCs w:val="16"/>
                <w:lang w:eastAsia="es-CO"/>
              </w:rPr>
            </w:pPr>
            <w:r w:rsidRPr="00104F4B">
              <w:rPr>
                <w:rFonts w:cs="Arial"/>
                <w:b/>
                <w:color w:val="000000"/>
                <w:sz w:val="16"/>
                <w:szCs w:val="16"/>
                <w:lang w:eastAsia="es-CO"/>
              </w:rPr>
              <w:t>8</w:t>
            </w:r>
          </w:p>
        </w:tc>
        <w:tc>
          <w:tcPr>
            <w:tcW w:w="9072" w:type="dxa"/>
            <w:vAlign w:val="center"/>
          </w:tcPr>
          <w:p w:rsidR="004524F6" w:rsidRPr="00104F4B" w:rsidRDefault="004524F6" w:rsidP="00FC0A3C">
            <w:pPr>
              <w:spacing w:before="100" w:beforeAutospacing="1" w:afterAutospacing="1"/>
              <w:contextualSpacing/>
              <w:rPr>
                <w:rFonts w:cs="Arial"/>
                <w:color w:val="000000"/>
                <w:sz w:val="16"/>
                <w:szCs w:val="16"/>
                <w:lang w:eastAsia="es-CO"/>
              </w:rPr>
            </w:pPr>
            <w:r w:rsidRPr="00104F4B">
              <w:rPr>
                <w:rFonts w:cs="Arial"/>
                <w:color w:val="000000"/>
                <w:sz w:val="16"/>
                <w:szCs w:val="16"/>
                <w:lang w:eastAsia="es-CO"/>
              </w:rPr>
              <w:t>FACTIBILIDAD, ESTUDIOS Y DISEÑOS PARA LA ADECUACIÓN AL SISTEMA TRANSMILENIO DE LA TRONCAL AVENIDA CONGRESO EUCARÍSTICO (CARRERA 68) DESDE LA CARRERA 7 HASTA LA AUTOPISTA SUR Y DE LOS EQUIPAMIENTOS URBANOS COMPLEMENTARIOS, EN BOGOTÁ, D.C.</w:t>
            </w:r>
          </w:p>
        </w:tc>
      </w:tr>
      <w:tr w:rsidR="004524F6" w:rsidRPr="00104F4B" w:rsidTr="00FC0A3C">
        <w:trPr>
          <w:trHeight w:val="195"/>
        </w:trPr>
        <w:tc>
          <w:tcPr>
            <w:tcW w:w="567" w:type="dxa"/>
            <w:vAlign w:val="center"/>
          </w:tcPr>
          <w:p w:rsidR="004524F6" w:rsidRPr="00104F4B" w:rsidRDefault="004524F6" w:rsidP="00FC0A3C">
            <w:pPr>
              <w:contextualSpacing/>
              <w:rPr>
                <w:rFonts w:cs="Arial"/>
                <w:b/>
                <w:color w:val="000000"/>
                <w:sz w:val="16"/>
                <w:szCs w:val="16"/>
                <w:lang w:eastAsia="es-CO"/>
              </w:rPr>
            </w:pPr>
            <w:r w:rsidRPr="00104F4B">
              <w:rPr>
                <w:rFonts w:cs="Arial"/>
                <w:b/>
                <w:color w:val="000000"/>
                <w:sz w:val="16"/>
                <w:szCs w:val="16"/>
                <w:lang w:eastAsia="es-CO"/>
              </w:rPr>
              <w:t>9</w:t>
            </w:r>
          </w:p>
        </w:tc>
        <w:tc>
          <w:tcPr>
            <w:tcW w:w="9072" w:type="dxa"/>
            <w:vAlign w:val="center"/>
          </w:tcPr>
          <w:p w:rsidR="004524F6" w:rsidRPr="00104F4B" w:rsidRDefault="004524F6" w:rsidP="00FC0A3C">
            <w:pPr>
              <w:spacing w:before="100" w:beforeAutospacing="1" w:afterAutospacing="1"/>
              <w:contextualSpacing/>
              <w:rPr>
                <w:rFonts w:cs="Arial"/>
                <w:color w:val="000000"/>
                <w:sz w:val="16"/>
                <w:szCs w:val="16"/>
                <w:lang w:eastAsia="es-CO"/>
              </w:rPr>
            </w:pPr>
            <w:r w:rsidRPr="00104F4B">
              <w:rPr>
                <w:rFonts w:cs="Arial"/>
                <w:color w:val="000000"/>
                <w:sz w:val="16"/>
                <w:szCs w:val="16"/>
                <w:lang w:eastAsia="es-CO"/>
              </w:rPr>
              <w:t>FACTIBILIDAD Y ACTUALIZACIÓN, COMPLEMENTACIÓN, AJUSTES DE LOS ESTUDIOS Y DISEÑOS, Y ESTUDIOS Y DISEÑOS PARA LA AMPLIACIÓN Y EXTENSIÓN DE LA AVENIDA CIUDAD DE CALI AL SISTEMA TRANSMILENIO, ENTRE LA AVENIDA CIRCUNVALAR DEL SUR Y LA AVENIDA CALLE 170 Y DE LOS EQUIPAMIENTOS URBANOS COMPLEMENTARIOS, EN BOGOTÁ D.C.</w:t>
            </w:r>
          </w:p>
        </w:tc>
      </w:tr>
      <w:tr w:rsidR="004524F6" w:rsidRPr="00104F4B" w:rsidTr="00FC0A3C">
        <w:trPr>
          <w:trHeight w:val="284"/>
        </w:trPr>
        <w:tc>
          <w:tcPr>
            <w:tcW w:w="567" w:type="dxa"/>
            <w:vAlign w:val="center"/>
          </w:tcPr>
          <w:p w:rsidR="004524F6" w:rsidRPr="00104F4B" w:rsidRDefault="004524F6" w:rsidP="00FC0A3C">
            <w:pPr>
              <w:contextualSpacing/>
              <w:rPr>
                <w:rFonts w:cs="Arial"/>
                <w:b/>
                <w:color w:val="000000"/>
                <w:sz w:val="16"/>
                <w:szCs w:val="16"/>
                <w:lang w:eastAsia="es-CO"/>
              </w:rPr>
            </w:pPr>
            <w:r w:rsidRPr="00104F4B">
              <w:rPr>
                <w:rFonts w:cs="Arial"/>
                <w:b/>
                <w:color w:val="000000"/>
                <w:sz w:val="16"/>
                <w:szCs w:val="16"/>
                <w:lang w:eastAsia="es-CO"/>
              </w:rPr>
              <w:t>10</w:t>
            </w:r>
          </w:p>
        </w:tc>
        <w:tc>
          <w:tcPr>
            <w:tcW w:w="9072" w:type="dxa"/>
            <w:vAlign w:val="center"/>
          </w:tcPr>
          <w:p w:rsidR="004524F6" w:rsidRPr="00104F4B" w:rsidRDefault="004524F6" w:rsidP="00FC0A3C">
            <w:pPr>
              <w:spacing w:before="100" w:beforeAutospacing="1" w:afterAutospacing="1"/>
              <w:contextualSpacing/>
              <w:rPr>
                <w:rFonts w:cs="Arial"/>
                <w:color w:val="000000"/>
                <w:sz w:val="16"/>
                <w:szCs w:val="16"/>
                <w:lang w:eastAsia="es-CO"/>
              </w:rPr>
            </w:pPr>
            <w:r w:rsidRPr="00104F4B">
              <w:rPr>
                <w:rFonts w:cs="Arial"/>
                <w:color w:val="000000"/>
                <w:sz w:val="16"/>
                <w:szCs w:val="16"/>
                <w:lang w:eastAsia="es-CO"/>
              </w:rPr>
              <w:t>FACTIBILIDAD, ESTUDIOS Y DISEÑOS  PARA LA AMPLIACION DE ESTACIONES DEL SISTEMA TRASMILENIO EN TRONCALES FASE I Y FASE II, EN BOGOTÁ, D.C</w:t>
            </w:r>
          </w:p>
        </w:tc>
      </w:tr>
      <w:tr w:rsidR="004524F6" w:rsidRPr="00104F4B" w:rsidTr="00FC0A3C">
        <w:trPr>
          <w:trHeight w:val="58"/>
        </w:trPr>
        <w:tc>
          <w:tcPr>
            <w:tcW w:w="567" w:type="dxa"/>
            <w:vAlign w:val="center"/>
          </w:tcPr>
          <w:p w:rsidR="004524F6" w:rsidRPr="00104F4B" w:rsidRDefault="004524F6" w:rsidP="00FC0A3C">
            <w:pPr>
              <w:contextualSpacing/>
              <w:rPr>
                <w:rFonts w:cs="Arial"/>
                <w:b/>
                <w:color w:val="000000"/>
                <w:sz w:val="16"/>
                <w:szCs w:val="16"/>
                <w:lang w:eastAsia="es-CO"/>
              </w:rPr>
            </w:pPr>
            <w:r w:rsidRPr="00104F4B">
              <w:rPr>
                <w:rFonts w:cs="Arial"/>
                <w:b/>
                <w:color w:val="000000"/>
                <w:sz w:val="16"/>
                <w:szCs w:val="16"/>
                <w:lang w:eastAsia="es-CO"/>
              </w:rPr>
              <w:t>11</w:t>
            </w:r>
          </w:p>
        </w:tc>
        <w:tc>
          <w:tcPr>
            <w:tcW w:w="9072" w:type="dxa"/>
            <w:vAlign w:val="center"/>
          </w:tcPr>
          <w:p w:rsidR="004524F6" w:rsidRPr="00104F4B" w:rsidRDefault="004524F6" w:rsidP="00FC0A3C">
            <w:pPr>
              <w:spacing w:before="100" w:beforeAutospacing="1" w:afterAutospacing="1"/>
              <w:contextualSpacing/>
              <w:rPr>
                <w:rFonts w:cs="Arial"/>
                <w:color w:val="000000"/>
                <w:sz w:val="16"/>
                <w:szCs w:val="16"/>
                <w:lang w:eastAsia="es-CO"/>
              </w:rPr>
            </w:pPr>
            <w:r w:rsidRPr="00104F4B">
              <w:rPr>
                <w:rFonts w:cs="Arial"/>
                <w:color w:val="000000"/>
                <w:sz w:val="16"/>
                <w:szCs w:val="16"/>
                <w:lang w:eastAsia="es-CO"/>
              </w:rPr>
              <w:t>ESTUDIOS, DISEÑOS Y CONSTRUCCIÓN DE LAS OBRAS COMPLEMENTARIAS PARA EL MJORAMIENTO DE LA CAPACIDAD DE ESTACIONES DEL SISTEMA TRANSMILENIO, EN BOGOTA D.C. GRUPO 1.</w:t>
            </w:r>
          </w:p>
        </w:tc>
      </w:tr>
    </w:tbl>
    <w:p w:rsidR="004524F6" w:rsidRPr="00104F4B" w:rsidRDefault="004524F6" w:rsidP="004524F6">
      <w:pPr>
        <w:contextualSpacing/>
        <w:rPr>
          <w:rFonts w:cs="Arial"/>
          <w:b/>
          <w:bCs/>
          <w:color w:val="000000"/>
          <w:sz w:val="16"/>
          <w:szCs w:val="16"/>
          <w:lang w:eastAsia="es-CO"/>
        </w:rPr>
      </w:pPr>
    </w:p>
    <w:p w:rsidR="004524F6" w:rsidRPr="00104F4B" w:rsidRDefault="004524F6" w:rsidP="004524F6">
      <w:pPr>
        <w:contextualSpacing/>
        <w:rPr>
          <w:rFonts w:cs="Arial"/>
          <w:smallCaps/>
          <w:sz w:val="16"/>
          <w:szCs w:val="16"/>
          <w:u w:val="single"/>
        </w:rPr>
      </w:pPr>
      <w:r w:rsidRPr="00104F4B">
        <w:rPr>
          <w:rFonts w:cs="Arial"/>
          <w:b/>
          <w:bCs/>
          <w:color w:val="000000"/>
          <w:sz w:val="16"/>
          <w:szCs w:val="16"/>
          <w:lang w:eastAsia="es-CO"/>
        </w:rPr>
        <w:t>DTP - FUENTE IDU (ESPACIO PÚBLICO)</w:t>
      </w:r>
    </w:p>
    <w:tbl>
      <w:tblPr>
        <w:tblStyle w:val="Tablaconcuadrcula"/>
        <w:tblW w:w="9639" w:type="dxa"/>
        <w:tblInd w:w="137" w:type="dxa"/>
        <w:tblLayout w:type="fixed"/>
        <w:tblLook w:val="04A0" w:firstRow="1" w:lastRow="0" w:firstColumn="1" w:lastColumn="0" w:noHBand="0" w:noVBand="1"/>
      </w:tblPr>
      <w:tblGrid>
        <w:gridCol w:w="425"/>
        <w:gridCol w:w="9214"/>
      </w:tblGrid>
      <w:tr w:rsidR="004524F6" w:rsidRPr="00104F4B" w:rsidTr="009A4DDD">
        <w:trPr>
          <w:trHeight w:val="258"/>
        </w:trPr>
        <w:tc>
          <w:tcPr>
            <w:tcW w:w="425" w:type="dxa"/>
            <w:vAlign w:val="center"/>
          </w:tcPr>
          <w:p w:rsidR="004524F6" w:rsidRPr="00104F4B" w:rsidRDefault="004524F6" w:rsidP="00FC0A3C">
            <w:pPr>
              <w:rPr>
                <w:rFonts w:cs="Arial"/>
                <w:b/>
                <w:color w:val="000000"/>
                <w:sz w:val="16"/>
                <w:szCs w:val="16"/>
                <w:lang w:eastAsia="es-CO"/>
              </w:rPr>
            </w:pPr>
            <w:r w:rsidRPr="00104F4B">
              <w:rPr>
                <w:rFonts w:cs="Arial"/>
                <w:b/>
                <w:color w:val="000000"/>
                <w:sz w:val="16"/>
                <w:szCs w:val="16"/>
                <w:lang w:eastAsia="es-CO"/>
              </w:rPr>
              <w:t>12</w:t>
            </w:r>
          </w:p>
        </w:tc>
        <w:tc>
          <w:tcPr>
            <w:tcW w:w="9214" w:type="dxa"/>
            <w:vAlign w:val="center"/>
          </w:tcPr>
          <w:p w:rsidR="004524F6" w:rsidRPr="00104F4B" w:rsidRDefault="004524F6" w:rsidP="00FC0A3C">
            <w:pPr>
              <w:spacing w:before="100" w:beforeAutospacing="1" w:afterAutospacing="1"/>
              <w:rPr>
                <w:rFonts w:cs="Arial"/>
                <w:color w:val="000000"/>
                <w:sz w:val="16"/>
                <w:szCs w:val="16"/>
                <w:lang w:eastAsia="es-CO"/>
              </w:rPr>
            </w:pPr>
            <w:r w:rsidRPr="00104F4B">
              <w:rPr>
                <w:rFonts w:cs="Arial"/>
                <w:color w:val="000000"/>
                <w:sz w:val="16"/>
                <w:szCs w:val="16"/>
                <w:lang w:eastAsia="es-CO"/>
              </w:rPr>
              <w:t>AJUSTES, COMPLEMENTACIÓN, ACTUALIZACIÓN DE ESTUDIOS Y DISEÑOS Y ESTUDIOS, DISEÑOS Y CONSTRUCCIÓN, DE ESPACIO PÚBLICO GRUPO 1.</w:t>
            </w:r>
          </w:p>
        </w:tc>
      </w:tr>
      <w:tr w:rsidR="004524F6" w:rsidRPr="00104F4B" w:rsidTr="009A4DDD">
        <w:trPr>
          <w:trHeight w:val="258"/>
        </w:trPr>
        <w:tc>
          <w:tcPr>
            <w:tcW w:w="425" w:type="dxa"/>
            <w:vAlign w:val="center"/>
          </w:tcPr>
          <w:p w:rsidR="004524F6" w:rsidRPr="00104F4B" w:rsidRDefault="004524F6" w:rsidP="00FC0A3C">
            <w:pPr>
              <w:rPr>
                <w:rFonts w:cs="Arial"/>
                <w:b/>
                <w:color w:val="000000"/>
                <w:sz w:val="16"/>
                <w:szCs w:val="16"/>
                <w:lang w:eastAsia="es-CO"/>
              </w:rPr>
            </w:pPr>
            <w:r w:rsidRPr="00104F4B">
              <w:rPr>
                <w:rFonts w:cs="Arial"/>
                <w:b/>
                <w:color w:val="000000"/>
                <w:sz w:val="16"/>
                <w:szCs w:val="16"/>
                <w:lang w:eastAsia="es-CO"/>
              </w:rPr>
              <w:t>13</w:t>
            </w:r>
          </w:p>
        </w:tc>
        <w:tc>
          <w:tcPr>
            <w:tcW w:w="9214" w:type="dxa"/>
            <w:vAlign w:val="center"/>
          </w:tcPr>
          <w:p w:rsidR="004524F6" w:rsidRPr="00104F4B" w:rsidRDefault="004524F6" w:rsidP="00FC0A3C">
            <w:pPr>
              <w:spacing w:before="100" w:beforeAutospacing="1" w:after="100" w:afterAutospacing="1"/>
              <w:rPr>
                <w:rFonts w:cs="Arial"/>
                <w:color w:val="000000"/>
                <w:sz w:val="16"/>
                <w:szCs w:val="16"/>
                <w:lang w:eastAsia="es-CO"/>
              </w:rPr>
            </w:pPr>
            <w:r w:rsidRPr="00104F4B">
              <w:rPr>
                <w:rFonts w:cs="Arial"/>
                <w:color w:val="000000"/>
                <w:sz w:val="16"/>
                <w:szCs w:val="16"/>
                <w:lang w:eastAsia="es-CO"/>
              </w:rPr>
              <w:t xml:space="preserve">CONTRATAR LA FACTIBILIDAD, ESTUDIOS Y DISEÑOS DE LAS REDES PEATONALES, GRUPO B. RED VENECIA, EN LA CIUDAD DE BOGOTÁ D.C. </w:t>
            </w:r>
          </w:p>
        </w:tc>
      </w:tr>
      <w:tr w:rsidR="004524F6" w:rsidRPr="00104F4B" w:rsidTr="009A4DDD">
        <w:trPr>
          <w:trHeight w:val="258"/>
        </w:trPr>
        <w:tc>
          <w:tcPr>
            <w:tcW w:w="425" w:type="dxa"/>
            <w:vAlign w:val="center"/>
          </w:tcPr>
          <w:p w:rsidR="004524F6" w:rsidRPr="00104F4B" w:rsidRDefault="004524F6" w:rsidP="00FC0A3C">
            <w:pPr>
              <w:rPr>
                <w:rFonts w:cs="Arial"/>
                <w:b/>
                <w:color w:val="000000"/>
                <w:sz w:val="16"/>
                <w:szCs w:val="16"/>
                <w:lang w:eastAsia="es-CO"/>
              </w:rPr>
            </w:pPr>
            <w:r w:rsidRPr="00104F4B">
              <w:rPr>
                <w:rFonts w:cs="Arial"/>
                <w:b/>
                <w:color w:val="000000"/>
                <w:sz w:val="16"/>
                <w:szCs w:val="16"/>
                <w:lang w:eastAsia="es-CO"/>
              </w:rPr>
              <w:t>14</w:t>
            </w:r>
          </w:p>
        </w:tc>
        <w:tc>
          <w:tcPr>
            <w:tcW w:w="9214" w:type="dxa"/>
            <w:vAlign w:val="center"/>
          </w:tcPr>
          <w:p w:rsidR="004524F6" w:rsidRPr="00104F4B" w:rsidRDefault="004524F6" w:rsidP="00FC0A3C">
            <w:pPr>
              <w:spacing w:before="100" w:beforeAutospacing="1" w:afterAutospacing="1"/>
              <w:rPr>
                <w:rFonts w:cs="Arial"/>
                <w:color w:val="000000"/>
                <w:sz w:val="16"/>
                <w:szCs w:val="16"/>
                <w:lang w:eastAsia="es-CO"/>
              </w:rPr>
            </w:pPr>
            <w:r w:rsidRPr="00104F4B">
              <w:rPr>
                <w:rFonts w:cs="Arial"/>
                <w:color w:val="000000"/>
                <w:sz w:val="16"/>
                <w:szCs w:val="16"/>
                <w:lang w:eastAsia="es-CO"/>
              </w:rPr>
              <w:t xml:space="preserve">CONTRATAR LA FACTIBILIDAD, ESTUDIOS Y DISEÑOS DE LAS REDES PEATONALES, GRUPO A. RED MINUTO, EN LA CIUDAD DE BOGOTÁ D.C. </w:t>
            </w:r>
          </w:p>
        </w:tc>
      </w:tr>
      <w:tr w:rsidR="004524F6" w:rsidRPr="00104F4B" w:rsidTr="009A4DDD">
        <w:trPr>
          <w:trHeight w:val="258"/>
        </w:trPr>
        <w:tc>
          <w:tcPr>
            <w:tcW w:w="425" w:type="dxa"/>
            <w:vAlign w:val="center"/>
          </w:tcPr>
          <w:p w:rsidR="004524F6" w:rsidRPr="00104F4B" w:rsidRDefault="004524F6" w:rsidP="00FC0A3C">
            <w:pPr>
              <w:rPr>
                <w:rFonts w:cs="Arial"/>
                <w:b/>
                <w:color w:val="000000"/>
                <w:sz w:val="16"/>
                <w:szCs w:val="16"/>
                <w:lang w:eastAsia="es-CO"/>
              </w:rPr>
            </w:pPr>
            <w:r w:rsidRPr="00104F4B">
              <w:rPr>
                <w:rFonts w:cs="Arial"/>
                <w:b/>
                <w:color w:val="000000"/>
                <w:sz w:val="16"/>
                <w:szCs w:val="16"/>
                <w:lang w:eastAsia="es-CO"/>
              </w:rPr>
              <w:t>15</w:t>
            </w:r>
          </w:p>
        </w:tc>
        <w:tc>
          <w:tcPr>
            <w:tcW w:w="9214" w:type="dxa"/>
            <w:vAlign w:val="center"/>
          </w:tcPr>
          <w:p w:rsidR="004524F6" w:rsidRPr="00104F4B" w:rsidRDefault="004524F6" w:rsidP="00FC0A3C">
            <w:pPr>
              <w:spacing w:before="100" w:beforeAutospacing="1" w:afterAutospacing="1"/>
              <w:rPr>
                <w:rFonts w:cs="Arial"/>
                <w:color w:val="000000"/>
                <w:sz w:val="16"/>
                <w:szCs w:val="16"/>
                <w:lang w:eastAsia="es-CO"/>
              </w:rPr>
            </w:pPr>
            <w:r w:rsidRPr="00104F4B">
              <w:rPr>
                <w:rFonts w:cs="Arial"/>
                <w:color w:val="000000"/>
                <w:sz w:val="16"/>
                <w:szCs w:val="16"/>
                <w:lang w:eastAsia="es-CO"/>
              </w:rPr>
              <w:t>ESTUDIOS Y DISEÑOS PARA LAS VÍAS PERIMETRALES Y ESPACIO PÚBLICO ASOCIADO AL PARQUE GILMA JIMÉNEZ, EN LA CIUDAD DE BOGOTÁ D.C.</w:t>
            </w:r>
          </w:p>
        </w:tc>
      </w:tr>
      <w:tr w:rsidR="004524F6" w:rsidRPr="00104F4B" w:rsidTr="009A4DDD">
        <w:trPr>
          <w:trHeight w:val="258"/>
        </w:trPr>
        <w:tc>
          <w:tcPr>
            <w:tcW w:w="425" w:type="dxa"/>
            <w:vAlign w:val="center"/>
          </w:tcPr>
          <w:p w:rsidR="004524F6" w:rsidRPr="00104F4B" w:rsidRDefault="004524F6" w:rsidP="00FC0A3C">
            <w:pPr>
              <w:rPr>
                <w:rFonts w:cs="Arial"/>
                <w:b/>
                <w:color w:val="000000"/>
                <w:sz w:val="16"/>
                <w:szCs w:val="16"/>
                <w:lang w:eastAsia="es-CO"/>
              </w:rPr>
            </w:pPr>
            <w:r w:rsidRPr="00104F4B">
              <w:rPr>
                <w:rFonts w:cs="Arial"/>
                <w:b/>
                <w:color w:val="000000"/>
                <w:sz w:val="16"/>
                <w:szCs w:val="16"/>
                <w:lang w:eastAsia="es-CO"/>
              </w:rPr>
              <w:t>16</w:t>
            </w:r>
          </w:p>
        </w:tc>
        <w:tc>
          <w:tcPr>
            <w:tcW w:w="9214" w:type="dxa"/>
            <w:vAlign w:val="center"/>
          </w:tcPr>
          <w:p w:rsidR="004524F6" w:rsidRPr="00104F4B" w:rsidRDefault="004524F6" w:rsidP="00FC0A3C">
            <w:pPr>
              <w:spacing w:before="100" w:beforeAutospacing="1" w:afterAutospacing="1"/>
              <w:rPr>
                <w:rFonts w:cs="Arial"/>
                <w:color w:val="000000"/>
                <w:sz w:val="16"/>
                <w:szCs w:val="16"/>
                <w:lang w:eastAsia="es-CO"/>
              </w:rPr>
            </w:pPr>
            <w:r w:rsidRPr="00104F4B">
              <w:rPr>
                <w:rFonts w:cs="Arial"/>
                <w:color w:val="000000"/>
                <w:sz w:val="16"/>
                <w:szCs w:val="16"/>
                <w:lang w:eastAsia="es-CO"/>
              </w:rPr>
              <w:t>AJUSTES, COMPLEMENTACIÓN, ACTUALIZACIÓN, ESTUDIOS, DISEÑO Y CONSTRUCCIÓN A PRECIO UNITARIO FIJO CON MONTO AGOTABLE DE LA RED PEATONAL ZONA ROSA EN BOGOTÁ.</w:t>
            </w:r>
          </w:p>
        </w:tc>
      </w:tr>
      <w:tr w:rsidR="004524F6" w:rsidRPr="00104F4B" w:rsidTr="009A4DDD">
        <w:trPr>
          <w:trHeight w:val="258"/>
        </w:trPr>
        <w:tc>
          <w:tcPr>
            <w:tcW w:w="425" w:type="dxa"/>
            <w:vAlign w:val="center"/>
          </w:tcPr>
          <w:p w:rsidR="004524F6" w:rsidRPr="00104F4B" w:rsidRDefault="004524F6" w:rsidP="00FC0A3C">
            <w:pPr>
              <w:rPr>
                <w:rFonts w:cs="Arial"/>
                <w:b/>
                <w:color w:val="000000"/>
                <w:sz w:val="16"/>
                <w:szCs w:val="16"/>
                <w:lang w:eastAsia="es-CO"/>
              </w:rPr>
            </w:pPr>
            <w:r w:rsidRPr="00104F4B">
              <w:rPr>
                <w:rFonts w:cs="Arial"/>
                <w:b/>
                <w:color w:val="000000"/>
                <w:sz w:val="16"/>
                <w:szCs w:val="16"/>
                <w:lang w:eastAsia="es-CO"/>
              </w:rPr>
              <w:lastRenderedPageBreak/>
              <w:t>17</w:t>
            </w:r>
          </w:p>
        </w:tc>
        <w:tc>
          <w:tcPr>
            <w:tcW w:w="9214" w:type="dxa"/>
            <w:vAlign w:val="center"/>
          </w:tcPr>
          <w:p w:rsidR="004524F6" w:rsidRPr="00104F4B" w:rsidRDefault="004524F6" w:rsidP="00FC0A3C">
            <w:pPr>
              <w:spacing w:before="100" w:beforeAutospacing="1" w:afterAutospacing="1"/>
              <w:rPr>
                <w:rFonts w:cs="Arial"/>
                <w:color w:val="000000"/>
                <w:sz w:val="16"/>
                <w:szCs w:val="16"/>
                <w:lang w:eastAsia="es-CO"/>
              </w:rPr>
            </w:pPr>
            <w:r w:rsidRPr="00104F4B">
              <w:rPr>
                <w:rFonts w:cs="Arial"/>
                <w:color w:val="000000"/>
                <w:sz w:val="16"/>
                <w:szCs w:val="16"/>
                <w:lang w:eastAsia="es-CO"/>
              </w:rPr>
              <w:t>FACTIBILIDAD Y ESTUDIOS Y DISEÑOS DE INFRAESTRUCTURA PEATONAL Y CICLORRUTAS EN LOS CORREDORES AMBIENTALES LOCALIZADOS EN EL CANAL CÓRDOBA ENTRE CALLE 129 Y CALLE 170 Y EN EL CANAL SAN FRANCISCO (ENTRE CARRERA 50 Y CANAL BOYACÁ EN LA CIUDAD DE BOGOTÁ</w:t>
            </w:r>
          </w:p>
        </w:tc>
      </w:tr>
      <w:tr w:rsidR="004524F6" w:rsidRPr="00104F4B" w:rsidTr="009A4DDD">
        <w:trPr>
          <w:trHeight w:val="258"/>
        </w:trPr>
        <w:tc>
          <w:tcPr>
            <w:tcW w:w="425" w:type="dxa"/>
            <w:vAlign w:val="center"/>
          </w:tcPr>
          <w:p w:rsidR="004524F6" w:rsidRPr="00104F4B" w:rsidRDefault="004524F6" w:rsidP="00FC0A3C">
            <w:pPr>
              <w:rPr>
                <w:rFonts w:cs="Arial"/>
                <w:b/>
                <w:color w:val="000000"/>
                <w:sz w:val="16"/>
                <w:szCs w:val="16"/>
                <w:lang w:eastAsia="es-CO"/>
              </w:rPr>
            </w:pPr>
            <w:r w:rsidRPr="00104F4B">
              <w:rPr>
                <w:rFonts w:cs="Arial"/>
                <w:b/>
                <w:color w:val="000000"/>
                <w:sz w:val="16"/>
                <w:szCs w:val="16"/>
                <w:lang w:eastAsia="es-CO"/>
              </w:rPr>
              <w:t>18</w:t>
            </w:r>
          </w:p>
        </w:tc>
        <w:tc>
          <w:tcPr>
            <w:tcW w:w="9214" w:type="dxa"/>
            <w:vAlign w:val="center"/>
          </w:tcPr>
          <w:p w:rsidR="004524F6" w:rsidRPr="00104F4B" w:rsidRDefault="004524F6" w:rsidP="00FC0A3C">
            <w:pPr>
              <w:spacing w:before="100" w:beforeAutospacing="1" w:afterAutospacing="1"/>
              <w:rPr>
                <w:rFonts w:cs="Arial"/>
                <w:color w:val="000000"/>
                <w:sz w:val="16"/>
                <w:szCs w:val="16"/>
                <w:lang w:eastAsia="es-CO"/>
              </w:rPr>
            </w:pPr>
            <w:r w:rsidRPr="00104F4B">
              <w:rPr>
                <w:rFonts w:cs="Arial"/>
                <w:color w:val="000000"/>
                <w:sz w:val="16"/>
                <w:szCs w:val="16"/>
                <w:lang w:eastAsia="es-CO"/>
              </w:rPr>
              <w:t>FACTIBILIDAD Y ESTUDIOS Y DISEÑOS DE ACERAS, CICLORRUTAS Y CONEXIONES PEATONALES TRANSVERSALES EN LA CIUDAD DE BOGOTÁ D.C.</w:t>
            </w:r>
          </w:p>
        </w:tc>
      </w:tr>
      <w:tr w:rsidR="004524F6" w:rsidRPr="00104F4B" w:rsidTr="009A4DDD">
        <w:trPr>
          <w:trHeight w:val="248"/>
        </w:trPr>
        <w:tc>
          <w:tcPr>
            <w:tcW w:w="425" w:type="dxa"/>
            <w:vAlign w:val="center"/>
          </w:tcPr>
          <w:p w:rsidR="004524F6" w:rsidRPr="00104F4B" w:rsidRDefault="004524F6" w:rsidP="00FC0A3C">
            <w:pPr>
              <w:rPr>
                <w:rFonts w:cs="Arial"/>
                <w:b/>
                <w:color w:val="000000"/>
                <w:sz w:val="16"/>
                <w:szCs w:val="16"/>
                <w:lang w:eastAsia="es-CO"/>
              </w:rPr>
            </w:pPr>
            <w:r w:rsidRPr="00104F4B">
              <w:rPr>
                <w:rFonts w:cs="Arial"/>
                <w:b/>
                <w:color w:val="000000"/>
                <w:sz w:val="16"/>
                <w:szCs w:val="16"/>
                <w:lang w:eastAsia="es-CO"/>
              </w:rPr>
              <w:t>19</w:t>
            </w:r>
          </w:p>
        </w:tc>
        <w:tc>
          <w:tcPr>
            <w:tcW w:w="9214" w:type="dxa"/>
            <w:vAlign w:val="center"/>
          </w:tcPr>
          <w:p w:rsidR="004524F6" w:rsidRPr="00104F4B" w:rsidRDefault="004524F6" w:rsidP="00FC0A3C">
            <w:pPr>
              <w:spacing w:before="100" w:beforeAutospacing="1" w:afterAutospacing="1"/>
              <w:rPr>
                <w:rFonts w:cs="Arial"/>
                <w:color w:val="000000"/>
                <w:sz w:val="16"/>
                <w:szCs w:val="16"/>
                <w:lang w:eastAsia="es-CO"/>
              </w:rPr>
            </w:pPr>
            <w:r w:rsidRPr="00104F4B">
              <w:rPr>
                <w:rFonts w:cs="Arial"/>
                <w:color w:val="000000"/>
                <w:sz w:val="16"/>
                <w:szCs w:val="16"/>
                <w:lang w:eastAsia="es-CO"/>
              </w:rPr>
              <w:t>ESTUDIOS Y DISEÑOS Y CONSTRUCCIÓN DE LA RED PEATONAL SABANA, GRUPO 1. BARRIOS LA SABANA, VOTO NACIONAL, LA PEPITA, LA ESTANZUELA Y SANTA INES, EN LA CIUDAD DE BOGOTÁ, D.C.</w:t>
            </w:r>
          </w:p>
        </w:tc>
      </w:tr>
      <w:tr w:rsidR="004524F6" w:rsidRPr="00104F4B" w:rsidTr="009A4DDD">
        <w:trPr>
          <w:trHeight w:val="58"/>
        </w:trPr>
        <w:tc>
          <w:tcPr>
            <w:tcW w:w="425" w:type="dxa"/>
            <w:vAlign w:val="center"/>
          </w:tcPr>
          <w:p w:rsidR="004524F6" w:rsidRPr="00104F4B" w:rsidRDefault="004524F6" w:rsidP="00FC0A3C">
            <w:pPr>
              <w:rPr>
                <w:rFonts w:cs="Arial"/>
                <w:b/>
                <w:color w:val="000000"/>
                <w:sz w:val="16"/>
                <w:szCs w:val="16"/>
                <w:lang w:eastAsia="es-CO"/>
              </w:rPr>
            </w:pPr>
            <w:r w:rsidRPr="00104F4B">
              <w:rPr>
                <w:rFonts w:cs="Arial"/>
                <w:b/>
                <w:color w:val="000000"/>
                <w:sz w:val="16"/>
                <w:szCs w:val="16"/>
                <w:lang w:eastAsia="es-CO"/>
              </w:rPr>
              <w:t>20</w:t>
            </w:r>
          </w:p>
        </w:tc>
        <w:tc>
          <w:tcPr>
            <w:tcW w:w="9214" w:type="dxa"/>
            <w:vAlign w:val="center"/>
          </w:tcPr>
          <w:p w:rsidR="004524F6" w:rsidRPr="00104F4B" w:rsidRDefault="004524F6" w:rsidP="00FC0A3C">
            <w:pPr>
              <w:spacing w:before="100" w:beforeAutospacing="1" w:afterAutospacing="1"/>
              <w:rPr>
                <w:rFonts w:cs="Arial"/>
                <w:color w:val="000000"/>
                <w:sz w:val="16"/>
                <w:szCs w:val="16"/>
                <w:lang w:eastAsia="es-CO"/>
              </w:rPr>
            </w:pPr>
            <w:r w:rsidRPr="00104F4B">
              <w:rPr>
                <w:rFonts w:cs="Arial"/>
                <w:color w:val="000000"/>
                <w:sz w:val="16"/>
                <w:szCs w:val="16"/>
                <w:lang w:eastAsia="es-CO"/>
              </w:rPr>
              <w:t>ESTUDIOS Y DISEÑOS Y CONSTRUCCIÓN DE LA RED PEATONAL SABANA, GRUPO 2. BARRIOS RICAURTE Y CENTRO ADMINISTRATIVO, EN LA CIUDAD DE BOGOTÁ, D.C.</w:t>
            </w:r>
          </w:p>
        </w:tc>
      </w:tr>
    </w:tbl>
    <w:p w:rsidR="004524F6" w:rsidRPr="00104F4B" w:rsidRDefault="004524F6" w:rsidP="004524F6">
      <w:pPr>
        <w:contextualSpacing/>
        <w:rPr>
          <w:rFonts w:cs="Arial"/>
          <w:b/>
          <w:bCs/>
          <w:color w:val="000000"/>
          <w:sz w:val="16"/>
          <w:szCs w:val="16"/>
          <w:lang w:eastAsia="es-CO"/>
        </w:rPr>
      </w:pPr>
    </w:p>
    <w:p w:rsidR="004524F6" w:rsidRPr="00104F4B" w:rsidRDefault="004524F6" w:rsidP="004524F6">
      <w:pPr>
        <w:contextualSpacing/>
        <w:rPr>
          <w:rFonts w:cs="Arial"/>
          <w:smallCaps/>
          <w:sz w:val="16"/>
          <w:szCs w:val="16"/>
          <w:u w:val="single"/>
        </w:rPr>
      </w:pPr>
      <w:r w:rsidRPr="00104F4B">
        <w:rPr>
          <w:rFonts w:cs="Arial"/>
          <w:b/>
          <w:bCs/>
          <w:color w:val="000000"/>
          <w:sz w:val="16"/>
          <w:szCs w:val="16"/>
          <w:lang w:eastAsia="es-CO"/>
        </w:rPr>
        <w:t>DTP - FUENTE IDU (VIAS Y PUENTES)</w:t>
      </w:r>
    </w:p>
    <w:tbl>
      <w:tblPr>
        <w:tblStyle w:val="Tablaconcuadrcula"/>
        <w:tblW w:w="9639" w:type="dxa"/>
        <w:tblInd w:w="137" w:type="dxa"/>
        <w:tblLayout w:type="fixed"/>
        <w:tblLook w:val="04A0" w:firstRow="1" w:lastRow="0" w:firstColumn="1" w:lastColumn="0" w:noHBand="0" w:noVBand="1"/>
      </w:tblPr>
      <w:tblGrid>
        <w:gridCol w:w="425"/>
        <w:gridCol w:w="9214"/>
      </w:tblGrid>
      <w:tr w:rsidR="004524F6" w:rsidRPr="00104F4B" w:rsidTr="009A4DDD">
        <w:trPr>
          <w:trHeight w:val="258"/>
        </w:trPr>
        <w:tc>
          <w:tcPr>
            <w:tcW w:w="425" w:type="dxa"/>
            <w:vAlign w:val="center"/>
          </w:tcPr>
          <w:p w:rsidR="004524F6" w:rsidRPr="00104F4B" w:rsidRDefault="004524F6" w:rsidP="00FC0A3C">
            <w:pPr>
              <w:rPr>
                <w:rFonts w:cs="Arial"/>
                <w:b/>
                <w:color w:val="000000"/>
                <w:sz w:val="16"/>
                <w:szCs w:val="16"/>
                <w:lang w:eastAsia="es-CO"/>
              </w:rPr>
            </w:pPr>
            <w:r w:rsidRPr="00104F4B">
              <w:rPr>
                <w:rFonts w:cs="Arial"/>
                <w:b/>
                <w:color w:val="000000"/>
                <w:sz w:val="16"/>
                <w:szCs w:val="16"/>
                <w:lang w:eastAsia="es-CO"/>
              </w:rPr>
              <w:t>21</w:t>
            </w:r>
          </w:p>
        </w:tc>
        <w:tc>
          <w:tcPr>
            <w:tcW w:w="9214" w:type="dxa"/>
            <w:vAlign w:val="center"/>
          </w:tcPr>
          <w:p w:rsidR="004524F6" w:rsidRPr="00104F4B" w:rsidRDefault="004524F6" w:rsidP="00FC0A3C">
            <w:pPr>
              <w:spacing w:before="100" w:beforeAutospacing="1" w:afterAutospacing="1"/>
              <w:rPr>
                <w:rFonts w:cs="Arial"/>
                <w:color w:val="000000"/>
                <w:sz w:val="16"/>
                <w:szCs w:val="16"/>
                <w:lang w:eastAsia="es-CO"/>
              </w:rPr>
            </w:pPr>
            <w:r w:rsidRPr="00104F4B">
              <w:rPr>
                <w:rFonts w:cs="Arial"/>
                <w:color w:val="000000"/>
                <w:sz w:val="16"/>
                <w:szCs w:val="16"/>
                <w:lang w:eastAsia="es-CO"/>
              </w:rPr>
              <w:t>ACTUALIZACIÓN DE ESTUDIOS Y DISEÑOS DE DIAGNÓSTICO ESTRUCTURAL Y ACTUALIZACIÓN SÍSMICA DE PUENTES VEHICULARES, Y EJECUCIÓN DE OBRAS DE ACTUALIZACIÓN SÍSMICA Y REFORZAMIENTO ESTRUCTURAL DE PUENTES VEHICULARES GRUPO A, EN BOGOTÁ D.C.</w:t>
            </w:r>
          </w:p>
        </w:tc>
      </w:tr>
      <w:tr w:rsidR="004524F6" w:rsidRPr="00104F4B" w:rsidTr="009A4DDD">
        <w:trPr>
          <w:trHeight w:val="258"/>
        </w:trPr>
        <w:tc>
          <w:tcPr>
            <w:tcW w:w="425" w:type="dxa"/>
            <w:vAlign w:val="center"/>
          </w:tcPr>
          <w:p w:rsidR="004524F6" w:rsidRPr="00104F4B" w:rsidRDefault="004524F6" w:rsidP="00FC0A3C">
            <w:pPr>
              <w:rPr>
                <w:rFonts w:cs="Arial"/>
                <w:b/>
                <w:color w:val="000000"/>
                <w:sz w:val="16"/>
                <w:szCs w:val="16"/>
                <w:lang w:eastAsia="es-CO"/>
              </w:rPr>
            </w:pPr>
            <w:r w:rsidRPr="00104F4B">
              <w:rPr>
                <w:rFonts w:cs="Arial"/>
                <w:b/>
                <w:color w:val="000000"/>
                <w:sz w:val="16"/>
                <w:szCs w:val="16"/>
                <w:lang w:eastAsia="es-CO"/>
              </w:rPr>
              <w:t>22</w:t>
            </w:r>
          </w:p>
        </w:tc>
        <w:tc>
          <w:tcPr>
            <w:tcW w:w="9214" w:type="dxa"/>
            <w:vAlign w:val="center"/>
          </w:tcPr>
          <w:p w:rsidR="004524F6" w:rsidRPr="00104F4B" w:rsidRDefault="004524F6" w:rsidP="00FC0A3C">
            <w:pPr>
              <w:spacing w:before="100" w:beforeAutospacing="1" w:afterAutospacing="1"/>
              <w:rPr>
                <w:rFonts w:cs="Arial"/>
                <w:color w:val="000000"/>
                <w:sz w:val="16"/>
                <w:szCs w:val="16"/>
                <w:lang w:eastAsia="es-CO"/>
              </w:rPr>
            </w:pPr>
            <w:r w:rsidRPr="00104F4B">
              <w:rPr>
                <w:rFonts w:cs="Arial"/>
                <w:color w:val="000000"/>
                <w:sz w:val="16"/>
                <w:szCs w:val="16"/>
                <w:lang w:eastAsia="es-CO"/>
              </w:rPr>
              <w:t>ACTUALIZACIÓN, COMPLEMENTACIÓN, AJUSTES DE ESTUDIOS Y DISEÑOS Y/O ESTUDIOS Y DISEÑOS Y CONSTRUCCION DE LA AV. JOSÉ  CELESTINO MUTIS (AC 63) DESDE LA TRANSVERSAL 112B Bis A (CARRERA 114) HASTA CARRERA 122, EN BOGOTÁ, D.C.</w:t>
            </w:r>
          </w:p>
        </w:tc>
      </w:tr>
      <w:tr w:rsidR="004524F6" w:rsidRPr="00104F4B" w:rsidTr="009A4DDD">
        <w:trPr>
          <w:trHeight w:val="258"/>
        </w:trPr>
        <w:tc>
          <w:tcPr>
            <w:tcW w:w="425" w:type="dxa"/>
            <w:vAlign w:val="center"/>
          </w:tcPr>
          <w:p w:rsidR="004524F6" w:rsidRPr="00104F4B" w:rsidRDefault="004524F6" w:rsidP="00FC0A3C">
            <w:pPr>
              <w:rPr>
                <w:rFonts w:cs="Arial"/>
                <w:b/>
                <w:color w:val="000000"/>
                <w:sz w:val="16"/>
                <w:szCs w:val="16"/>
                <w:lang w:eastAsia="es-CO"/>
              </w:rPr>
            </w:pPr>
            <w:r w:rsidRPr="00104F4B">
              <w:rPr>
                <w:rFonts w:cs="Arial"/>
                <w:b/>
                <w:color w:val="000000"/>
                <w:sz w:val="16"/>
                <w:szCs w:val="16"/>
                <w:lang w:eastAsia="es-CO"/>
              </w:rPr>
              <w:t>23</w:t>
            </w:r>
          </w:p>
        </w:tc>
        <w:tc>
          <w:tcPr>
            <w:tcW w:w="9214" w:type="dxa"/>
            <w:vAlign w:val="center"/>
          </w:tcPr>
          <w:p w:rsidR="004524F6" w:rsidRPr="00104F4B" w:rsidRDefault="004524F6" w:rsidP="00FC0A3C">
            <w:pPr>
              <w:spacing w:before="100" w:beforeAutospacing="1" w:afterAutospacing="1"/>
              <w:rPr>
                <w:rFonts w:cs="Arial"/>
                <w:color w:val="000000"/>
                <w:sz w:val="16"/>
                <w:szCs w:val="16"/>
                <w:lang w:eastAsia="es-CO"/>
              </w:rPr>
            </w:pPr>
            <w:r w:rsidRPr="00104F4B">
              <w:rPr>
                <w:rFonts w:cs="Arial"/>
                <w:color w:val="000000"/>
                <w:sz w:val="16"/>
                <w:szCs w:val="16"/>
                <w:lang w:eastAsia="es-CO"/>
              </w:rPr>
              <w:t>ESTUDIOS Y DISEÑOS DE DIAGNÓSTICO ESTRUCTURAL Y ACTUALIZACIÓN SÍSMICA DE PUENTES VEHICULARES AVENIDA DEL CONGRESO EUCARÍSTICO (AV. KR. 68) POR AVENIDA CIUDAD DE QUITO (CURVO), AUTOPISTA SUR POR AVENIDA VILLAVICENCIO (CENTRAL), CARRERA 8A E POR CALLE 12 SUR, AVENIDA CIUDAD DE QUITO POR AVENIDA DEL CONGRESO EUCARÍSTICO (AV. KR. 68 - COSTADO SUR) Y AVENIDA PRIMERO DE MAYO POR AVENIDA DEL CONGRESO EUCARÍSTICO (AV. KR. 68). GRUPO A</w:t>
            </w:r>
          </w:p>
        </w:tc>
      </w:tr>
      <w:tr w:rsidR="004524F6" w:rsidRPr="00104F4B" w:rsidTr="009A4DDD">
        <w:trPr>
          <w:trHeight w:val="258"/>
        </w:trPr>
        <w:tc>
          <w:tcPr>
            <w:tcW w:w="425" w:type="dxa"/>
            <w:vAlign w:val="center"/>
          </w:tcPr>
          <w:p w:rsidR="004524F6" w:rsidRPr="00104F4B" w:rsidRDefault="004524F6" w:rsidP="00FC0A3C">
            <w:pPr>
              <w:rPr>
                <w:rFonts w:cs="Arial"/>
                <w:b/>
                <w:color w:val="000000"/>
                <w:sz w:val="16"/>
                <w:szCs w:val="16"/>
                <w:lang w:eastAsia="es-CO"/>
              </w:rPr>
            </w:pPr>
            <w:r w:rsidRPr="00104F4B">
              <w:rPr>
                <w:rFonts w:cs="Arial"/>
                <w:b/>
                <w:color w:val="000000"/>
                <w:sz w:val="16"/>
                <w:szCs w:val="16"/>
                <w:lang w:eastAsia="es-CO"/>
              </w:rPr>
              <w:t>24</w:t>
            </w:r>
          </w:p>
        </w:tc>
        <w:tc>
          <w:tcPr>
            <w:tcW w:w="9214" w:type="dxa"/>
            <w:vAlign w:val="center"/>
          </w:tcPr>
          <w:p w:rsidR="004524F6" w:rsidRPr="00104F4B" w:rsidRDefault="004524F6" w:rsidP="00FC0A3C">
            <w:pPr>
              <w:spacing w:before="100" w:beforeAutospacing="1" w:afterAutospacing="1"/>
              <w:rPr>
                <w:rFonts w:cs="Arial"/>
                <w:color w:val="000000"/>
                <w:sz w:val="16"/>
                <w:szCs w:val="16"/>
                <w:lang w:eastAsia="es-CO"/>
              </w:rPr>
            </w:pPr>
            <w:r w:rsidRPr="00104F4B">
              <w:rPr>
                <w:rFonts w:cs="Arial"/>
                <w:color w:val="000000"/>
                <w:sz w:val="16"/>
                <w:szCs w:val="16"/>
                <w:lang w:eastAsia="es-CO"/>
              </w:rPr>
              <w:t>INTERVENTORÍA PARA EJECUTAR LOS ESTUDIOS Y DISEÑOS DE DIAGNÓSTICO ESTRUCTURAL Y ACTUALIZACIÓN SÍSMICA DE PUENTES VEHICULARES AVENIDA CIUDAD DE QUITO POR AVENIDA LOS COMUNEROS (AV. CALLE 6), AVENIDA CIUDAD DE QUITO POR AVENIDA CENTENARIO, AVENIDA CIUDAD DE LIMA (AV. CALLE 19) POR AVENIDA CIUDAD DE QUITO, AVENIDA CIUDAD DE QUITO POR AVENIDA JORGE ELIECER GAITÁN (AV. CALLE 26) Y AVENIDA CENTENARIO (AV. CALLE 13) POR AV. BOYACÁ). GRUPO C.</w:t>
            </w:r>
          </w:p>
        </w:tc>
      </w:tr>
      <w:tr w:rsidR="004524F6" w:rsidRPr="00104F4B" w:rsidTr="009A4DDD">
        <w:trPr>
          <w:trHeight w:val="258"/>
        </w:trPr>
        <w:tc>
          <w:tcPr>
            <w:tcW w:w="425" w:type="dxa"/>
            <w:vAlign w:val="center"/>
          </w:tcPr>
          <w:p w:rsidR="004524F6" w:rsidRPr="00104F4B" w:rsidRDefault="004524F6" w:rsidP="00FC0A3C">
            <w:pPr>
              <w:rPr>
                <w:rFonts w:cs="Arial"/>
                <w:b/>
                <w:color w:val="000000"/>
                <w:sz w:val="16"/>
                <w:szCs w:val="16"/>
                <w:lang w:eastAsia="es-CO"/>
              </w:rPr>
            </w:pPr>
            <w:r w:rsidRPr="00104F4B">
              <w:rPr>
                <w:rFonts w:cs="Arial"/>
                <w:b/>
                <w:color w:val="000000"/>
                <w:sz w:val="16"/>
                <w:szCs w:val="16"/>
                <w:lang w:eastAsia="es-CO"/>
              </w:rPr>
              <w:t>25</w:t>
            </w:r>
          </w:p>
        </w:tc>
        <w:tc>
          <w:tcPr>
            <w:tcW w:w="9214" w:type="dxa"/>
            <w:vAlign w:val="center"/>
          </w:tcPr>
          <w:p w:rsidR="004524F6" w:rsidRPr="00104F4B" w:rsidRDefault="004524F6" w:rsidP="00FC0A3C">
            <w:pPr>
              <w:spacing w:before="100" w:beforeAutospacing="1" w:afterAutospacing="1"/>
              <w:rPr>
                <w:rFonts w:cs="Arial"/>
                <w:color w:val="000000"/>
                <w:sz w:val="16"/>
                <w:szCs w:val="16"/>
                <w:lang w:eastAsia="es-CO"/>
              </w:rPr>
            </w:pPr>
            <w:r w:rsidRPr="00104F4B">
              <w:rPr>
                <w:rFonts w:cs="Arial"/>
                <w:color w:val="000000"/>
                <w:sz w:val="16"/>
                <w:szCs w:val="16"/>
                <w:lang w:eastAsia="es-CO"/>
              </w:rPr>
              <w:t>ACTUALIZACIÓN, AJUSTES Y COMPLEMENTACIÓN DE DISEÑOS Y CONSTRUCCIÓN DE CUATRO (4) PUENTES VEHICULARES SOBRE CUERPOS DE AGUA, EN LA CIUDAD DE BOGOTÁ D.C.</w:t>
            </w:r>
          </w:p>
        </w:tc>
      </w:tr>
      <w:tr w:rsidR="004524F6" w:rsidRPr="00104F4B" w:rsidTr="009A4DDD">
        <w:trPr>
          <w:trHeight w:val="258"/>
        </w:trPr>
        <w:tc>
          <w:tcPr>
            <w:tcW w:w="425" w:type="dxa"/>
            <w:vAlign w:val="center"/>
          </w:tcPr>
          <w:p w:rsidR="004524F6" w:rsidRPr="00104F4B" w:rsidRDefault="004524F6" w:rsidP="00FC0A3C">
            <w:pPr>
              <w:rPr>
                <w:rFonts w:cs="Arial"/>
                <w:b/>
                <w:color w:val="000000"/>
                <w:sz w:val="16"/>
                <w:szCs w:val="16"/>
                <w:lang w:eastAsia="es-CO"/>
              </w:rPr>
            </w:pPr>
            <w:r w:rsidRPr="00104F4B">
              <w:rPr>
                <w:rFonts w:cs="Arial"/>
                <w:b/>
                <w:color w:val="000000"/>
                <w:sz w:val="16"/>
                <w:szCs w:val="16"/>
                <w:lang w:eastAsia="es-CO"/>
              </w:rPr>
              <w:t>26</w:t>
            </w:r>
          </w:p>
        </w:tc>
        <w:tc>
          <w:tcPr>
            <w:tcW w:w="9214" w:type="dxa"/>
            <w:vAlign w:val="center"/>
          </w:tcPr>
          <w:p w:rsidR="004524F6" w:rsidRPr="00104F4B" w:rsidRDefault="004524F6" w:rsidP="00FC0A3C">
            <w:pPr>
              <w:spacing w:before="100" w:beforeAutospacing="1" w:afterAutospacing="1"/>
              <w:rPr>
                <w:rFonts w:cs="Arial"/>
                <w:color w:val="000000"/>
                <w:sz w:val="16"/>
                <w:szCs w:val="16"/>
                <w:lang w:eastAsia="es-CO"/>
              </w:rPr>
            </w:pPr>
            <w:r w:rsidRPr="00104F4B">
              <w:rPr>
                <w:rFonts w:cs="Arial"/>
                <w:color w:val="000000"/>
                <w:sz w:val="16"/>
                <w:szCs w:val="16"/>
                <w:lang w:eastAsia="es-CO"/>
              </w:rPr>
              <w:t>FACTIBILIDAD, ESTUDIOS Y DISEÑOS DE ACCESOS VIALES TRAMO I: ILLIMANI, TRAMO II: CABLE, TRAMO III, CARACOLI, EN LA LOCALIDAD DE CIUDAD BOLIVAR EN BOGOTÁ DC</w:t>
            </w:r>
          </w:p>
        </w:tc>
      </w:tr>
      <w:tr w:rsidR="004524F6" w:rsidRPr="00104F4B" w:rsidTr="009A4DDD">
        <w:trPr>
          <w:trHeight w:val="258"/>
        </w:trPr>
        <w:tc>
          <w:tcPr>
            <w:tcW w:w="425" w:type="dxa"/>
            <w:vAlign w:val="center"/>
          </w:tcPr>
          <w:p w:rsidR="004524F6" w:rsidRPr="00104F4B" w:rsidRDefault="004524F6" w:rsidP="00FC0A3C">
            <w:pPr>
              <w:rPr>
                <w:rFonts w:cs="Arial"/>
                <w:b/>
                <w:color w:val="000000"/>
                <w:sz w:val="16"/>
                <w:szCs w:val="16"/>
                <w:lang w:eastAsia="es-CO"/>
              </w:rPr>
            </w:pPr>
            <w:r w:rsidRPr="00104F4B">
              <w:rPr>
                <w:rFonts w:cs="Arial"/>
                <w:b/>
                <w:color w:val="000000"/>
                <w:sz w:val="16"/>
                <w:szCs w:val="16"/>
                <w:lang w:eastAsia="es-CO"/>
              </w:rPr>
              <w:t>27</w:t>
            </w:r>
          </w:p>
        </w:tc>
        <w:tc>
          <w:tcPr>
            <w:tcW w:w="9214" w:type="dxa"/>
            <w:vAlign w:val="center"/>
          </w:tcPr>
          <w:p w:rsidR="004524F6" w:rsidRPr="00104F4B" w:rsidRDefault="004524F6" w:rsidP="00FC0A3C">
            <w:pPr>
              <w:spacing w:before="100" w:beforeAutospacing="1" w:afterAutospacing="1"/>
              <w:rPr>
                <w:rFonts w:cs="Arial"/>
                <w:color w:val="000000"/>
                <w:sz w:val="16"/>
                <w:szCs w:val="16"/>
                <w:lang w:eastAsia="es-CO"/>
              </w:rPr>
            </w:pPr>
            <w:r w:rsidRPr="00104F4B">
              <w:rPr>
                <w:rFonts w:cs="Arial"/>
                <w:color w:val="000000"/>
                <w:sz w:val="16"/>
                <w:szCs w:val="16"/>
                <w:lang w:eastAsia="es-CO"/>
              </w:rPr>
              <w:t>FACTIBILIDAD, ESTUDIOS Y DISEÑOS DE LA INTERSECCIÓN A DESNIVEL AUTOPISTA SUR (NQS) CON AVENIDA BOSA, EN LA CIUDAD DE BOGOTÁ D.C.</w:t>
            </w:r>
          </w:p>
        </w:tc>
      </w:tr>
      <w:tr w:rsidR="004524F6" w:rsidRPr="00104F4B" w:rsidTr="009A4DDD">
        <w:trPr>
          <w:trHeight w:val="248"/>
        </w:trPr>
        <w:tc>
          <w:tcPr>
            <w:tcW w:w="425" w:type="dxa"/>
            <w:vAlign w:val="center"/>
          </w:tcPr>
          <w:p w:rsidR="004524F6" w:rsidRPr="00104F4B" w:rsidRDefault="004524F6" w:rsidP="00FC0A3C">
            <w:pPr>
              <w:rPr>
                <w:rFonts w:cs="Arial"/>
                <w:b/>
                <w:color w:val="000000"/>
                <w:sz w:val="16"/>
                <w:szCs w:val="16"/>
                <w:lang w:eastAsia="es-CO"/>
              </w:rPr>
            </w:pPr>
            <w:r w:rsidRPr="00104F4B">
              <w:rPr>
                <w:rFonts w:cs="Arial"/>
                <w:b/>
                <w:color w:val="000000"/>
                <w:sz w:val="16"/>
                <w:szCs w:val="16"/>
                <w:lang w:eastAsia="es-CO"/>
              </w:rPr>
              <w:t>28</w:t>
            </w:r>
          </w:p>
        </w:tc>
        <w:tc>
          <w:tcPr>
            <w:tcW w:w="9214" w:type="dxa"/>
            <w:vAlign w:val="center"/>
          </w:tcPr>
          <w:p w:rsidR="004524F6" w:rsidRPr="00104F4B" w:rsidRDefault="004524F6" w:rsidP="00FC0A3C">
            <w:pPr>
              <w:spacing w:before="100" w:beforeAutospacing="1" w:afterAutospacing="1"/>
              <w:rPr>
                <w:rFonts w:cs="Arial"/>
                <w:color w:val="000000"/>
                <w:sz w:val="16"/>
                <w:szCs w:val="16"/>
                <w:lang w:eastAsia="es-CO"/>
              </w:rPr>
            </w:pPr>
            <w:r w:rsidRPr="00104F4B">
              <w:rPr>
                <w:rFonts w:cs="Arial"/>
                <w:color w:val="000000"/>
                <w:sz w:val="16"/>
                <w:szCs w:val="16"/>
                <w:lang w:eastAsia="es-CO"/>
              </w:rPr>
              <w:t>ESTUDIOS Y DISEÑOS DEL PUENTE PEATONAL UBICADO SOBRE LA AV. LAUREANO GÓMEZ (AK 9) POR CALLE 112 Y FACTIBILIDAD, ESTUDIOS Y DISEÑOS DEL CICLOPUENTE CANAL MOLINOS X AUTONORTE, EN LA CIUDAD DE BOGOTÁ, D.C.</w:t>
            </w:r>
          </w:p>
        </w:tc>
      </w:tr>
      <w:tr w:rsidR="004524F6" w:rsidRPr="00104F4B" w:rsidTr="009A4DDD">
        <w:trPr>
          <w:trHeight w:val="308"/>
        </w:trPr>
        <w:tc>
          <w:tcPr>
            <w:tcW w:w="425" w:type="dxa"/>
            <w:vAlign w:val="center"/>
          </w:tcPr>
          <w:p w:rsidR="004524F6" w:rsidRPr="00104F4B" w:rsidRDefault="004524F6" w:rsidP="00FC0A3C">
            <w:pPr>
              <w:rPr>
                <w:rFonts w:cs="Arial"/>
                <w:b/>
                <w:color w:val="000000"/>
                <w:sz w:val="16"/>
                <w:szCs w:val="16"/>
                <w:lang w:eastAsia="es-CO"/>
              </w:rPr>
            </w:pPr>
            <w:r w:rsidRPr="00104F4B">
              <w:rPr>
                <w:rFonts w:cs="Arial"/>
                <w:b/>
                <w:color w:val="000000"/>
                <w:sz w:val="16"/>
                <w:szCs w:val="16"/>
                <w:lang w:eastAsia="es-CO"/>
              </w:rPr>
              <w:t>29</w:t>
            </w:r>
          </w:p>
        </w:tc>
        <w:tc>
          <w:tcPr>
            <w:tcW w:w="9214" w:type="dxa"/>
            <w:vAlign w:val="center"/>
          </w:tcPr>
          <w:p w:rsidR="004524F6" w:rsidRPr="00104F4B" w:rsidRDefault="004524F6" w:rsidP="00FC0A3C">
            <w:pPr>
              <w:rPr>
                <w:rFonts w:cs="Arial"/>
                <w:color w:val="000000"/>
                <w:sz w:val="16"/>
                <w:szCs w:val="16"/>
                <w:lang w:eastAsia="es-CO"/>
              </w:rPr>
            </w:pPr>
            <w:r w:rsidRPr="00104F4B">
              <w:rPr>
                <w:rFonts w:cs="Arial"/>
                <w:color w:val="000000"/>
                <w:sz w:val="16"/>
                <w:szCs w:val="16"/>
                <w:lang w:eastAsia="es-CO"/>
              </w:rPr>
              <w:t>CONTRATO IDU 1520-2017: DESARROLLAR LA FACTIBILIDAD, Y LOS ESTUDIOS Y DISEÑOS PARA LA RECONSTRUCCION DE VIAS Y SU ESPACIO PUBLICO ASOCIADO PARA LAS ZONAS INDUSTRIALES DE MONTEVIDEO Y PUENTE ARANDA EN LA CIUDAD DE BOGOTA D.C.</w:t>
            </w:r>
          </w:p>
        </w:tc>
      </w:tr>
      <w:tr w:rsidR="004524F6" w:rsidRPr="00104F4B" w:rsidTr="009A4DDD">
        <w:trPr>
          <w:trHeight w:val="308"/>
        </w:trPr>
        <w:tc>
          <w:tcPr>
            <w:tcW w:w="425" w:type="dxa"/>
            <w:vAlign w:val="center"/>
          </w:tcPr>
          <w:p w:rsidR="004524F6" w:rsidRPr="00104F4B" w:rsidRDefault="004524F6" w:rsidP="00FC0A3C">
            <w:pPr>
              <w:rPr>
                <w:rFonts w:cs="Arial"/>
                <w:b/>
                <w:color w:val="000000"/>
                <w:sz w:val="16"/>
                <w:szCs w:val="16"/>
                <w:lang w:eastAsia="es-CO"/>
              </w:rPr>
            </w:pPr>
            <w:r w:rsidRPr="00104F4B">
              <w:rPr>
                <w:rFonts w:cs="Arial"/>
                <w:b/>
                <w:color w:val="000000"/>
                <w:sz w:val="16"/>
                <w:szCs w:val="16"/>
                <w:lang w:eastAsia="es-CO"/>
              </w:rPr>
              <w:t>30</w:t>
            </w:r>
          </w:p>
        </w:tc>
        <w:tc>
          <w:tcPr>
            <w:tcW w:w="9214" w:type="dxa"/>
            <w:vAlign w:val="center"/>
          </w:tcPr>
          <w:p w:rsidR="004524F6" w:rsidRPr="00104F4B" w:rsidRDefault="004524F6" w:rsidP="00FC0A3C">
            <w:pPr>
              <w:spacing w:before="100" w:beforeAutospacing="1" w:afterAutospacing="1"/>
              <w:rPr>
                <w:rFonts w:cs="Arial"/>
                <w:color w:val="000000"/>
                <w:sz w:val="16"/>
                <w:szCs w:val="16"/>
                <w:lang w:eastAsia="es-CO"/>
              </w:rPr>
            </w:pPr>
            <w:r w:rsidRPr="00104F4B">
              <w:rPr>
                <w:rFonts w:cs="Arial"/>
                <w:color w:val="000000"/>
                <w:sz w:val="16"/>
                <w:szCs w:val="16"/>
                <w:lang w:eastAsia="es-CO"/>
              </w:rPr>
              <w:t>ESTUDIOS, DISEÑO Y CONSTRUCCIÓN DEL PASO A NIVEL EN LA AVENIDA LUIS CARLOS GALÁN POR CARRERA 66 Y DE LOS ANDENES DE LA CARRERA 93 ENTRE LA CALLE 129B BIS Y LA CALLE 131, EN CUMPLIMIENTO DE LOS FALLOS EN SEGUNDA INSTANCIA DE LAS ACCIONES POPULARES 2007-00243 Y 2010-00148.</w:t>
            </w:r>
          </w:p>
        </w:tc>
      </w:tr>
      <w:tr w:rsidR="004524F6" w:rsidRPr="00104F4B" w:rsidTr="009A4DDD">
        <w:trPr>
          <w:trHeight w:val="308"/>
        </w:trPr>
        <w:tc>
          <w:tcPr>
            <w:tcW w:w="425" w:type="dxa"/>
            <w:vAlign w:val="center"/>
          </w:tcPr>
          <w:p w:rsidR="004524F6" w:rsidRPr="00104F4B" w:rsidRDefault="004524F6" w:rsidP="00FC0A3C">
            <w:pPr>
              <w:rPr>
                <w:rFonts w:cs="Arial"/>
                <w:b/>
                <w:color w:val="000000"/>
                <w:sz w:val="16"/>
                <w:szCs w:val="16"/>
                <w:lang w:eastAsia="es-CO"/>
              </w:rPr>
            </w:pPr>
            <w:r w:rsidRPr="00104F4B">
              <w:rPr>
                <w:rFonts w:cs="Arial"/>
                <w:b/>
                <w:color w:val="000000"/>
                <w:sz w:val="16"/>
                <w:szCs w:val="16"/>
                <w:lang w:eastAsia="es-CO"/>
              </w:rPr>
              <w:t>31</w:t>
            </w:r>
          </w:p>
        </w:tc>
        <w:tc>
          <w:tcPr>
            <w:tcW w:w="9214" w:type="dxa"/>
            <w:vAlign w:val="center"/>
          </w:tcPr>
          <w:p w:rsidR="004524F6" w:rsidRPr="00104F4B" w:rsidRDefault="004524F6" w:rsidP="00FC0A3C">
            <w:pPr>
              <w:spacing w:before="100" w:beforeAutospacing="1" w:afterAutospacing="1"/>
              <w:rPr>
                <w:rFonts w:cs="Arial"/>
                <w:color w:val="000000"/>
                <w:sz w:val="16"/>
                <w:szCs w:val="16"/>
                <w:lang w:eastAsia="es-CO"/>
              </w:rPr>
            </w:pPr>
            <w:r w:rsidRPr="00104F4B">
              <w:rPr>
                <w:rFonts w:cs="Arial"/>
                <w:color w:val="000000"/>
                <w:sz w:val="16"/>
                <w:szCs w:val="16"/>
                <w:lang w:eastAsia="es-CO"/>
              </w:rPr>
              <w:t>ACTUALIZACIÓN, AJUSTE Y COMPLEMENTACIÓN DE LOS ESTUDIOS DE FACTIBILIDAD Y ELABORACIÓN DE LOS ESTUDIOS Y DISEÑOS DE DETALLE PARA LA ADECUACIÓN DEL SISTEMA TRANSMILENIO DE LA EXTENSIÓN DE LA TRONCAL AMÉRICAS ENTRE PUENTE ARANDA A TRONCAL NQS Y DE LA CONEXIÓN OPERACIONAL DE LAS TRONCALES AMÉRICAS, CALLE 26 Y NQS, EN BOGOTÁ D.C.</w:t>
            </w:r>
          </w:p>
        </w:tc>
      </w:tr>
      <w:tr w:rsidR="004524F6" w:rsidRPr="00104F4B" w:rsidTr="009A4DDD">
        <w:trPr>
          <w:trHeight w:val="308"/>
        </w:trPr>
        <w:tc>
          <w:tcPr>
            <w:tcW w:w="425" w:type="dxa"/>
            <w:vAlign w:val="center"/>
          </w:tcPr>
          <w:p w:rsidR="004524F6" w:rsidRPr="00104F4B" w:rsidRDefault="004524F6" w:rsidP="00FC0A3C">
            <w:pPr>
              <w:rPr>
                <w:rFonts w:cs="Arial"/>
                <w:b/>
                <w:color w:val="000000"/>
                <w:sz w:val="16"/>
                <w:szCs w:val="16"/>
                <w:lang w:eastAsia="es-CO"/>
              </w:rPr>
            </w:pPr>
            <w:r w:rsidRPr="00104F4B">
              <w:rPr>
                <w:rFonts w:cs="Arial"/>
                <w:b/>
                <w:color w:val="000000"/>
                <w:sz w:val="16"/>
                <w:szCs w:val="16"/>
                <w:lang w:eastAsia="es-CO"/>
              </w:rPr>
              <w:t>32</w:t>
            </w:r>
          </w:p>
        </w:tc>
        <w:tc>
          <w:tcPr>
            <w:tcW w:w="9214" w:type="dxa"/>
            <w:vAlign w:val="center"/>
          </w:tcPr>
          <w:p w:rsidR="004524F6" w:rsidRPr="00104F4B" w:rsidRDefault="004524F6" w:rsidP="00FC0A3C">
            <w:pPr>
              <w:spacing w:before="100" w:beforeAutospacing="1" w:afterAutospacing="1"/>
              <w:rPr>
                <w:rFonts w:cs="Arial"/>
                <w:color w:val="000000"/>
                <w:sz w:val="16"/>
                <w:szCs w:val="16"/>
                <w:lang w:eastAsia="es-CO"/>
              </w:rPr>
            </w:pPr>
            <w:r w:rsidRPr="00104F4B">
              <w:rPr>
                <w:rFonts w:cs="Arial"/>
                <w:color w:val="000000"/>
                <w:sz w:val="16"/>
                <w:szCs w:val="16"/>
                <w:lang w:eastAsia="es-CO"/>
              </w:rPr>
              <w:t>AJUSTES Y/O ACTUALIZACIÓN Y/O COMPLEMENTACIÓN A LOS ESTUDIOS Y DISEÑOS O ESTUDIOS Y DISEÑOS Y CONSTRUCCIÓN DE LA CARRERA 7 ENTRE AV. HORTUA (AC 1) Y AV. LOS COMUNEROS (AC 6), QUE HACE PARTE DE PROYECTO PAR VIAL - CRA 6 Y CRA 7 DESDE AV DE LOS COMUNEROS HASTA AV DE LA HORTÚA (AC 1), ACUERDO 646 DE 2016, EN LA CIUDAD DE BOGOTÁ D.C.</w:t>
            </w:r>
          </w:p>
        </w:tc>
      </w:tr>
      <w:tr w:rsidR="004524F6" w:rsidRPr="00104F4B" w:rsidTr="009A4DDD">
        <w:trPr>
          <w:trHeight w:val="170"/>
        </w:trPr>
        <w:tc>
          <w:tcPr>
            <w:tcW w:w="425" w:type="dxa"/>
            <w:vAlign w:val="center"/>
          </w:tcPr>
          <w:p w:rsidR="004524F6" w:rsidRPr="00104F4B" w:rsidRDefault="004524F6" w:rsidP="00FC0A3C">
            <w:pPr>
              <w:rPr>
                <w:rFonts w:cs="Arial"/>
                <w:b/>
                <w:color w:val="000000"/>
                <w:sz w:val="16"/>
                <w:szCs w:val="16"/>
                <w:lang w:eastAsia="es-CO"/>
              </w:rPr>
            </w:pPr>
            <w:r w:rsidRPr="00104F4B">
              <w:rPr>
                <w:rFonts w:cs="Arial"/>
                <w:b/>
                <w:color w:val="000000"/>
                <w:sz w:val="16"/>
                <w:szCs w:val="16"/>
                <w:lang w:eastAsia="es-CO"/>
              </w:rPr>
              <w:t>33</w:t>
            </w:r>
          </w:p>
        </w:tc>
        <w:tc>
          <w:tcPr>
            <w:tcW w:w="9214" w:type="dxa"/>
            <w:vAlign w:val="center"/>
          </w:tcPr>
          <w:p w:rsidR="004524F6" w:rsidRPr="00104F4B" w:rsidRDefault="004524F6" w:rsidP="00FC0A3C">
            <w:pPr>
              <w:spacing w:before="100" w:beforeAutospacing="1" w:afterAutospacing="1"/>
              <w:rPr>
                <w:rFonts w:cs="Arial"/>
                <w:color w:val="000000"/>
                <w:sz w:val="16"/>
                <w:szCs w:val="16"/>
                <w:lang w:eastAsia="es-CO"/>
              </w:rPr>
            </w:pPr>
            <w:r w:rsidRPr="00104F4B">
              <w:rPr>
                <w:rFonts w:cs="Arial"/>
                <w:color w:val="000000"/>
                <w:sz w:val="16"/>
                <w:szCs w:val="16"/>
                <w:lang w:eastAsia="es-CO"/>
              </w:rPr>
              <w:t>FACTIBILIDAD, ESTUDIOS Y DISEÑOS PARA LA AVENIDA PRIMERO DE MAYO DESDE LA CARRERA 3 ESTE HASTA LA CALLE 11 SUR, EN BOGOTÁ D.C</w:t>
            </w:r>
          </w:p>
        </w:tc>
      </w:tr>
      <w:tr w:rsidR="004524F6" w:rsidRPr="00104F4B" w:rsidTr="009A4DDD">
        <w:trPr>
          <w:trHeight w:val="308"/>
        </w:trPr>
        <w:tc>
          <w:tcPr>
            <w:tcW w:w="425" w:type="dxa"/>
            <w:vAlign w:val="center"/>
          </w:tcPr>
          <w:p w:rsidR="004524F6" w:rsidRPr="00104F4B" w:rsidRDefault="004524F6" w:rsidP="00FC0A3C">
            <w:pPr>
              <w:rPr>
                <w:rFonts w:cs="Arial"/>
                <w:b/>
                <w:color w:val="000000"/>
                <w:sz w:val="16"/>
                <w:szCs w:val="16"/>
                <w:lang w:eastAsia="es-CO"/>
              </w:rPr>
            </w:pPr>
            <w:r w:rsidRPr="00104F4B">
              <w:rPr>
                <w:rFonts w:cs="Arial"/>
                <w:b/>
                <w:color w:val="000000"/>
                <w:sz w:val="16"/>
                <w:szCs w:val="16"/>
                <w:lang w:eastAsia="es-CO"/>
              </w:rPr>
              <w:t>34</w:t>
            </w:r>
          </w:p>
        </w:tc>
        <w:tc>
          <w:tcPr>
            <w:tcW w:w="9214" w:type="dxa"/>
            <w:vAlign w:val="center"/>
          </w:tcPr>
          <w:p w:rsidR="004524F6" w:rsidRPr="00104F4B" w:rsidRDefault="004524F6" w:rsidP="00FC0A3C">
            <w:pPr>
              <w:spacing w:before="100" w:beforeAutospacing="1" w:afterAutospacing="1"/>
              <w:rPr>
                <w:rFonts w:cs="Arial"/>
                <w:color w:val="000000"/>
                <w:sz w:val="16"/>
                <w:szCs w:val="16"/>
                <w:lang w:eastAsia="es-CO"/>
              </w:rPr>
            </w:pPr>
            <w:r w:rsidRPr="00104F4B">
              <w:rPr>
                <w:rFonts w:cs="Arial"/>
                <w:color w:val="000000"/>
                <w:sz w:val="16"/>
                <w:szCs w:val="16"/>
                <w:lang w:eastAsia="es-CO"/>
              </w:rPr>
              <w:t>“ESTUDIOS Y DISEÑOS DE DIAGNOSTICO ESTRUCTURAL Y ACTUALIZACION SISMICA DE PUENTES VEHICULARES, AV. CARRERA 28 POR AV. AVENIDA CIUDAD DE QUITO, AV. FRANCISCO DE MIRANDA (CALLE 45) POR AVENIDA CIUDAD DE QUITO, AVENIDA CIUDAD DE QUITO POR AVENIDA PASEO DE LOS LIBERTADORES (CONECTANTE TM), AVENIDA ALEJANDRO OBREGON (AV. CALLE 92) POR AVENIDA PASEO DE LOS LIBERTADORES (CURVO) Y AVENIDA RODRIGO LARA BONILLA (AV. CALLE 127) POR AVENIDA PASEO DE LOS LIBERTADORES. GRUPO B.  EN BOGOTA, D.C”</w:t>
            </w:r>
          </w:p>
        </w:tc>
      </w:tr>
      <w:tr w:rsidR="004524F6" w:rsidRPr="00104F4B" w:rsidTr="009A4DDD">
        <w:trPr>
          <w:trHeight w:val="248"/>
        </w:trPr>
        <w:tc>
          <w:tcPr>
            <w:tcW w:w="425" w:type="dxa"/>
            <w:vAlign w:val="center"/>
          </w:tcPr>
          <w:p w:rsidR="004524F6" w:rsidRPr="00104F4B" w:rsidRDefault="004524F6" w:rsidP="00FC0A3C">
            <w:pPr>
              <w:rPr>
                <w:rFonts w:cs="Arial"/>
                <w:b/>
                <w:color w:val="000000"/>
                <w:sz w:val="16"/>
                <w:szCs w:val="16"/>
                <w:lang w:eastAsia="es-CO"/>
              </w:rPr>
            </w:pPr>
            <w:r w:rsidRPr="00104F4B">
              <w:rPr>
                <w:rFonts w:cs="Arial"/>
                <w:b/>
                <w:color w:val="000000"/>
                <w:sz w:val="16"/>
                <w:szCs w:val="16"/>
                <w:lang w:eastAsia="es-CO"/>
              </w:rPr>
              <w:t>35</w:t>
            </w:r>
          </w:p>
        </w:tc>
        <w:tc>
          <w:tcPr>
            <w:tcW w:w="9214" w:type="dxa"/>
            <w:vAlign w:val="center"/>
          </w:tcPr>
          <w:p w:rsidR="004524F6" w:rsidRPr="00104F4B" w:rsidRDefault="004524F6" w:rsidP="00FC0A3C">
            <w:pPr>
              <w:spacing w:before="100" w:beforeAutospacing="1" w:afterAutospacing="1"/>
              <w:rPr>
                <w:rFonts w:cs="Arial"/>
                <w:color w:val="000000"/>
                <w:sz w:val="16"/>
                <w:szCs w:val="16"/>
                <w:lang w:eastAsia="es-CO"/>
              </w:rPr>
            </w:pPr>
            <w:r w:rsidRPr="00104F4B">
              <w:rPr>
                <w:rFonts w:cs="Arial"/>
                <w:color w:val="000000"/>
                <w:sz w:val="16"/>
                <w:szCs w:val="16"/>
                <w:lang w:eastAsia="es-CO"/>
              </w:rPr>
              <w:t>FACTIBILIDAD, ESTUDIOS Y DISEÑOS DE LA AMPLIACIÓN DE LA VÍA A LA CALERA Y OBRAS COMPLEMENTARIAS DESDE LA INTERSECCIÓN CON LA CARRERA 6 HASTA EL LÍMITE DEL DISTRITO, BOGOTÁ D.C</w:t>
            </w:r>
          </w:p>
        </w:tc>
      </w:tr>
      <w:tr w:rsidR="004524F6" w:rsidRPr="00104F4B" w:rsidTr="009A4DDD">
        <w:trPr>
          <w:trHeight w:val="245"/>
        </w:trPr>
        <w:tc>
          <w:tcPr>
            <w:tcW w:w="425" w:type="dxa"/>
            <w:vAlign w:val="center"/>
          </w:tcPr>
          <w:p w:rsidR="004524F6" w:rsidRPr="00104F4B" w:rsidRDefault="004524F6" w:rsidP="00FC0A3C">
            <w:pPr>
              <w:rPr>
                <w:rFonts w:cs="Arial"/>
                <w:b/>
                <w:color w:val="000000"/>
                <w:sz w:val="16"/>
                <w:szCs w:val="16"/>
                <w:lang w:eastAsia="es-CO"/>
              </w:rPr>
            </w:pPr>
            <w:r w:rsidRPr="00104F4B">
              <w:rPr>
                <w:rFonts w:cs="Arial"/>
                <w:b/>
                <w:color w:val="000000"/>
                <w:sz w:val="16"/>
                <w:szCs w:val="16"/>
                <w:lang w:eastAsia="es-CO"/>
              </w:rPr>
              <w:t>36</w:t>
            </w:r>
          </w:p>
        </w:tc>
        <w:tc>
          <w:tcPr>
            <w:tcW w:w="9214" w:type="dxa"/>
            <w:vAlign w:val="center"/>
          </w:tcPr>
          <w:p w:rsidR="004524F6" w:rsidRPr="00104F4B" w:rsidRDefault="004524F6" w:rsidP="00FC0A3C">
            <w:pPr>
              <w:spacing w:before="100" w:beforeAutospacing="1" w:afterAutospacing="1"/>
              <w:rPr>
                <w:rFonts w:cs="Arial"/>
                <w:color w:val="000000"/>
                <w:sz w:val="16"/>
                <w:szCs w:val="16"/>
                <w:lang w:eastAsia="es-CO"/>
              </w:rPr>
            </w:pPr>
            <w:r w:rsidRPr="00104F4B">
              <w:rPr>
                <w:rFonts w:cs="Arial"/>
                <w:color w:val="000000"/>
                <w:sz w:val="16"/>
                <w:szCs w:val="16"/>
                <w:lang w:eastAsia="es-CO"/>
              </w:rPr>
              <w:t>"FACTIBILIDAD, ESTUDIOS Y DISEÑOS PARA LA CONSTRUCCIÓN DE LOS PUNTOS INESTABLES DE LA VÍA BOGOTÁ - LA CALERA"</w:t>
            </w:r>
          </w:p>
        </w:tc>
      </w:tr>
      <w:tr w:rsidR="004524F6" w:rsidRPr="00104F4B" w:rsidTr="009A4DDD">
        <w:trPr>
          <w:trHeight w:val="308"/>
        </w:trPr>
        <w:tc>
          <w:tcPr>
            <w:tcW w:w="425" w:type="dxa"/>
            <w:vAlign w:val="center"/>
          </w:tcPr>
          <w:p w:rsidR="004524F6" w:rsidRPr="00104F4B" w:rsidRDefault="004524F6" w:rsidP="00FC0A3C">
            <w:pPr>
              <w:rPr>
                <w:rFonts w:cs="Arial"/>
                <w:b/>
                <w:color w:val="000000"/>
                <w:sz w:val="16"/>
                <w:szCs w:val="16"/>
                <w:lang w:eastAsia="es-CO"/>
              </w:rPr>
            </w:pPr>
            <w:r w:rsidRPr="00104F4B">
              <w:rPr>
                <w:rFonts w:cs="Arial"/>
                <w:b/>
                <w:color w:val="000000"/>
                <w:sz w:val="16"/>
                <w:szCs w:val="16"/>
                <w:lang w:eastAsia="es-CO"/>
              </w:rPr>
              <w:t>37</w:t>
            </w:r>
          </w:p>
        </w:tc>
        <w:tc>
          <w:tcPr>
            <w:tcW w:w="9214" w:type="dxa"/>
            <w:vAlign w:val="center"/>
          </w:tcPr>
          <w:p w:rsidR="004524F6" w:rsidRPr="00104F4B" w:rsidRDefault="004524F6" w:rsidP="00FC0A3C">
            <w:pPr>
              <w:spacing w:before="100" w:beforeAutospacing="1" w:afterAutospacing="1"/>
              <w:rPr>
                <w:rFonts w:cs="Arial"/>
                <w:color w:val="000000"/>
                <w:sz w:val="16"/>
                <w:szCs w:val="16"/>
                <w:lang w:eastAsia="es-CO"/>
              </w:rPr>
            </w:pPr>
            <w:r w:rsidRPr="00104F4B">
              <w:rPr>
                <w:rFonts w:cs="Arial"/>
                <w:color w:val="000000"/>
                <w:sz w:val="16"/>
                <w:szCs w:val="16"/>
                <w:lang w:eastAsia="es-CO"/>
              </w:rPr>
              <w:t>FACTIBILIDAD, ESTUDIOS Y DISEÑOS DE LA AVENIDA CIRCUNVALAR DE ORIENTE DES LA AVENIDA VILLAVICENCIO (Bomberos “Y”) HASTA LA AVENIDA LOS COMUNEROS (Calle 6) EN BOGOTA D.C.</w:t>
            </w:r>
          </w:p>
        </w:tc>
      </w:tr>
      <w:tr w:rsidR="004524F6" w:rsidRPr="00104F4B" w:rsidTr="009A4DDD">
        <w:trPr>
          <w:trHeight w:val="308"/>
        </w:trPr>
        <w:tc>
          <w:tcPr>
            <w:tcW w:w="425" w:type="dxa"/>
            <w:vAlign w:val="center"/>
          </w:tcPr>
          <w:p w:rsidR="004524F6" w:rsidRPr="00104F4B" w:rsidRDefault="004524F6" w:rsidP="00FC0A3C">
            <w:pPr>
              <w:rPr>
                <w:rFonts w:cs="Arial"/>
                <w:b/>
                <w:color w:val="000000"/>
                <w:sz w:val="16"/>
                <w:szCs w:val="16"/>
                <w:lang w:eastAsia="es-CO"/>
              </w:rPr>
            </w:pPr>
            <w:r w:rsidRPr="00104F4B">
              <w:rPr>
                <w:rFonts w:cs="Arial"/>
                <w:b/>
                <w:color w:val="000000"/>
                <w:sz w:val="16"/>
                <w:szCs w:val="16"/>
                <w:lang w:eastAsia="es-CO"/>
              </w:rPr>
              <w:lastRenderedPageBreak/>
              <w:t>38</w:t>
            </w:r>
          </w:p>
        </w:tc>
        <w:tc>
          <w:tcPr>
            <w:tcW w:w="9214" w:type="dxa"/>
            <w:vAlign w:val="center"/>
          </w:tcPr>
          <w:p w:rsidR="004524F6" w:rsidRPr="00104F4B" w:rsidRDefault="004524F6" w:rsidP="00FC0A3C">
            <w:pPr>
              <w:spacing w:before="100" w:beforeAutospacing="1" w:afterAutospacing="1"/>
              <w:rPr>
                <w:rFonts w:cs="Arial"/>
                <w:color w:val="000000"/>
                <w:sz w:val="16"/>
                <w:szCs w:val="16"/>
                <w:lang w:eastAsia="es-CO"/>
              </w:rPr>
            </w:pPr>
            <w:r w:rsidRPr="00104F4B">
              <w:rPr>
                <w:rFonts w:cs="Arial"/>
                <w:color w:val="000000"/>
                <w:sz w:val="16"/>
                <w:szCs w:val="16"/>
                <w:lang w:eastAsia="es-CO"/>
              </w:rPr>
              <w:t>FACTIBILIDAD, ESTUDIOS Y DISEÑOS EN CUMPLIMIENTO DE LA ACCIÓN POPULAR 2013-0039 PARA LA INTERVENCIÓN DE LA MALLA VIAL Y DEL ESPACIO PUBLICO ASOCIADO A LA VÍA QUE SE ENCUENTRA ENTRE LA CALLE 44 SUR CON CARRERA 3C ESTE Y CALLE 46 D SUR CON CARRERA 4 ESTE EN BOGOTÁ D.C.</w:t>
            </w:r>
          </w:p>
        </w:tc>
      </w:tr>
    </w:tbl>
    <w:p w:rsidR="004524F6" w:rsidRPr="00104F4B" w:rsidRDefault="004524F6" w:rsidP="004524F6">
      <w:pPr>
        <w:contextualSpacing/>
        <w:rPr>
          <w:rFonts w:cs="Arial"/>
          <w:b/>
          <w:smallCaps/>
          <w:sz w:val="16"/>
          <w:szCs w:val="16"/>
        </w:rPr>
      </w:pPr>
    </w:p>
    <w:p w:rsidR="004524F6" w:rsidRPr="00104F4B" w:rsidRDefault="004524F6" w:rsidP="004524F6">
      <w:pPr>
        <w:contextualSpacing/>
        <w:rPr>
          <w:rFonts w:cs="Arial"/>
          <w:b/>
          <w:bCs/>
          <w:color w:val="000000"/>
          <w:sz w:val="16"/>
          <w:szCs w:val="16"/>
          <w:lang w:eastAsia="es-CO"/>
        </w:rPr>
      </w:pPr>
      <w:r w:rsidRPr="00104F4B">
        <w:rPr>
          <w:rFonts w:cs="Arial"/>
          <w:b/>
          <w:bCs/>
          <w:color w:val="000000"/>
          <w:sz w:val="16"/>
          <w:szCs w:val="16"/>
          <w:lang w:eastAsia="es-CO"/>
        </w:rPr>
        <w:t>DTP - CONVENIOS</w:t>
      </w:r>
    </w:p>
    <w:tbl>
      <w:tblPr>
        <w:tblStyle w:val="Tablaconcuadrcula"/>
        <w:tblW w:w="9639" w:type="dxa"/>
        <w:tblInd w:w="137" w:type="dxa"/>
        <w:tblLayout w:type="fixed"/>
        <w:tblLook w:val="04A0" w:firstRow="1" w:lastRow="0" w:firstColumn="1" w:lastColumn="0" w:noHBand="0" w:noVBand="1"/>
      </w:tblPr>
      <w:tblGrid>
        <w:gridCol w:w="567"/>
        <w:gridCol w:w="9072"/>
      </w:tblGrid>
      <w:tr w:rsidR="004524F6" w:rsidRPr="00104F4B" w:rsidTr="00FC0A3C">
        <w:trPr>
          <w:trHeight w:val="258"/>
        </w:trPr>
        <w:tc>
          <w:tcPr>
            <w:tcW w:w="567" w:type="dxa"/>
            <w:vAlign w:val="center"/>
          </w:tcPr>
          <w:p w:rsidR="004524F6" w:rsidRPr="00104F4B" w:rsidRDefault="004524F6" w:rsidP="00FC0A3C">
            <w:pPr>
              <w:rPr>
                <w:rFonts w:cs="Arial"/>
                <w:color w:val="000000"/>
                <w:sz w:val="16"/>
                <w:szCs w:val="16"/>
                <w:lang w:eastAsia="es-CO"/>
              </w:rPr>
            </w:pPr>
            <w:r w:rsidRPr="00104F4B">
              <w:rPr>
                <w:rFonts w:cs="Arial"/>
                <w:color w:val="000000"/>
                <w:sz w:val="16"/>
                <w:szCs w:val="16"/>
                <w:lang w:eastAsia="es-CO"/>
              </w:rPr>
              <w:t>39</w:t>
            </w:r>
          </w:p>
          <w:p w:rsidR="004524F6" w:rsidRPr="00104F4B" w:rsidRDefault="004524F6" w:rsidP="00FC0A3C">
            <w:pPr>
              <w:rPr>
                <w:rFonts w:cs="Arial"/>
                <w:color w:val="000000"/>
                <w:sz w:val="16"/>
                <w:szCs w:val="16"/>
                <w:lang w:eastAsia="es-CO"/>
              </w:rPr>
            </w:pPr>
          </w:p>
        </w:tc>
        <w:tc>
          <w:tcPr>
            <w:tcW w:w="9072" w:type="dxa"/>
            <w:vAlign w:val="center"/>
          </w:tcPr>
          <w:p w:rsidR="004524F6" w:rsidRPr="00104F4B" w:rsidRDefault="004524F6" w:rsidP="00FC0A3C">
            <w:pPr>
              <w:spacing w:before="100" w:beforeAutospacing="1" w:afterAutospacing="1"/>
              <w:rPr>
                <w:rFonts w:cs="Arial"/>
                <w:color w:val="000000"/>
                <w:sz w:val="16"/>
                <w:szCs w:val="16"/>
                <w:lang w:eastAsia="es-CO"/>
              </w:rPr>
            </w:pPr>
            <w:r w:rsidRPr="00104F4B">
              <w:rPr>
                <w:rFonts w:cs="Arial"/>
                <w:color w:val="000000"/>
                <w:sz w:val="16"/>
                <w:szCs w:val="16"/>
                <w:lang w:eastAsia="es-CO"/>
              </w:rPr>
              <w:t>EL PROMOTOR EN CUMPLIMIENTO DE LAS OBLIGACIONES URBANÍSTICAS DE CARGA EN GENERAL CONTENIDAS EN LA RESOLUCIÓN 1836 DE 2016, SE COMPROMETE A: REALIZAR ESTUDIOS, DISEÑOS Y LA EJECUCIÓN DE LAS OBRAS DE INFRAESTRUCTURA VIAL Y ESPACIO PÚBLICO, ACORDADAS Y CONTENIDAS EN EL PLAN DE IMPLEMENTACIÓN DEL CENTRO COMERCIAL Y EMPRESARIAL PLAZO CLARO, A TÍTULO DE ACCIONES DE MITIGACIÓN, CON EL ACOMPAÑAMIENTO DEL IDU.</w:t>
            </w:r>
          </w:p>
        </w:tc>
      </w:tr>
      <w:tr w:rsidR="004524F6" w:rsidRPr="00104F4B" w:rsidTr="00FC0A3C">
        <w:trPr>
          <w:trHeight w:val="258"/>
        </w:trPr>
        <w:tc>
          <w:tcPr>
            <w:tcW w:w="567" w:type="dxa"/>
            <w:vAlign w:val="center"/>
          </w:tcPr>
          <w:p w:rsidR="004524F6" w:rsidRPr="00104F4B" w:rsidRDefault="004524F6" w:rsidP="00FC0A3C">
            <w:pPr>
              <w:rPr>
                <w:rFonts w:cs="Arial"/>
                <w:color w:val="000000"/>
                <w:sz w:val="16"/>
                <w:szCs w:val="16"/>
                <w:lang w:eastAsia="es-CO"/>
              </w:rPr>
            </w:pPr>
            <w:r w:rsidRPr="00104F4B">
              <w:rPr>
                <w:rFonts w:cs="Arial"/>
                <w:color w:val="000000"/>
                <w:sz w:val="16"/>
                <w:szCs w:val="16"/>
                <w:lang w:eastAsia="es-CO"/>
              </w:rPr>
              <w:t>40</w:t>
            </w:r>
          </w:p>
        </w:tc>
        <w:tc>
          <w:tcPr>
            <w:tcW w:w="9072" w:type="dxa"/>
            <w:vAlign w:val="center"/>
          </w:tcPr>
          <w:p w:rsidR="004524F6" w:rsidRPr="00104F4B" w:rsidRDefault="004524F6" w:rsidP="00FC0A3C">
            <w:pPr>
              <w:spacing w:before="100" w:beforeAutospacing="1" w:afterAutospacing="1"/>
              <w:rPr>
                <w:rFonts w:cs="Arial"/>
                <w:color w:val="000000"/>
                <w:sz w:val="16"/>
                <w:szCs w:val="16"/>
                <w:lang w:eastAsia="es-CO"/>
              </w:rPr>
            </w:pPr>
            <w:r w:rsidRPr="00104F4B">
              <w:rPr>
                <w:rFonts w:cs="Arial"/>
                <w:color w:val="000000"/>
                <w:sz w:val="16"/>
                <w:szCs w:val="16"/>
                <w:lang w:eastAsia="es-CO"/>
              </w:rPr>
              <w:t>COOPERACION PARA LA INTERVENCION DE LA INFRAESTRUCTURA VIAL Y ESPACIO PUBLICO A CARGO DE TERCEROS-PLAN DE IMPLANTACION DEL CENTRO COMERCIAL GRAN PLAZA EL ENSUEÑO EN BOGOTA D.C.</w:t>
            </w:r>
          </w:p>
        </w:tc>
      </w:tr>
      <w:tr w:rsidR="004524F6" w:rsidRPr="00104F4B" w:rsidTr="00FC0A3C">
        <w:trPr>
          <w:trHeight w:val="258"/>
        </w:trPr>
        <w:tc>
          <w:tcPr>
            <w:tcW w:w="567" w:type="dxa"/>
            <w:vAlign w:val="center"/>
          </w:tcPr>
          <w:p w:rsidR="004524F6" w:rsidRPr="00104F4B" w:rsidRDefault="004524F6" w:rsidP="00FC0A3C">
            <w:pPr>
              <w:rPr>
                <w:rFonts w:cs="Arial"/>
                <w:color w:val="000000"/>
                <w:sz w:val="16"/>
                <w:szCs w:val="16"/>
                <w:lang w:eastAsia="es-CO"/>
              </w:rPr>
            </w:pPr>
            <w:r w:rsidRPr="00104F4B">
              <w:rPr>
                <w:rFonts w:cs="Arial"/>
                <w:color w:val="000000"/>
                <w:sz w:val="16"/>
                <w:szCs w:val="16"/>
                <w:lang w:eastAsia="es-CO"/>
              </w:rPr>
              <w:t>41</w:t>
            </w:r>
          </w:p>
        </w:tc>
        <w:tc>
          <w:tcPr>
            <w:tcW w:w="9072" w:type="dxa"/>
            <w:vAlign w:val="center"/>
          </w:tcPr>
          <w:p w:rsidR="004524F6" w:rsidRPr="00104F4B" w:rsidRDefault="004524F6" w:rsidP="00FC0A3C">
            <w:pPr>
              <w:rPr>
                <w:rFonts w:cs="Arial"/>
                <w:color w:val="000000"/>
                <w:sz w:val="16"/>
                <w:szCs w:val="16"/>
                <w:lang w:eastAsia="es-CO"/>
              </w:rPr>
            </w:pPr>
            <w:r w:rsidRPr="00104F4B">
              <w:rPr>
                <w:rFonts w:cs="Arial"/>
                <w:color w:val="000000"/>
                <w:sz w:val="16"/>
                <w:szCs w:val="16"/>
                <w:lang w:eastAsia="es-CO"/>
              </w:rPr>
              <w:t>EL PROMOTOR EN CUMPLIMIENTO DE LAS OBLIGACIONES URBANÍSTICAS DE CARGA GENERAL CONTENIDAS EN EL DECRETO 147 DE 2008 Y EL DECRETO 386 DE 2015, SE COMPROMETE A REALIZAR LOS ESTUDIOS, DISEÑOS, LA EJECUCIÓN DE LAS OBRAS DE INFRAESTRUCTURA VIAL Y ESPACIO PÚBLICO PARA LAS ETAPAS 1 Y 2 DEL PLAN PARCIAL LA FELICIDAD DEFINIDAS EN EL PLANO ANEXO N°1 (MODIFICACIÓN PLAN PARCIAL LA FELICIDAD) Y LAS ACCIONES DE MITIGACIÓN A QUE SE REFIERE EL ACTA DE COMPROMISOS SDM-DSVCT-154869-14 DEL 18 DE NOVIEMBRE DE 2014 EXPEDIDA POR LA SECRETARÍA DISTRITAL DE MOVILIDAD, ASÍ COMO LA ENTREGA MATERIAL DE DICHAS OBRAS AL IDU, LO ANTERIOR CON EL ACOMPAÑAMIENTO PERMANENTE DEL INSTITUTO.</w:t>
            </w:r>
          </w:p>
        </w:tc>
      </w:tr>
      <w:tr w:rsidR="004524F6" w:rsidRPr="00104F4B" w:rsidTr="00FC0A3C">
        <w:trPr>
          <w:trHeight w:val="258"/>
        </w:trPr>
        <w:tc>
          <w:tcPr>
            <w:tcW w:w="567" w:type="dxa"/>
            <w:vAlign w:val="center"/>
          </w:tcPr>
          <w:p w:rsidR="004524F6" w:rsidRPr="00104F4B" w:rsidRDefault="004524F6" w:rsidP="00FC0A3C">
            <w:pPr>
              <w:rPr>
                <w:rFonts w:cs="Arial"/>
                <w:color w:val="000000"/>
                <w:sz w:val="16"/>
                <w:szCs w:val="16"/>
                <w:lang w:eastAsia="es-CO"/>
              </w:rPr>
            </w:pPr>
            <w:r w:rsidRPr="00104F4B">
              <w:rPr>
                <w:rFonts w:cs="Arial"/>
                <w:color w:val="000000"/>
                <w:sz w:val="16"/>
                <w:szCs w:val="16"/>
                <w:lang w:eastAsia="es-CO"/>
              </w:rPr>
              <w:t>42</w:t>
            </w:r>
          </w:p>
        </w:tc>
        <w:tc>
          <w:tcPr>
            <w:tcW w:w="9072" w:type="dxa"/>
            <w:vAlign w:val="center"/>
          </w:tcPr>
          <w:p w:rsidR="004524F6" w:rsidRPr="00104F4B" w:rsidRDefault="004524F6" w:rsidP="00FC0A3C">
            <w:pPr>
              <w:rPr>
                <w:rFonts w:cs="Arial"/>
                <w:color w:val="000000"/>
                <w:sz w:val="16"/>
                <w:szCs w:val="16"/>
                <w:lang w:eastAsia="es-CO"/>
              </w:rPr>
            </w:pPr>
            <w:r w:rsidRPr="00104F4B">
              <w:rPr>
                <w:rFonts w:cs="Arial"/>
                <w:color w:val="000000"/>
                <w:sz w:val="16"/>
                <w:szCs w:val="16"/>
                <w:lang w:eastAsia="es-CO"/>
              </w:rPr>
              <w:t>EL PROMOTOR SE COMPROMETE A REALIZAR LOS ESTUDIOS, DISEÑOS, GESTIÓN, CESIÓN PREDIAL Y CONSTRUCCIÓN DE UN PUENTE PEATONAL SOBRE LA AVENIDA DE LOS CERROS CON TRANSVERSAL 1 E, SEGÚN LO DISPUESTO EN EL PLAN DE REGULARIZACIÓN Y MANEJO DEL COLEGIO NUEVA GRANADA, UBICADO EN LA CARRERA 2 ESTE NO. 70 - 20 DE BOGOTÁ, D.C., A TÍTULO DE ACCIÓN DE MITIGACIÓN URBANÍSTICA.</w:t>
            </w:r>
          </w:p>
        </w:tc>
      </w:tr>
      <w:tr w:rsidR="004524F6" w:rsidRPr="00104F4B" w:rsidTr="00FC0A3C">
        <w:trPr>
          <w:trHeight w:val="258"/>
        </w:trPr>
        <w:tc>
          <w:tcPr>
            <w:tcW w:w="567" w:type="dxa"/>
            <w:vAlign w:val="center"/>
          </w:tcPr>
          <w:p w:rsidR="004524F6" w:rsidRPr="00104F4B" w:rsidRDefault="004524F6" w:rsidP="00FC0A3C">
            <w:pPr>
              <w:rPr>
                <w:rFonts w:cs="Arial"/>
                <w:color w:val="000000"/>
                <w:sz w:val="16"/>
                <w:szCs w:val="16"/>
                <w:lang w:eastAsia="es-CO"/>
              </w:rPr>
            </w:pPr>
            <w:r w:rsidRPr="00104F4B">
              <w:rPr>
                <w:rFonts w:cs="Arial"/>
                <w:color w:val="000000"/>
                <w:sz w:val="16"/>
                <w:szCs w:val="16"/>
                <w:lang w:eastAsia="es-CO"/>
              </w:rPr>
              <w:t>43</w:t>
            </w:r>
          </w:p>
        </w:tc>
        <w:tc>
          <w:tcPr>
            <w:tcW w:w="9072" w:type="dxa"/>
            <w:vAlign w:val="center"/>
          </w:tcPr>
          <w:p w:rsidR="004524F6" w:rsidRPr="00104F4B" w:rsidRDefault="004524F6" w:rsidP="00FC0A3C">
            <w:pPr>
              <w:rPr>
                <w:rFonts w:cs="Arial"/>
                <w:color w:val="000000"/>
                <w:sz w:val="16"/>
                <w:szCs w:val="16"/>
                <w:lang w:eastAsia="es-CO"/>
              </w:rPr>
            </w:pPr>
            <w:r w:rsidRPr="00104F4B">
              <w:rPr>
                <w:rFonts w:cs="Arial"/>
                <w:color w:val="000000"/>
                <w:sz w:val="16"/>
                <w:szCs w:val="16"/>
                <w:lang w:eastAsia="es-CO"/>
              </w:rPr>
              <w:t>REALIZAR LOS ESTUDIOS, DISEÑOS, ADQUISICION PREDIAL Y LA EJECUCION DE LAS OBRAS DE INFRAESTRUCTURA VIAL Y ESPACIO PÚBLICO, ACORDADAS Y CONTENIDAS EN EL PLAN DE REGULARIZACIÓN Y MANEJO DE LA CLÍNICA NUESTRA SEÑORA DE LA PAZ, A TITULO DE ACCIONES DE MITIGACIÓN, CON EL ACOMPAÑAMIENTO DEL IDU.</w:t>
            </w:r>
          </w:p>
        </w:tc>
      </w:tr>
    </w:tbl>
    <w:p w:rsidR="004524F6" w:rsidRPr="00104F4B" w:rsidRDefault="004524F6" w:rsidP="004524F6">
      <w:pPr>
        <w:contextualSpacing/>
        <w:rPr>
          <w:rFonts w:cs="Arial"/>
          <w:smallCaps/>
          <w:sz w:val="16"/>
          <w:szCs w:val="16"/>
          <w:u w:val="single"/>
        </w:rPr>
      </w:pPr>
    </w:p>
    <w:p w:rsidR="00857FDC" w:rsidRPr="00104F4B" w:rsidRDefault="00857FDC" w:rsidP="00857FDC">
      <w:pPr>
        <w:spacing w:before="0" w:after="120"/>
        <w:contextualSpacing/>
        <w:mirrorIndents/>
        <w:outlineLvl w:val="0"/>
        <w:rPr>
          <w:rFonts w:cs="Arial"/>
          <w:smallCaps/>
          <w:sz w:val="16"/>
          <w:szCs w:val="16"/>
          <w:u w:val="single"/>
        </w:rPr>
      </w:pPr>
    </w:p>
    <w:p w:rsidR="004524F6" w:rsidRPr="00104F4B" w:rsidRDefault="004524F6" w:rsidP="00857FDC">
      <w:pPr>
        <w:pStyle w:val="Contenidodelatabla"/>
        <w:rPr>
          <w:rFonts w:ascii="Arial" w:hAnsi="Arial" w:cs="Arial"/>
          <w:b/>
          <w:sz w:val="22"/>
          <w:szCs w:val="22"/>
        </w:rPr>
      </w:pPr>
      <w:r w:rsidRPr="00104F4B">
        <w:rPr>
          <w:rFonts w:ascii="Arial" w:hAnsi="Arial" w:cs="Arial"/>
          <w:b/>
          <w:sz w:val="22"/>
          <w:szCs w:val="22"/>
        </w:rPr>
        <w:t>Ocho (8) contratos suspendidos:</w:t>
      </w:r>
    </w:p>
    <w:p w:rsidR="004524F6" w:rsidRPr="00104F4B" w:rsidRDefault="004524F6" w:rsidP="004524F6">
      <w:pPr>
        <w:contextualSpacing/>
        <w:rPr>
          <w:rFonts w:cs="Arial"/>
          <w:b/>
          <w:bCs/>
          <w:color w:val="000000"/>
          <w:sz w:val="16"/>
          <w:szCs w:val="16"/>
          <w:lang w:eastAsia="es-CO"/>
        </w:rPr>
      </w:pPr>
      <w:r w:rsidRPr="00104F4B">
        <w:rPr>
          <w:rFonts w:cs="Arial"/>
          <w:b/>
          <w:bCs/>
          <w:color w:val="000000"/>
          <w:sz w:val="16"/>
          <w:szCs w:val="16"/>
          <w:lang w:eastAsia="es-CO"/>
        </w:rPr>
        <w:t>DTP - REGALIAS</w:t>
      </w:r>
    </w:p>
    <w:tbl>
      <w:tblPr>
        <w:tblStyle w:val="Tablaconcuadrcula"/>
        <w:tblW w:w="9639" w:type="dxa"/>
        <w:tblInd w:w="137" w:type="dxa"/>
        <w:tblLayout w:type="fixed"/>
        <w:tblLook w:val="04A0" w:firstRow="1" w:lastRow="0" w:firstColumn="1" w:lastColumn="0" w:noHBand="0" w:noVBand="1"/>
      </w:tblPr>
      <w:tblGrid>
        <w:gridCol w:w="567"/>
        <w:gridCol w:w="9072"/>
      </w:tblGrid>
      <w:tr w:rsidR="004524F6" w:rsidRPr="00104F4B" w:rsidTr="00FC0A3C">
        <w:trPr>
          <w:trHeight w:val="258"/>
        </w:trPr>
        <w:tc>
          <w:tcPr>
            <w:tcW w:w="567" w:type="dxa"/>
            <w:vAlign w:val="center"/>
          </w:tcPr>
          <w:p w:rsidR="004524F6" w:rsidRPr="00104F4B" w:rsidRDefault="004524F6" w:rsidP="00FC0A3C">
            <w:pPr>
              <w:rPr>
                <w:rFonts w:cs="Arial"/>
                <w:color w:val="000000"/>
                <w:sz w:val="16"/>
                <w:szCs w:val="16"/>
                <w:lang w:eastAsia="es-CO"/>
              </w:rPr>
            </w:pPr>
            <w:r w:rsidRPr="00104F4B">
              <w:rPr>
                <w:rFonts w:cs="Arial"/>
                <w:color w:val="000000"/>
                <w:sz w:val="16"/>
                <w:szCs w:val="16"/>
                <w:lang w:eastAsia="es-CO"/>
              </w:rPr>
              <w:t>1</w:t>
            </w:r>
          </w:p>
          <w:p w:rsidR="004524F6" w:rsidRPr="00104F4B" w:rsidRDefault="004524F6" w:rsidP="00FC0A3C">
            <w:pPr>
              <w:rPr>
                <w:rFonts w:cs="Arial"/>
                <w:color w:val="000000"/>
                <w:sz w:val="16"/>
                <w:szCs w:val="16"/>
                <w:lang w:eastAsia="es-CO"/>
              </w:rPr>
            </w:pPr>
          </w:p>
        </w:tc>
        <w:tc>
          <w:tcPr>
            <w:tcW w:w="9072" w:type="dxa"/>
            <w:vAlign w:val="center"/>
          </w:tcPr>
          <w:p w:rsidR="004524F6" w:rsidRPr="00104F4B" w:rsidRDefault="004524F6" w:rsidP="00FC0A3C">
            <w:pPr>
              <w:spacing w:before="100" w:beforeAutospacing="1" w:afterAutospacing="1"/>
              <w:rPr>
                <w:rFonts w:cs="Arial"/>
                <w:color w:val="000000"/>
                <w:sz w:val="16"/>
                <w:szCs w:val="16"/>
                <w:lang w:eastAsia="es-CO"/>
              </w:rPr>
            </w:pPr>
            <w:r w:rsidRPr="00104F4B">
              <w:rPr>
                <w:rFonts w:cs="Arial"/>
                <w:sz w:val="16"/>
                <w:szCs w:val="16"/>
              </w:rPr>
              <w:t>ESTUDIOS Y DISEÑOS PARA LA AVENIDA BOYACÁ DESDE LA CALLE 183 A CONECTARSE CON LA TRONCAL DEL PEAJE Y CONEXIÓN AUTONORTE POR AVENIDA GUAYMARAL, BOGOTÁ́ D.C. - CUNDINAMARCA</w:t>
            </w:r>
          </w:p>
        </w:tc>
      </w:tr>
    </w:tbl>
    <w:p w:rsidR="004524F6" w:rsidRPr="00104F4B" w:rsidRDefault="004524F6" w:rsidP="004524F6">
      <w:pPr>
        <w:contextualSpacing/>
        <w:rPr>
          <w:rFonts w:cs="Arial"/>
          <w:b/>
          <w:bCs/>
          <w:color w:val="000000"/>
          <w:sz w:val="16"/>
          <w:szCs w:val="16"/>
          <w:lang w:eastAsia="es-CO"/>
        </w:rPr>
      </w:pPr>
    </w:p>
    <w:p w:rsidR="004524F6" w:rsidRPr="00104F4B" w:rsidRDefault="004524F6" w:rsidP="004524F6">
      <w:pPr>
        <w:contextualSpacing/>
        <w:rPr>
          <w:rFonts w:cs="Arial"/>
          <w:b/>
          <w:bCs/>
          <w:color w:val="000000"/>
          <w:sz w:val="16"/>
          <w:szCs w:val="16"/>
          <w:lang w:eastAsia="es-CO"/>
        </w:rPr>
      </w:pPr>
      <w:r w:rsidRPr="00104F4B">
        <w:rPr>
          <w:rFonts w:cs="Arial"/>
          <w:b/>
          <w:bCs/>
          <w:color w:val="000000"/>
          <w:sz w:val="16"/>
          <w:szCs w:val="16"/>
          <w:lang w:eastAsia="es-CO"/>
        </w:rPr>
        <w:t>DTP – IDU – ESPACIO PÚBLICO</w:t>
      </w:r>
    </w:p>
    <w:tbl>
      <w:tblPr>
        <w:tblStyle w:val="Tablaconcuadrcula"/>
        <w:tblW w:w="9639" w:type="dxa"/>
        <w:tblInd w:w="137" w:type="dxa"/>
        <w:tblLayout w:type="fixed"/>
        <w:tblLook w:val="04A0" w:firstRow="1" w:lastRow="0" w:firstColumn="1" w:lastColumn="0" w:noHBand="0" w:noVBand="1"/>
      </w:tblPr>
      <w:tblGrid>
        <w:gridCol w:w="567"/>
        <w:gridCol w:w="9072"/>
      </w:tblGrid>
      <w:tr w:rsidR="004524F6" w:rsidRPr="00104F4B" w:rsidTr="00FC0A3C">
        <w:trPr>
          <w:trHeight w:val="258"/>
        </w:trPr>
        <w:tc>
          <w:tcPr>
            <w:tcW w:w="567" w:type="dxa"/>
            <w:vAlign w:val="center"/>
          </w:tcPr>
          <w:p w:rsidR="004524F6" w:rsidRPr="00104F4B" w:rsidRDefault="004524F6" w:rsidP="00FC0A3C">
            <w:pPr>
              <w:rPr>
                <w:rFonts w:cs="Arial"/>
                <w:color w:val="000000"/>
                <w:sz w:val="16"/>
                <w:szCs w:val="16"/>
                <w:lang w:eastAsia="es-CO"/>
              </w:rPr>
            </w:pPr>
            <w:r w:rsidRPr="00104F4B">
              <w:rPr>
                <w:rFonts w:cs="Arial"/>
                <w:color w:val="000000"/>
                <w:sz w:val="16"/>
                <w:szCs w:val="16"/>
                <w:lang w:eastAsia="es-CO"/>
              </w:rPr>
              <w:t>2</w:t>
            </w:r>
          </w:p>
          <w:p w:rsidR="004524F6" w:rsidRPr="00104F4B" w:rsidRDefault="004524F6" w:rsidP="00FC0A3C">
            <w:pPr>
              <w:rPr>
                <w:rFonts w:cs="Arial"/>
                <w:color w:val="000000"/>
                <w:sz w:val="16"/>
                <w:szCs w:val="16"/>
                <w:lang w:eastAsia="es-CO"/>
              </w:rPr>
            </w:pPr>
          </w:p>
        </w:tc>
        <w:tc>
          <w:tcPr>
            <w:tcW w:w="9072" w:type="dxa"/>
            <w:vAlign w:val="center"/>
          </w:tcPr>
          <w:p w:rsidR="004524F6" w:rsidRPr="00104F4B" w:rsidRDefault="004524F6" w:rsidP="00FC0A3C">
            <w:pPr>
              <w:spacing w:before="100" w:beforeAutospacing="1" w:afterAutospacing="1"/>
              <w:rPr>
                <w:rFonts w:cs="Arial"/>
                <w:color w:val="000000"/>
                <w:sz w:val="16"/>
                <w:szCs w:val="16"/>
                <w:lang w:eastAsia="es-CO"/>
              </w:rPr>
            </w:pPr>
            <w:r w:rsidRPr="00104F4B">
              <w:rPr>
                <w:rFonts w:cs="Arial"/>
                <w:sz w:val="16"/>
                <w:szCs w:val="16"/>
              </w:rPr>
              <w:t>ESTUDIOS Y DISEÑOS PARA EL ESPACIO PÚBLICO DE LOS CENTROS FUNDACIONALES GRUPO 1 ENGATIVÁ Y GRUPO 2 USAQUÉN EN LA CIUDAD DE BOGOTÁ D.C.</w:t>
            </w:r>
          </w:p>
        </w:tc>
      </w:tr>
    </w:tbl>
    <w:p w:rsidR="004524F6" w:rsidRPr="00104F4B" w:rsidRDefault="004524F6" w:rsidP="004524F6">
      <w:pPr>
        <w:contextualSpacing/>
        <w:rPr>
          <w:rFonts w:cs="Arial"/>
          <w:b/>
          <w:bCs/>
          <w:color w:val="000000"/>
          <w:sz w:val="16"/>
          <w:szCs w:val="16"/>
          <w:lang w:eastAsia="es-CO"/>
        </w:rPr>
      </w:pPr>
    </w:p>
    <w:p w:rsidR="004524F6" w:rsidRPr="00104F4B" w:rsidRDefault="004524F6" w:rsidP="004524F6">
      <w:pPr>
        <w:contextualSpacing/>
        <w:rPr>
          <w:rFonts w:cs="Arial"/>
          <w:b/>
          <w:bCs/>
          <w:color w:val="000000"/>
          <w:sz w:val="16"/>
          <w:szCs w:val="16"/>
          <w:lang w:eastAsia="es-CO"/>
        </w:rPr>
      </w:pPr>
      <w:r w:rsidRPr="00104F4B">
        <w:rPr>
          <w:rFonts w:cs="Arial"/>
          <w:b/>
          <w:bCs/>
          <w:color w:val="000000"/>
          <w:sz w:val="16"/>
          <w:szCs w:val="16"/>
          <w:lang w:eastAsia="es-CO"/>
        </w:rPr>
        <w:t>DTP – IDU – VIAS Y PUENTES</w:t>
      </w:r>
    </w:p>
    <w:tbl>
      <w:tblPr>
        <w:tblStyle w:val="Tablaconcuadrcula"/>
        <w:tblW w:w="9639" w:type="dxa"/>
        <w:tblInd w:w="137" w:type="dxa"/>
        <w:tblLayout w:type="fixed"/>
        <w:tblLook w:val="04A0" w:firstRow="1" w:lastRow="0" w:firstColumn="1" w:lastColumn="0" w:noHBand="0" w:noVBand="1"/>
      </w:tblPr>
      <w:tblGrid>
        <w:gridCol w:w="567"/>
        <w:gridCol w:w="9072"/>
      </w:tblGrid>
      <w:tr w:rsidR="004524F6" w:rsidRPr="00104F4B" w:rsidTr="00FC0A3C">
        <w:trPr>
          <w:trHeight w:val="258"/>
        </w:trPr>
        <w:tc>
          <w:tcPr>
            <w:tcW w:w="567" w:type="dxa"/>
            <w:vAlign w:val="center"/>
          </w:tcPr>
          <w:p w:rsidR="004524F6" w:rsidRPr="00104F4B" w:rsidRDefault="004524F6" w:rsidP="00FC0A3C">
            <w:pPr>
              <w:rPr>
                <w:rFonts w:cs="Arial"/>
                <w:color w:val="000000"/>
                <w:sz w:val="16"/>
                <w:szCs w:val="16"/>
                <w:lang w:eastAsia="es-CO"/>
              </w:rPr>
            </w:pPr>
            <w:r w:rsidRPr="00104F4B">
              <w:rPr>
                <w:rFonts w:cs="Arial"/>
                <w:color w:val="000000"/>
                <w:sz w:val="16"/>
                <w:szCs w:val="16"/>
                <w:lang w:eastAsia="es-CO"/>
              </w:rPr>
              <w:t>3</w:t>
            </w:r>
          </w:p>
        </w:tc>
        <w:tc>
          <w:tcPr>
            <w:tcW w:w="9072" w:type="dxa"/>
          </w:tcPr>
          <w:p w:rsidR="004524F6" w:rsidRPr="00104F4B" w:rsidRDefault="004524F6" w:rsidP="00FC0A3C">
            <w:pPr>
              <w:rPr>
                <w:rFonts w:cs="Arial"/>
                <w:sz w:val="16"/>
                <w:szCs w:val="16"/>
              </w:rPr>
            </w:pPr>
            <w:r w:rsidRPr="00104F4B">
              <w:rPr>
                <w:rFonts w:cs="Arial"/>
                <w:color w:val="000000"/>
                <w:sz w:val="16"/>
                <w:szCs w:val="16"/>
              </w:rPr>
              <w:t>ACTUALIZACIÓN, AJUSTES Y COMPLEMENTACIÓN DE DISEÑOS Y CONSTRUCCIÓN DE LAS OBRAS DE REFORZAMIENTO ESTRUCTURAL DE CINCO (5) PUENTES PEATONALES ATIRANTADOS UBICADOS EN LA CIUDAD DE BOGOTÁ D.C</w:t>
            </w:r>
            <w:r w:rsidRPr="00104F4B">
              <w:rPr>
                <w:rFonts w:cs="Arial"/>
                <w:sz w:val="16"/>
                <w:szCs w:val="16"/>
              </w:rPr>
              <w:t>.</w:t>
            </w:r>
          </w:p>
        </w:tc>
      </w:tr>
      <w:tr w:rsidR="004524F6" w:rsidRPr="00104F4B" w:rsidTr="00FC0A3C">
        <w:trPr>
          <w:trHeight w:val="258"/>
        </w:trPr>
        <w:tc>
          <w:tcPr>
            <w:tcW w:w="567" w:type="dxa"/>
            <w:vAlign w:val="center"/>
          </w:tcPr>
          <w:p w:rsidR="004524F6" w:rsidRPr="00104F4B" w:rsidRDefault="004524F6" w:rsidP="00FC0A3C">
            <w:pPr>
              <w:rPr>
                <w:rFonts w:cs="Arial"/>
                <w:color w:val="000000"/>
                <w:sz w:val="16"/>
                <w:szCs w:val="16"/>
                <w:lang w:eastAsia="es-CO"/>
              </w:rPr>
            </w:pPr>
            <w:r w:rsidRPr="00104F4B">
              <w:rPr>
                <w:rFonts w:cs="Arial"/>
                <w:color w:val="000000"/>
                <w:sz w:val="16"/>
                <w:szCs w:val="16"/>
                <w:lang w:eastAsia="es-CO"/>
              </w:rPr>
              <w:t>4</w:t>
            </w:r>
          </w:p>
        </w:tc>
        <w:tc>
          <w:tcPr>
            <w:tcW w:w="9072" w:type="dxa"/>
          </w:tcPr>
          <w:p w:rsidR="004524F6" w:rsidRPr="00104F4B" w:rsidRDefault="004524F6" w:rsidP="00FC0A3C">
            <w:pPr>
              <w:rPr>
                <w:rFonts w:cs="Arial"/>
                <w:sz w:val="16"/>
                <w:szCs w:val="16"/>
              </w:rPr>
            </w:pPr>
            <w:r w:rsidRPr="00104F4B">
              <w:rPr>
                <w:rFonts w:cs="Arial"/>
                <w:sz w:val="16"/>
                <w:szCs w:val="16"/>
              </w:rPr>
              <w:t>DESARROLLAR LA FACTIBILIDAD Y LOS ESTUDIOS Y DISEÑOS DE LA INFRAESTRUCTURA VIAL Y EL ESPACIO PUBLICO ASOCIADO PARA: TRAMO 1 DE LA AVENIDA CONTADOR (AC 134) ENTRE AUTOPISTA NORTE Y CARRERA 7ª. TRAMO 2 DE LA AVENIDA SANTA BARBARA (AK 19) ENTRE CALLE 127 Y CALLE 134. TRAMO 3 DE LA AVENIDA JORGE URIBE BOTERO (AK 15) ENTRE CALLE 134 Y CALLE 170. TRAMO 4 ACTUALIZACION Y/O COMPLEMENTACION DE LOS ESTUDIOS Y DISEÑOS DE LA CALZADA NORTE DE LA AVENIDA LA SIRENA (CALLE 153) ENTRE LA AUTOPISTA NORTE Y LA AVENIDA BOYACÁ EN LA CIUDAD DE BOGOTA D.C.</w:t>
            </w:r>
          </w:p>
        </w:tc>
      </w:tr>
      <w:tr w:rsidR="004524F6" w:rsidRPr="00104F4B" w:rsidTr="00FC0A3C">
        <w:trPr>
          <w:trHeight w:val="258"/>
        </w:trPr>
        <w:tc>
          <w:tcPr>
            <w:tcW w:w="567" w:type="dxa"/>
            <w:vAlign w:val="center"/>
          </w:tcPr>
          <w:p w:rsidR="004524F6" w:rsidRPr="00104F4B" w:rsidRDefault="004524F6" w:rsidP="00FC0A3C">
            <w:pPr>
              <w:rPr>
                <w:rFonts w:cs="Arial"/>
                <w:color w:val="000000"/>
                <w:sz w:val="16"/>
                <w:szCs w:val="16"/>
                <w:lang w:eastAsia="es-CO"/>
              </w:rPr>
            </w:pPr>
            <w:r w:rsidRPr="00104F4B">
              <w:rPr>
                <w:rFonts w:cs="Arial"/>
                <w:color w:val="000000"/>
                <w:sz w:val="16"/>
                <w:szCs w:val="16"/>
                <w:lang w:eastAsia="es-CO"/>
              </w:rPr>
              <w:t>5</w:t>
            </w:r>
          </w:p>
        </w:tc>
        <w:tc>
          <w:tcPr>
            <w:tcW w:w="9072" w:type="dxa"/>
          </w:tcPr>
          <w:p w:rsidR="004524F6" w:rsidRPr="00104F4B" w:rsidRDefault="004524F6" w:rsidP="00FC0A3C">
            <w:pPr>
              <w:rPr>
                <w:rFonts w:cs="Arial"/>
                <w:sz w:val="16"/>
                <w:szCs w:val="16"/>
              </w:rPr>
            </w:pPr>
            <w:r w:rsidRPr="00104F4B">
              <w:rPr>
                <w:rFonts w:cs="Arial"/>
                <w:sz w:val="16"/>
                <w:szCs w:val="16"/>
              </w:rPr>
              <w:t>ACTUALIZACIÓN, AJUSTES Y COMPLEMENTACIÓN DE DISEÑOS Y CONSTRUCCIÓN DEL PUENTE PEATONAL LOCALIZADO EN LA AVENIDA RODRIGO LARA BONILLA (AC 127) POR CARRERA 51 EN LA CIUDAD DE BOGOTA. GRUPO A.</w:t>
            </w:r>
          </w:p>
        </w:tc>
      </w:tr>
      <w:tr w:rsidR="004524F6" w:rsidRPr="00104F4B" w:rsidTr="00FC0A3C">
        <w:trPr>
          <w:trHeight w:val="258"/>
        </w:trPr>
        <w:tc>
          <w:tcPr>
            <w:tcW w:w="567" w:type="dxa"/>
            <w:vAlign w:val="center"/>
          </w:tcPr>
          <w:p w:rsidR="004524F6" w:rsidRPr="00104F4B" w:rsidRDefault="004524F6" w:rsidP="00FC0A3C">
            <w:pPr>
              <w:rPr>
                <w:rFonts w:cs="Arial"/>
                <w:color w:val="000000"/>
                <w:sz w:val="16"/>
                <w:szCs w:val="16"/>
                <w:lang w:eastAsia="es-CO"/>
              </w:rPr>
            </w:pPr>
            <w:r w:rsidRPr="00104F4B">
              <w:rPr>
                <w:rFonts w:cs="Arial"/>
                <w:color w:val="000000"/>
                <w:sz w:val="16"/>
                <w:szCs w:val="16"/>
                <w:lang w:eastAsia="es-CO"/>
              </w:rPr>
              <w:t>6</w:t>
            </w:r>
          </w:p>
        </w:tc>
        <w:tc>
          <w:tcPr>
            <w:tcW w:w="9072" w:type="dxa"/>
          </w:tcPr>
          <w:p w:rsidR="004524F6" w:rsidRPr="00104F4B" w:rsidRDefault="004524F6" w:rsidP="00FC0A3C">
            <w:pPr>
              <w:rPr>
                <w:rFonts w:cs="Arial"/>
                <w:sz w:val="16"/>
                <w:szCs w:val="16"/>
              </w:rPr>
            </w:pPr>
            <w:r w:rsidRPr="00104F4B">
              <w:rPr>
                <w:rFonts w:cs="Arial"/>
                <w:sz w:val="16"/>
                <w:szCs w:val="16"/>
              </w:rPr>
              <w:t>ACTUALIZACION DE ESTUDIOS Y DISEÑOS DE DIAGNOSTICO ESTRUCTURAL Y ACTUALIZACION SISMICA DE PUENTES VEHICULARES, Y EJECUCION DE OBRAS DE ACTUALIZACION SISMICA Y REFORZAMIENTO ESTRUCTURAL DE PUENTES VEHICULARES GRUPO B, EN BOGOTA D.C.</w:t>
            </w:r>
          </w:p>
        </w:tc>
      </w:tr>
      <w:tr w:rsidR="004524F6" w:rsidRPr="00104F4B" w:rsidTr="00FC0A3C">
        <w:trPr>
          <w:trHeight w:val="258"/>
        </w:trPr>
        <w:tc>
          <w:tcPr>
            <w:tcW w:w="567" w:type="dxa"/>
            <w:vAlign w:val="center"/>
          </w:tcPr>
          <w:p w:rsidR="004524F6" w:rsidRPr="00104F4B" w:rsidRDefault="004524F6" w:rsidP="00FC0A3C">
            <w:pPr>
              <w:rPr>
                <w:rFonts w:cs="Arial"/>
                <w:color w:val="000000"/>
                <w:sz w:val="16"/>
                <w:szCs w:val="16"/>
                <w:lang w:eastAsia="es-CO"/>
              </w:rPr>
            </w:pPr>
            <w:r w:rsidRPr="00104F4B">
              <w:rPr>
                <w:rFonts w:cs="Arial"/>
                <w:color w:val="000000"/>
                <w:sz w:val="16"/>
                <w:szCs w:val="16"/>
                <w:lang w:eastAsia="es-CO"/>
              </w:rPr>
              <w:t>7</w:t>
            </w:r>
          </w:p>
        </w:tc>
        <w:tc>
          <w:tcPr>
            <w:tcW w:w="9072" w:type="dxa"/>
            <w:vAlign w:val="center"/>
          </w:tcPr>
          <w:p w:rsidR="004524F6" w:rsidRPr="00104F4B" w:rsidRDefault="004524F6" w:rsidP="00FC0A3C">
            <w:pPr>
              <w:rPr>
                <w:rFonts w:cs="Arial"/>
                <w:sz w:val="16"/>
                <w:szCs w:val="16"/>
              </w:rPr>
            </w:pPr>
            <w:r w:rsidRPr="00104F4B">
              <w:rPr>
                <w:rFonts w:cs="Arial"/>
                <w:sz w:val="16"/>
                <w:szCs w:val="16"/>
              </w:rPr>
              <w:t>ACTUALIZACIÓN, COMPLEMENTACIÓN O AJUSTES DE ESTUDIOS Y DISEÑOS PARA LA AMPLIACIÓN DEL PUENTE VEHICULAR UBICADO SOBRE LA CALLE 153 POR AUTONORTE EN LA CIUDAD DE BOGOTÁ, D.C.</w:t>
            </w:r>
          </w:p>
        </w:tc>
      </w:tr>
      <w:tr w:rsidR="004524F6" w:rsidRPr="00104F4B" w:rsidTr="00FC0A3C">
        <w:trPr>
          <w:trHeight w:val="258"/>
        </w:trPr>
        <w:tc>
          <w:tcPr>
            <w:tcW w:w="567" w:type="dxa"/>
            <w:vAlign w:val="center"/>
          </w:tcPr>
          <w:p w:rsidR="004524F6" w:rsidRPr="00104F4B" w:rsidRDefault="004524F6" w:rsidP="00FC0A3C">
            <w:pPr>
              <w:rPr>
                <w:rFonts w:cs="Arial"/>
                <w:color w:val="000000"/>
                <w:sz w:val="16"/>
                <w:szCs w:val="16"/>
                <w:lang w:eastAsia="es-CO"/>
              </w:rPr>
            </w:pPr>
            <w:r w:rsidRPr="00104F4B">
              <w:rPr>
                <w:rFonts w:cs="Arial"/>
                <w:color w:val="000000"/>
                <w:sz w:val="16"/>
                <w:szCs w:val="16"/>
                <w:lang w:eastAsia="es-CO"/>
              </w:rPr>
              <w:lastRenderedPageBreak/>
              <w:t>8</w:t>
            </w:r>
          </w:p>
        </w:tc>
        <w:tc>
          <w:tcPr>
            <w:tcW w:w="9072" w:type="dxa"/>
            <w:vAlign w:val="center"/>
          </w:tcPr>
          <w:p w:rsidR="004524F6" w:rsidRPr="00104F4B" w:rsidRDefault="004524F6" w:rsidP="00FC0A3C">
            <w:pPr>
              <w:rPr>
                <w:rFonts w:cs="Arial"/>
                <w:sz w:val="16"/>
                <w:szCs w:val="16"/>
              </w:rPr>
            </w:pPr>
            <w:r w:rsidRPr="00104F4B">
              <w:rPr>
                <w:rFonts w:cs="Arial"/>
                <w:sz w:val="16"/>
                <w:szCs w:val="16"/>
              </w:rPr>
              <w:t>AJUSTES Y/O ACTUALIZACIÓN Y/O COMPLEMENTACIÓN A LOS ESTUDIOS Y DISEÑOS Y CONSTRUCCIÓN DE LA AVENIDA LAUREANO GOMEZ (AK 9) DESDE AV. SAN JOSE (AC 170) HASTA LA CALLE 193, ACUERDO 646 DE 2016 EN LA CIUDAD DE BOGOTÁ D.C.</w:t>
            </w:r>
          </w:p>
        </w:tc>
      </w:tr>
    </w:tbl>
    <w:p w:rsidR="004524F6" w:rsidRPr="00104F4B" w:rsidRDefault="004524F6" w:rsidP="004524F6">
      <w:pPr>
        <w:pStyle w:val="Text1"/>
        <w:keepLines w:val="0"/>
        <w:spacing w:line="240" w:lineRule="exact"/>
        <w:contextualSpacing/>
        <w:rPr>
          <w:rFonts w:cs="Arial"/>
          <w:b/>
          <w:smallCaps/>
          <w:sz w:val="16"/>
          <w:szCs w:val="16"/>
        </w:rPr>
      </w:pPr>
    </w:p>
    <w:p w:rsidR="004524F6" w:rsidRPr="00104F4B" w:rsidRDefault="004524F6" w:rsidP="004524F6">
      <w:pPr>
        <w:pStyle w:val="Contenidodelatabla"/>
        <w:rPr>
          <w:rFonts w:ascii="Arial" w:hAnsi="Arial" w:cs="Arial"/>
          <w:b/>
          <w:sz w:val="22"/>
          <w:szCs w:val="22"/>
        </w:rPr>
      </w:pPr>
      <w:r w:rsidRPr="00104F4B">
        <w:rPr>
          <w:rFonts w:ascii="Arial" w:hAnsi="Arial" w:cs="Arial"/>
          <w:b/>
          <w:sz w:val="22"/>
          <w:szCs w:val="22"/>
        </w:rPr>
        <w:t>Estructuración procesos de contratación 2018</w:t>
      </w:r>
    </w:p>
    <w:p w:rsidR="009A4DDD" w:rsidRPr="00104F4B" w:rsidRDefault="009A4DDD" w:rsidP="00857FDC">
      <w:pPr>
        <w:pStyle w:val="Contenidodelatabla"/>
        <w:rPr>
          <w:rFonts w:ascii="Arial" w:hAnsi="Arial" w:cs="Arial"/>
          <w:b/>
          <w:sz w:val="22"/>
          <w:szCs w:val="22"/>
        </w:rPr>
      </w:pPr>
    </w:p>
    <w:p w:rsidR="004524F6" w:rsidRPr="00104F4B" w:rsidRDefault="009A4DDD" w:rsidP="00857FDC">
      <w:pPr>
        <w:pStyle w:val="Contenidodelatabla"/>
        <w:rPr>
          <w:rFonts w:ascii="Arial" w:hAnsi="Arial" w:cs="Arial"/>
          <w:b/>
          <w:sz w:val="22"/>
          <w:szCs w:val="22"/>
        </w:rPr>
      </w:pPr>
      <w:r w:rsidRPr="00104F4B">
        <w:rPr>
          <w:rFonts w:ascii="Arial" w:hAnsi="Arial" w:cs="Arial"/>
          <w:b/>
          <w:sz w:val="22"/>
          <w:szCs w:val="22"/>
        </w:rPr>
        <w:t>E</w:t>
      </w:r>
      <w:r w:rsidR="004524F6" w:rsidRPr="00104F4B">
        <w:rPr>
          <w:rFonts w:ascii="Arial" w:hAnsi="Arial" w:cs="Arial"/>
          <w:b/>
          <w:sz w:val="22"/>
          <w:szCs w:val="22"/>
        </w:rPr>
        <w:t>structuración de treinta y nueve (39) procesos de contratación 2018</w:t>
      </w:r>
    </w:p>
    <w:p w:rsidR="004524F6" w:rsidRPr="00104F4B" w:rsidRDefault="004524F6" w:rsidP="004524F6">
      <w:pPr>
        <w:shd w:val="clear" w:color="auto" w:fill="FFFFFF"/>
        <w:rPr>
          <w:rFonts w:cs="Arial"/>
          <w:b/>
          <w:color w:val="222222"/>
          <w:sz w:val="16"/>
          <w:szCs w:val="16"/>
          <w:shd w:val="clear" w:color="auto" w:fill="FFFFFF"/>
        </w:rPr>
      </w:pPr>
      <w:r w:rsidRPr="00104F4B">
        <w:rPr>
          <w:rFonts w:cs="Arial"/>
          <w:b/>
          <w:color w:val="222222"/>
          <w:sz w:val="16"/>
          <w:szCs w:val="16"/>
          <w:shd w:val="clear" w:color="auto" w:fill="FFFFFF"/>
        </w:rPr>
        <w:t>SGDU – ESTRUCTURACION PROCESOS DE CONTRATACION DTP</w:t>
      </w:r>
    </w:p>
    <w:tbl>
      <w:tblPr>
        <w:tblW w:w="5207" w:type="pct"/>
        <w:tblInd w:w="-289" w:type="dxa"/>
        <w:tblLayout w:type="fixed"/>
        <w:tblCellMar>
          <w:left w:w="70" w:type="dxa"/>
          <w:right w:w="70" w:type="dxa"/>
        </w:tblCellMar>
        <w:tblLook w:val="04A0" w:firstRow="1" w:lastRow="0" w:firstColumn="1" w:lastColumn="0" w:noHBand="0" w:noVBand="1"/>
      </w:tblPr>
      <w:tblGrid>
        <w:gridCol w:w="440"/>
        <w:gridCol w:w="9641"/>
      </w:tblGrid>
      <w:tr w:rsidR="004524F6" w:rsidRPr="00104F4B" w:rsidTr="00FC0A3C">
        <w:trPr>
          <w:trHeight w:val="419"/>
        </w:trPr>
        <w:tc>
          <w:tcPr>
            <w:tcW w:w="218" w:type="pct"/>
            <w:tcBorders>
              <w:top w:val="single" w:sz="4" w:space="0" w:color="auto"/>
              <w:left w:val="single" w:sz="4" w:space="0" w:color="auto"/>
              <w:bottom w:val="single" w:sz="4" w:space="0" w:color="auto"/>
              <w:right w:val="single" w:sz="4" w:space="0" w:color="auto"/>
            </w:tcBorders>
          </w:tcPr>
          <w:p w:rsidR="004524F6" w:rsidRPr="00104F4B" w:rsidRDefault="004524F6" w:rsidP="00FC0A3C">
            <w:pPr>
              <w:rPr>
                <w:rFonts w:cs="Arial"/>
                <w:b/>
                <w:color w:val="000000"/>
                <w:sz w:val="16"/>
                <w:szCs w:val="16"/>
                <w:lang w:eastAsia="es-CO"/>
              </w:rPr>
            </w:pPr>
            <w:r w:rsidRPr="00104F4B">
              <w:rPr>
                <w:rFonts w:cs="Arial"/>
                <w:b/>
                <w:color w:val="000000"/>
                <w:sz w:val="16"/>
                <w:szCs w:val="16"/>
                <w:lang w:eastAsia="es-CO"/>
              </w:rPr>
              <w:t>1</w:t>
            </w:r>
          </w:p>
        </w:tc>
        <w:tc>
          <w:tcPr>
            <w:tcW w:w="478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524F6" w:rsidRPr="00104F4B" w:rsidRDefault="004524F6" w:rsidP="00FC0A3C">
            <w:pPr>
              <w:rPr>
                <w:rFonts w:cs="Arial"/>
                <w:color w:val="000000"/>
                <w:sz w:val="16"/>
                <w:szCs w:val="16"/>
                <w:lang w:eastAsia="es-CO"/>
              </w:rPr>
            </w:pPr>
            <w:r w:rsidRPr="00104F4B">
              <w:rPr>
                <w:rFonts w:cs="Arial"/>
                <w:color w:val="000000"/>
                <w:sz w:val="16"/>
                <w:szCs w:val="16"/>
                <w:lang w:eastAsia="es-CO"/>
              </w:rPr>
              <w:t>Estudios, diseños y construcción de las obras complementarias para el mejoramiento de la capacidad de estaciones del sistema Transmilenio, en Bogotá D.C. grupo 1 y estudios, diseños y construcción de las obras complementarias para el mejoramiento de la capacidad de estaciones del sistema Transmilenio, en Bogotá D.C. grupo 2.</w:t>
            </w:r>
          </w:p>
        </w:tc>
      </w:tr>
      <w:tr w:rsidR="004524F6" w:rsidRPr="00104F4B" w:rsidTr="00FC0A3C">
        <w:trPr>
          <w:trHeight w:val="195"/>
        </w:trPr>
        <w:tc>
          <w:tcPr>
            <w:tcW w:w="218" w:type="pct"/>
            <w:tcBorders>
              <w:top w:val="single" w:sz="4" w:space="0" w:color="auto"/>
              <w:left w:val="single" w:sz="4" w:space="0" w:color="auto"/>
              <w:bottom w:val="single" w:sz="4" w:space="0" w:color="auto"/>
              <w:right w:val="single" w:sz="4" w:space="0" w:color="auto"/>
            </w:tcBorders>
          </w:tcPr>
          <w:p w:rsidR="004524F6" w:rsidRPr="00104F4B" w:rsidRDefault="004524F6" w:rsidP="00FC0A3C">
            <w:pPr>
              <w:rPr>
                <w:rFonts w:cs="Arial"/>
                <w:b/>
                <w:color w:val="000000"/>
                <w:sz w:val="16"/>
                <w:szCs w:val="16"/>
                <w:lang w:eastAsia="es-CO"/>
              </w:rPr>
            </w:pPr>
            <w:r w:rsidRPr="00104F4B">
              <w:rPr>
                <w:rFonts w:cs="Arial"/>
                <w:b/>
                <w:color w:val="000000"/>
                <w:sz w:val="16"/>
                <w:szCs w:val="16"/>
                <w:lang w:eastAsia="es-CO"/>
              </w:rPr>
              <w:t>2</w:t>
            </w:r>
          </w:p>
        </w:tc>
        <w:tc>
          <w:tcPr>
            <w:tcW w:w="478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524F6" w:rsidRPr="00104F4B" w:rsidRDefault="004524F6" w:rsidP="00FC0A3C">
            <w:pPr>
              <w:rPr>
                <w:rFonts w:cs="Arial"/>
                <w:color w:val="000000"/>
                <w:sz w:val="16"/>
                <w:szCs w:val="16"/>
                <w:lang w:eastAsia="es-CO"/>
              </w:rPr>
            </w:pPr>
            <w:r w:rsidRPr="00104F4B">
              <w:rPr>
                <w:rFonts w:cs="Arial"/>
                <w:color w:val="000000"/>
                <w:sz w:val="16"/>
                <w:szCs w:val="16"/>
                <w:lang w:eastAsia="es-CO"/>
              </w:rPr>
              <w:t>Factibilidad y estudios y diseños de la troncal avenida Jorge Gaitán cortés entre calle 8 sur y avenida Villavicencio, Bogotá D.C”</w:t>
            </w:r>
          </w:p>
        </w:tc>
      </w:tr>
      <w:tr w:rsidR="004524F6" w:rsidRPr="00104F4B" w:rsidTr="00FC0A3C">
        <w:trPr>
          <w:trHeight w:val="250"/>
        </w:trPr>
        <w:tc>
          <w:tcPr>
            <w:tcW w:w="218" w:type="pct"/>
            <w:tcBorders>
              <w:top w:val="single" w:sz="4" w:space="0" w:color="auto"/>
              <w:left w:val="single" w:sz="4" w:space="0" w:color="auto"/>
              <w:bottom w:val="single" w:sz="4" w:space="0" w:color="auto"/>
              <w:right w:val="single" w:sz="4" w:space="0" w:color="auto"/>
            </w:tcBorders>
          </w:tcPr>
          <w:p w:rsidR="004524F6" w:rsidRPr="00104F4B" w:rsidRDefault="004524F6" w:rsidP="00FC0A3C">
            <w:pPr>
              <w:rPr>
                <w:rFonts w:cs="Arial"/>
                <w:b/>
                <w:color w:val="000000"/>
                <w:sz w:val="16"/>
                <w:szCs w:val="16"/>
                <w:lang w:eastAsia="es-CO"/>
              </w:rPr>
            </w:pPr>
            <w:r w:rsidRPr="00104F4B">
              <w:rPr>
                <w:rFonts w:cs="Arial"/>
                <w:b/>
                <w:color w:val="000000"/>
                <w:sz w:val="16"/>
                <w:szCs w:val="16"/>
                <w:lang w:eastAsia="es-CO"/>
              </w:rPr>
              <w:t>3</w:t>
            </w:r>
          </w:p>
        </w:tc>
        <w:tc>
          <w:tcPr>
            <w:tcW w:w="478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524F6" w:rsidRPr="00104F4B" w:rsidRDefault="004524F6" w:rsidP="00FC0A3C">
            <w:pPr>
              <w:rPr>
                <w:rFonts w:cs="Arial"/>
                <w:color w:val="000000"/>
                <w:sz w:val="16"/>
                <w:szCs w:val="16"/>
                <w:lang w:eastAsia="es-CO"/>
              </w:rPr>
            </w:pPr>
            <w:r w:rsidRPr="00104F4B">
              <w:rPr>
                <w:rFonts w:cs="Arial"/>
                <w:color w:val="000000"/>
                <w:sz w:val="16"/>
                <w:szCs w:val="16"/>
                <w:lang w:eastAsia="es-CO"/>
              </w:rPr>
              <w:t>Factibilidad, estudios y diseños de la avenida circunvalar de oriente desde la avenida Villavicencio hasta la avenida los comuneros en Bogotá, D.C.</w:t>
            </w:r>
          </w:p>
        </w:tc>
      </w:tr>
      <w:tr w:rsidR="004524F6" w:rsidRPr="00104F4B" w:rsidTr="00FC0A3C">
        <w:trPr>
          <w:trHeight w:val="175"/>
        </w:trPr>
        <w:tc>
          <w:tcPr>
            <w:tcW w:w="218" w:type="pct"/>
            <w:tcBorders>
              <w:top w:val="single" w:sz="4" w:space="0" w:color="auto"/>
              <w:left w:val="single" w:sz="4" w:space="0" w:color="auto"/>
              <w:bottom w:val="single" w:sz="4" w:space="0" w:color="auto"/>
              <w:right w:val="single" w:sz="4" w:space="0" w:color="auto"/>
            </w:tcBorders>
          </w:tcPr>
          <w:p w:rsidR="004524F6" w:rsidRPr="00104F4B" w:rsidRDefault="004524F6" w:rsidP="00FC0A3C">
            <w:pPr>
              <w:rPr>
                <w:rFonts w:cs="Arial"/>
                <w:b/>
                <w:color w:val="000000"/>
                <w:sz w:val="16"/>
                <w:szCs w:val="16"/>
                <w:lang w:eastAsia="es-CO"/>
              </w:rPr>
            </w:pPr>
            <w:r w:rsidRPr="00104F4B">
              <w:rPr>
                <w:rFonts w:cs="Arial"/>
                <w:b/>
                <w:color w:val="000000"/>
                <w:sz w:val="16"/>
                <w:szCs w:val="16"/>
                <w:lang w:eastAsia="es-CO"/>
              </w:rPr>
              <w:t>4</w:t>
            </w:r>
          </w:p>
        </w:tc>
        <w:tc>
          <w:tcPr>
            <w:tcW w:w="478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524F6" w:rsidRPr="00104F4B" w:rsidRDefault="004524F6" w:rsidP="00FC0A3C">
            <w:pPr>
              <w:rPr>
                <w:rFonts w:cs="Arial"/>
                <w:color w:val="000000"/>
                <w:sz w:val="16"/>
                <w:szCs w:val="16"/>
                <w:lang w:eastAsia="es-CO"/>
              </w:rPr>
            </w:pPr>
            <w:r w:rsidRPr="00104F4B">
              <w:rPr>
                <w:rFonts w:cs="Arial"/>
                <w:color w:val="000000"/>
                <w:sz w:val="16"/>
                <w:szCs w:val="16"/>
                <w:lang w:eastAsia="es-CO"/>
              </w:rPr>
              <w:t>Factibilidad, estudios y diseños para la ampliación y mejoramiento de los cicloparqueaderos de los portales suba, Usme y sur asociados a la infraestructura física de Transmilenio en la ciudad de Bogotá, D.C.</w:t>
            </w:r>
          </w:p>
        </w:tc>
      </w:tr>
      <w:tr w:rsidR="004524F6" w:rsidRPr="00104F4B" w:rsidTr="00FC0A3C">
        <w:trPr>
          <w:trHeight w:val="268"/>
        </w:trPr>
        <w:tc>
          <w:tcPr>
            <w:tcW w:w="218" w:type="pct"/>
            <w:tcBorders>
              <w:top w:val="single" w:sz="4" w:space="0" w:color="auto"/>
              <w:left w:val="single" w:sz="8" w:space="0" w:color="auto"/>
              <w:bottom w:val="single" w:sz="4" w:space="0" w:color="auto"/>
              <w:right w:val="single" w:sz="8" w:space="0" w:color="auto"/>
            </w:tcBorders>
          </w:tcPr>
          <w:p w:rsidR="004524F6" w:rsidRPr="00104F4B" w:rsidRDefault="004524F6" w:rsidP="00FC0A3C">
            <w:pPr>
              <w:rPr>
                <w:rFonts w:cs="Arial"/>
                <w:b/>
                <w:color w:val="000000"/>
                <w:sz w:val="16"/>
                <w:szCs w:val="16"/>
                <w:lang w:eastAsia="es-CO"/>
              </w:rPr>
            </w:pPr>
            <w:r w:rsidRPr="00104F4B">
              <w:rPr>
                <w:rFonts w:cs="Arial"/>
                <w:b/>
                <w:color w:val="000000"/>
                <w:sz w:val="16"/>
                <w:szCs w:val="16"/>
                <w:lang w:eastAsia="es-CO"/>
              </w:rPr>
              <w:t>5</w:t>
            </w:r>
          </w:p>
        </w:tc>
        <w:tc>
          <w:tcPr>
            <w:tcW w:w="4782" w:type="pct"/>
            <w:tcBorders>
              <w:top w:val="single" w:sz="4" w:space="0" w:color="auto"/>
              <w:left w:val="nil"/>
              <w:bottom w:val="single" w:sz="4" w:space="0" w:color="auto"/>
              <w:right w:val="single" w:sz="8" w:space="0" w:color="auto"/>
            </w:tcBorders>
            <w:shd w:val="clear" w:color="auto" w:fill="auto"/>
            <w:vAlign w:val="center"/>
            <w:hideMark/>
          </w:tcPr>
          <w:p w:rsidR="004524F6" w:rsidRPr="00104F4B" w:rsidRDefault="004524F6" w:rsidP="00FC0A3C">
            <w:pPr>
              <w:rPr>
                <w:rFonts w:cs="Arial"/>
                <w:color w:val="000000"/>
                <w:sz w:val="16"/>
                <w:szCs w:val="16"/>
                <w:lang w:eastAsia="es-CO"/>
              </w:rPr>
            </w:pPr>
            <w:r w:rsidRPr="00104F4B">
              <w:rPr>
                <w:rFonts w:cs="Arial"/>
                <w:color w:val="000000"/>
                <w:sz w:val="16"/>
                <w:szCs w:val="16"/>
                <w:lang w:eastAsia="es-CO"/>
              </w:rPr>
              <w:t>Interventoría para la factibilidad, estudios y diseños para la ampliación y mejoramiento de los cicloparqueaderos de los portales suba, Usme y sur asociados a la infraestructura física de Transmilenio en la ciudad de Bogotá, D.C.</w:t>
            </w:r>
          </w:p>
        </w:tc>
      </w:tr>
      <w:tr w:rsidR="004524F6" w:rsidRPr="00104F4B" w:rsidTr="00FC0A3C">
        <w:trPr>
          <w:trHeight w:val="185"/>
        </w:trPr>
        <w:tc>
          <w:tcPr>
            <w:tcW w:w="218" w:type="pct"/>
            <w:tcBorders>
              <w:top w:val="single" w:sz="4" w:space="0" w:color="auto"/>
              <w:left w:val="single" w:sz="4" w:space="0" w:color="auto"/>
              <w:bottom w:val="single" w:sz="4" w:space="0" w:color="auto"/>
              <w:right w:val="single" w:sz="4" w:space="0" w:color="auto"/>
            </w:tcBorders>
          </w:tcPr>
          <w:p w:rsidR="004524F6" w:rsidRPr="00104F4B" w:rsidRDefault="004524F6" w:rsidP="00FC0A3C">
            <w:pPr>
              <w:rPr>
                <w:rFonts w:cs="Arial"/>
                <w:b/>
                <w:color w:val="000000"/>
                <w:sz w:val="16"/>
                <w:szCs w:val="16"/>
                <w:lang w:eastAsia="es-CO"/>
              </w:rPr>
            </w:pPr>
            <w:r w:rsidRPr="00104F4B">
              <w:rPr>
                <w:rFonts w:cs="Arial"/>
                <w:b/>
                <w:color w:val="000000"/>
                <w:sz w:val="16"/>
                <w:szCs w:val="16"/>
                <w:lang w:eastAsia="es-CO"/>
              </w:rPr>
              <w:t>6</w:t>
            </w:r>
          </w:p>
        </w:tc>
        <w:tc>
          <w:tcPr>
            <w:tcW w:w="478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524F6" w:rsidRPr="00104F4B" w:rsidRDefault="004524F6" w:rsidP="00FC0A3C">
            <w:pPr>
              <w:rPr>
                <w:rFonts w:cs="Arial"/>
                <w:color w:val="000000"/>
                <w:sz w:val="16"/>
                <w:szCs w:val="16"/>
                <w:lang w:eastAsia="es-CO"/>
              </w:rPr>
            </w:pPr>
            <w:r w:rsidRPr="00104F4B">
              <w:rPr>
                <w:rFonts w:cs="Arial"/>
                <w:color w:val="000000"/>
                <w:sz w:val="16"/>
                <w:szCs w:val="16"/>
                <w:lang w:eastAsia="es-CO"/>
              </w:rPr>
              <w:t>Factibilidad, estudios y diseños de los accesos viales y alamedas María Paz- Corabastos</w:t>
            </w:r>
          </w:p>
        </w:tc>
      </w:tr>
      <w:tr w:rsidR="004524F6" w:rsidRPr="00104F4B" w:rsidTr="00FC0A3C">
        <w:trPr>
          <w:trHeight w:val="241"/>
        </w:trPr>
        <w:tc>
          <w:tcPr>
            <w:tcW w:w="218" w:type="pct"/>
            <w:tcBorders>
              <w:top w:val="single" w:sz="4" w:space="0" w:color="auto"/>
              <w:left w:val="single" w:sz="4" w:space="0" w:color="auto"/>
              <w:bottom w:val="single" w:sz="4" w:space="0" w:color="auto"/>
              <w:right w:val="single" w:sz="4" w:space="0" w:color="auto"/>
            </w:tcBorders>
          </w:tcPr>
          <w:p w:rsidR="004524F6" w:rsidRPr="00104F4B" w:rsidRDefault="004524F6" w:rsidP="00FC0A3C">
            <w:pPr>
              <w:rPr>
                <w:rFonts w:cs="Arial"/>
                <w:b/>
                <w:color w:val="000000"/>
                <w:sz w:val="16"/>
                <w:szCs w:val="16"/>
                <w:lang w:eastAsia="es-CO"/>
              </w:rPr>
            </w:pPr>
          </w:p>
        </w:tc>
        <w:tc>
          <w:tcPr>
            <w:tcW w:w="478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524F6" w:rsidRPr="00104F4B" w:rsidRDefault="004524F6" w:rsidP="00FC0A3C">
            <w:pPr>
              <w:rPr>
                <w:rFonts w:cs="Arial"/>
                <w:color w:val="000000"/>
                <w:sz w:val="16"/>
                <w:szCs w:val="16"/>
                <w:lang w:eastAsia="es-CO"/>
              </w:rPr>
            </w:pPr>
            <w:r w:rsidRPr="00104F4B">
              <w:rPr>
                <w:rFonts w:cs="Arial"/>
                <w:color w:val="000000"/>
                <w:sz w:val="16"/>
                <w:szCs w:val="16"/>
                <w:lang w:eastAsia="es-CO"/>
              </w:rPr>
              <w:t>Factibilidad, estudios y diseños en cumplimiento de la acción popular 2013-00399 para la intervención de la malla vial y del espacio público asociado a la vía que se encuentra entre la calle 44 sur con carrera 3 c este y calle 46 d sur con carrera 4 este en Bogotá, D.C.</w:t>
            </w:r>
          </w:p>
        </w:tc>
      </w:tr>
      <w:tr w:rsidR="004524F6" w:rsidRPr="00104F4B" w:rsidTr="00FC0A3C">
        <w:trPr>
          <w:trHeight w:val="262"/>
        </w:trPr>
        <w:tc>
          <w:tcPr>
            <w:tcW w:w="218" w:type="pct"/>
            <w:tcBorders>
              <w:top w:val="single" w:sz="4" w:space="0" w:color="auto"/>
              <w:left w:val="single" w:sz="4" w:space="0" w:color="auto"/>
              <w:bottom w:val="single" w:sz="4" w:space="0" w:color="auto"/>
              <w:right w:val="single" w:sz="4" w:space="0" w:color="auto"/>
            </w:tcBorders>
          </w:tcPr>
          <w:p w:rsidR="004524F6" w:rsidRPr="00104F4B" w:rsidRDefault="004524F6" w:rsidP="00FC0A3C">
            <w:pPr>
              <w:rPr>
                <w:rFonts w:cs="Arial"/>
                <w:b/>
                <w:color w:val="000000"/>
                <w:sz w:val="16"/>
                <w:szCs w:val="16"/>
                <w:lang w:eastAsia="es-CO"/>
              </w:rPr>
            </w:pPr>
            <w:r w:rsidRPr="00104F4B">
              <w:rPr>
                <w:rFonts w:cs="Arial"/>
                <w:b/>
                <w:color w:val="000000"/>
                <w:sz w:val="16"/>
                <w:szCs w:val="16"/>
                <w:lang w:eastAsia="es-CO"/>
              </w:rPr>
              <w:t>7</w:t>
            </w:r>
          </w:p>
        </w:tc>
        <w:tc>
          <w:tcPr>
            <w:tcW w:w="478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524F6" w:rsidRPr="00104F4B" w:rsidRDefault="004524F6" w:rsidP="00FC0A3C">
            <w:pPr>
              <w:rPr>
                <w:rFonts w:cs="Arial"/>
                <w:color w:val="000000"/>
                <w:sz w:val="16"/>
                <w:szCs w:val="16"/>
                <w:lang w:eastAsia="es-CO"/>
              </w:rPr>
            </w:pPr>
            <w:r w:rsidRPr="00104F4B">
              <w:rPr>
                <w:rFonts w:cs="Arial"/>
                <w:color w:val="000000"/>
                <w:sz w:val="16"/>
                <w:szCs w:val="16"/>
                <w:lang w:eastAsia="es-CO"/>
              </w:rPr>
              <w:t>Interventoría de la factibilidad, estudios y diseños en cumplimiento de la acción popular 2013-00399 para la intervención de la malla vial y del espacio público asociado a la vía que se encuentra entre la calle 44 sur con carrera 3 c este y calle 46 d sur con carrera 4 este en Bogotá, D.C.</w:t>
            </w:r>
          </w:p>
        </w:tc>
      </w:tr>
      <w:tr w:rsidR="004524F6" w:rsidRPr="00104F4B" w:rsidTr="00FC0A3C">
        <w:trPr>
          <w:trHeight w:val="279"/>
        </w:trPr>
        <w:tc>
          <w:tcPr>
            <w:tcW w:w="218" w:type="pct"/>
            <w:tcBorders>
              <w:top w:val="single" w:sz="4" w:space="0" w:color="auto"/>
              <w:left w:val="single" w:sz="4" w:space="0" w:color="auto"/>
              <w:bottom w:val="single" w:sz="4" w:space="0" w:color="auto"/>
              <w:right w:val="single" w:sz="4" w:space="0" w:color="auto"/>
            </w:tcBorders>
          </w:tcPr>
          <w:p w:rsidR="004524F6" w:rsidRPr="00104F4B" w:rsidRDefault="004524F6" w:rsidP="00FC0A3C">
            <w:pPr>
              <w:rPr>
                <w:rFonts w:cs="Arial"/>
                <w:b/>
                <w:color w:val="000000"/>
                <w:sz w:val="16"/>
                <w:szCs w:val="16"/>
                <w:lang w:eastAsia="es-CO"/>
              </w:rPr>
            </w:pPr>
            <w:r w:rsidRPr="00104F4B">
              <w:rPr>
                <w:rFonts w:cs="Arial"/>
                <w:b/>
                <w:color w:val="000000"/>
                <w:sz w:val="16"/>
                <w:szCs w:val="16"/>
                <w:lang w:eastAsia="es-CO"/>
              </w:rPr>
              <w:t>8</w:t>
            </w:r>
          </w:p>
        </w:tc>
        <w:tc>
          <w:tcPr>
            <w:tcW w:w="478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524F6" w:rsidRPr="00104F4B" w:rsidRDefault="004524F6" w:rsidP="00FC0A3C">
            <w:pPr>
              <w:rPr>
                <w:rFonts w:cs="Arial"/>
                <w:color w:val="000000"/>
                <w:sz w:val="16"/>
                <w:szCs w:val="16"/>
                <w:lang w:eastAsia="es-CO"/>
              </w:rPr>
            </w:pPr>
            <w:r w:rsidRPr="00104F4B">
              <w:rPr>
                <w:rFonts w:cs="Arial"/>
                <w:color w:val="000000"/>
                <w:sz w:val="16"/>
                <w:szCs w:val="16"/>
                <w:lang w:eastAsia="es-CO"/>
              </w:rPr>
              <w:t>Interventoría para la factibilidad, estudios y diseños de la avenida circunvalar de oriente desde la avenida Villavicencio hasta la avenida los comuneros en Bogotá, D.C.</w:t>
            </w:r>
          </w:p>
        </w:tc>
      </w:tr>
      <w:tr w:rsidR="004524F6" w:rsidRPr="00104F4B" w:rsidTr="00FC0A3C">
        <w:trPr>
          <w:trHeight w:val="124"/>
        </w:trPr>
        <w:tc>
          <w:tcPr>
            <w:tcW w:w="218" w:type="pct"/>
            <w:tcBorders>
              <w:top w:val="single" w:sz="4" w:space="0" w:color="auto"/>
              <w:left w:val="single" w:sz="4" w:space="0" w:color="auto"/>
              <w:bottom w:val="single" w:sz="4" w:space="0" w:color="auto"/>
              <w:right w:val="single" w:sz="4" w:space="0" w:color="auto"/>
            </w:tcBorders>
          </w:tcPr>
          <w:p w:rsidR="004524F6" w:rsidRPr="00104F4B" w:rsidRDefault="004524F6" w:rsidP="00FC0A3C">
            <w:pPr>
              <w:rPr>
                <w:rFonts w:cs="Arial"/>
                <w:b/>
                <w:color w:val="000000"/>
                <w:sz w:val="16"/>
                <w:szCs w:val="16"/>
                <w:lang w:eastAsia="es-CO"/>
              </w:rPr>
            </w:pPr>
            <w:r w:rsidRPr="00104F4B">
              <w:rPr>
                <w:rFonts w:cs="Arial"/>
                <w:b/>
                <w:color w:val="000000"/>
                <w:sz w:val="16"/>
                <w:szCs w:val="16"/>
                <w:lang w:eastAsia="es-CO"/>
              </w:rPr>
              <w:t>9</w:t>
            </w:r>
          </w:p>
        </w:tc>
        <w:tc>
          <w:tcPr>
            <w:tcW w:w="478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524F6" w:rsidRPr="00104F4B" w:rsidRDefault="004524F6" w:rsidP="00FC0A3C">
            <w:pPr>
              <w:rPr>
                <w:rFonts w:cs="Arial"/>
                <w:color w:val="000000"/>
                <w:sz w:val="16"/>
                <w:szCs w:val="16"/>
                <w:lang w:eastAsia="es-CO"/>
              </w:rPr>
            </w:pPr>
            <w:r w:rsidRPr="00104F4B">
              <w:rPr>
                <w:rFonts w:cs="Arial"/>
                <w:color w:val="000000"/>
                <w:sz w:val="16"/>
                <w:szCs w:val="16"/>
                <w:lang w:eastAsia="es-CO"/>
              </w:rPr>
              <w:t>Interventoría para la factibilidad, estudios y diseños de los accesos viales y alamedas María Paz- Corabastos</w:t>
            </w:r>
          </w:p>
        </w:tc>
      </w:tr>
      <w:tr w:rsidR="004524F6" w:rsidRPr="00104F4B" w:rsidTr="00FC0A3C">
        <w:trPr>
          <w:trHeight w:val="245"/>
        </w:trPr>
        <w:tc>
          <w:tcPr>
            <w:tcW w:w="218" w:type="pct"/>
            <w:tcBorders>
              <w:top w:val="single" w:sz="4" w:space="0" w:color="auto"/>
              <w:left w:val="single" w:sz="4" w:space="0" w:color="auto"/>
              <w:bottom w:val="single" w:sz="4" w:space="0" w:color="auto"/>
              <w:right w:val="single" w:sz="4" w:space="0" w:color="auto"/>
            </w:tcBorders>
          </w:tcPr>
          <w:p w:rsidR="004524F6" w:rsidRPr="00104F4B" w:rsidRDefault="004524F6" w:rsidP="00FC0A3C">
            <w:pPr>
              <w:rPr>
                <w:rFonts w:cs="Arial"/>
                <w:b/>
                <w:color w:val="000000"/>
                <w:sz w:val="16"/>
                <w:szCs w:val="16"/>
                <w:lang w:eastAsia="es-CO"/>
              </w:rPr>
            </w:pPr>
            <w:r w:rsidRPr="00104F4B">
              <w:rPr>
                <w:rFonts w:cs="Arial"/>
                <w:b/>
                <w:color w:val="000000"/>
                <w:sz w:val="16"/>
                <w:szCs w:val="16"/>
                <w:lang w:eastAsia="es-CO"/>
              </w:rPr>
              <w:t>10</w:t>
            </w:r>
          </w:p>
        </w:tc>
        <w:tc>
          <w:tcPr>
            <w:tcW w:w="478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524F6" w:rsidRPr="00104F4B" w:rsidRDefault="004524F6" w:rsidP="00FC0A3C">
            <w:pPr>
              <w:rPr>
                <w:rFonts w:cs="Arial"/>
                <w:color w:val="000000"/>
                <w:sz w:val="16"/>
                <w:szCs w:val="16"/>
                <w:lang w:eastAsia="es-CO"/>
              </w:rPr>
            </w:pPr>
            <w:r w:rsidRPr="00104F4B">
              <w:rPr>
                <w:rFonts w:cs="Arial"/>
                <w:color w:val="000000"/>
                <w:sz w:val="16"/>
                <w:szCs w:val="16"/>
                <w:lang w:eastAsia="es-CO"/>
              </w:rPr>
              <w:t>Interventoría a la factibilidad y estudios y diseños de la troncal avenida Jorge Gaitán cortés entre calle 8 sur y avenida Villavicencio, Bogotá D.C</w:t>
            </w:r>
          </w:p>
        </w:tc>
      </w:tr>
      <w:tr w:rsidR="004524F6" w:rsidRPr="00104F4B" w:rsidTr="00FC0A3C">
        <w:trPr>
          <w:trHeight w:val="266"/>
        </w:trPr>
        <w:tc>
          <w:tcPr>
            <w:tcW w:w="218" w:type="pct"/>
            <w:tcBorders>
              <w:top w:val="single" w:sz="4" w:space="0" w:color="auto"/>
              <w:left w:val="single" w:sz="4" w:space="0" w:color="auto"/>
              <w:bottom w:val="single" w:sz="4" w:space="0" w:color="auto"/>
              <w:right w:val="single" w:sz="4" w:space="0" w:color="auto"/>
            </w:tcBorders>
          </w:tcPr>
          <w:p w:rsidR="004524F6" w:rsidRPr="00104F4B" w:rsidRDefault="004524F6" w:rsidP="00FC0A3C">
            <w:pPr>
              <w:rPr>
                <w:rFonts w:cs="Arial"/>
                <w:b/>
                <w:color w:val="000000"/>
                <w:sz w:val="16"/>
                <w:szCs w:val="16"/>
                <w:lang w:eastAsia="es-CO"/>
              </w:rPr>
            </w:pPr>
            <w:r w:rsidRPr="00104F4B">
              <w:rPr>
                <w:rFonts w:cs="Arial"/>
                <w:b/>
                <w:color w:val="000000"/>
                <w:sz w:val="16"/>
                <w:szCs w:val="16"/>
                <w:lang w:eastAsia="es-CO"/>
              </w:rPr>
              <w:t>11</w:t>
            </w:r>
          </w:p>
        </w:tc>
        <w:tc>
          <w:tcPr>
            <w:tcW w:w="478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524F6" w:rsidRPr="00104F4B" w:rsidRDefault="004524F6" w:rsidP="00FC0A3C">
            <w:pPr>
              <w:rPr>
                <w:rFonts w:cs="Arial"/>
                <w:color w:val="000000"/>
                <w:sz w:val="16"/>
                <w:szCs w:val="16"/>
                <w:lang w:eastAsia="es-CO"/>
              </w:rPr>
            </w:pPr>
            <w:r w:rsidRPr="00104F4B">
              <w:rPr>
                <w:rFonts w:cs="Arial"/>
                <w:color w:val="000000"/>
                <w:sz w:val="16"/>
                <w:szCs w:val="16"/>
                <w:lang w:eastAsia="es-CO"/>
              </w:rPr>
              <w:t xml:space="preserve">Factibilidad, estudios y diseños para la ampliación y mejoramiento de los cicloparqueaderos asociados a la infraestructura física de Transmilenio en la ciudad de Bogotá, D.C </w:t>
            </w:r>
          </w:p>
        </w:tc>
      </w:tr>
      <w:tr w:rsidR="004524F6" w:rsidRPr="00104F4B" w:rsidTr="00FC0A3C">
        <w:trPr>
          <w:trHeight w:val="245"/>
        </w:trPr>
        <w:tc>
          <w:tcPr>
            <w:tcW w:w="218" w:type="pct"/>
            <w:tcBorders>
              <w:top w:val="single" w:sz="4" w:space="0" w:color="auto"/>
              <w:left w:val="single" w:sz="4" w:space="0" w:color="auto"/>
              <w:bottom w:val="single" w:sz="4" w:space="0" w:color="auto"/>
              <w:right w:val="single" w:sz="4" w:space="0" w:color="auto"/>
            </w:tcBorders>
          </w:tcPr>
          <w:p w:rsidR="004524F6" w:rsidRPr="00104F4B" w:rsidRDefault="004524F6" w:rsidP="00FC0A3C">
            <w:pPr>
              <w:rPr>
                <w:rFonts w:cs="Arial"/>
                <w:b/>
                <w:color w:val="000000"/>
                <w:sz w:val="16"/>
                <w:szCs w:val="16"/>
                <w:lang w:eastAsia="es-CO"/>
              </w:rPr>
            </w:pPr>
            <w:r w:rsidRPr="00104F4B">
              <w:rPr>
                <w:rFonts w:cs="Arial"/>
                <w:b/>
                <w:color w:val="000000"/>
                <w:sz w:val="16"/>
                <w:szCs w:val="16"/>
                <w:lang w:eastAsia="es-CO"/>
              </w:rPr>
              <w:t>12</w:t>
            </w:r>
          </w:p>
        </w:tc>
        <w:tc>
          <w:tcPr>
            <w:tcW w:w="478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524F6" w:rsidRPr="00104F4B" w:rsidRDefault="004524F6" w:rsidP="00FC0A3C">
            <w:pPr>
              <w:rPr>
                <w:rFonts w:cs="Arial"/>
                <w:color w:val="000000"/>
                <w:sz w:val="16"/>
                <w:szCs w:val="16"/>
                <w:lang w:eastAsia="es-CO"/>
              </w:rPr>
            </w:pPr>
            <w:r w:rsidRPr="00104F4B">
              <w:rPr>
                <w:rFonts w:cs="Arial"/>
                <w:color w:val="000000"/>
                <w:sz w:val="16"/>
                <w:szCs w:val="16"/>
                <w:lang w:eastAsia="es-CO"/>
              </w:rPr>
              <w:t>Factibilidad, estudios y diseños de la ampliación de la vía a la calera y obras complementarias, desde la intersección con la carrera 6 hasta el límite del distrito, Bogotá D.C</w:t>
            </w:r>
          </w:p>
        </w:tc>
      </w:tr>
      <w:tr w:rsidR="004524F6" w:rsidRPr="00104F4B" w:rsidTr="00FC0A3C">
        <w:trPr>
          <w:trHeight w:val="195"/>
        </w:trPr>
        <w:tc>
          <w:tcPr>
            <w:tcW w:w="218" w:type="pct"/>
            <w:tcBorders>
              <w:top w:val="single" w:sz="4" w:space="0" w:color="auto"/>
              <w:left w:val="single" w:sz="4" w:space="0" w:color="auto"/>
              <w:bottom w:val="single" w:sz="4" w:space="0" w:color="auto"/>
              <w:right w:val="single" w:sz="4" w:space="0" w:color="auto"/>
            </w:tcBorders>
          </w:tcPr>
          <w:p w:rsidR="004524F6" w:rsidRPr="00104F4B" w:rsidRDefault="004524F6" w:rsidP="00FC0A3C">
            <w:pPr>
              <w:rPr>
                <w:rFonts w:cs="Arial"/>
                <w:b/>
                <w:color w:val="000000"/>
                <w:sz w:val="16"/>
                <w:szCs w:val="16"/>
                <w:lang w:eastAsia="es-CO"/>
              </w:rPr>
            </w:pPr>
            <w:r w:rsidRPr="00104F4B">
              <w:rPr>
                <w:rFonts w:cs="Arial"/>
                <w:b/>
                <w:color w:val="000000"/>
                <w:sz w:val="16"/>
                <w:szCs w:val="16"/>
                <w:lang w:eastAsia="es-CO"/>
              </w:rPr>
              <w:t>13</w:t>
            </w:r>
          </w:p>
        </w:tc>
        <w:tc>
          <w:tcPr>
            <w:tcW w:w="478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524F6" w:rsidRPr="00104F4B" w:rsidRDefault="004524F6" w:rsidP="00FC0A3C">
            <w:pPr>
              <w:rPr>
                <w:rFonts w:cs="Arial"/>
                <w:color w:val="000000"/>
                <w:sz w:val="16"/>
                <w:szCs w:val="16"/>
                <w:lang w:eastAsia="es-CO"/>
              </w:rPr>
            </w:pPr>
            <w:r w:rsidRPr="00104F4B">
              <w:rPr>
                <w:rFonts w:cs="Arial"/>
                <w:color w:val="000000"/>
                <w:sz w:val="16"/>
                <w:szCs w:val="16"/>
                <w:lang w:eastAsia="es-CO"/>
              </w:rPr>
              <w:t>Proyecto puntos inestables la calera-acción popular</w:t>
            </w:r>
          </w:p>
        </w:tc>
      </w:tr>
      <w:tr w:rsidR="004524F6" w:rsidRPr="00104F4B" w:rsidTr="00FC0A3C">
        <w:trPr>
          <w:trHeight w:val="244"/>
        </w:trPr>
        <w:tc>
          <w:tcPr>
            <w:tcW w:w="218" w:type="pct"/>
            <w:tcBorders>
              <w:top w:val="single" w:sz="4" w:space="0" w:color="auto"/>
              <w:left w:val="single" w:sz="4" w:space="0" w:color="auto"/>
              <w:bottom w:val="single" w:sz="4" w:space="0" w:color="auto"/>
              <w:right w:val="single" w:sz="4" w:space="0" w:color="auto"/>
            </w:tcBorders>
          </w:tcPr>
          <w:p w:rsidR="004524F6" w:rsidRPr="00104F4B" w:rsidRDefault="004524F6" w:rsidP="00FC0A3C">
            <w:pPr>
              <w:rPr>
                <w:rFonts w:cs="Arial"/>
                <w:b/>
                <w:color w:val="000000"/>
                <w:sz w:val="16"/>
                <w:szCs w:val="16"/>
                <w:lang w:eastAsia="es-CO"/>
              </w:rPr>
            </w:pPr>
            <w:r w:rsidRPr="00104F4B">
              <w:rPr>
                <w:rFonts w:cs="Arial"/>
                <w:b/>
                <w:color w:val="000000"/>
                <w:sz w:val="16"/>
                <w:szCs w:val="16"/>
                <w:lang w:eastAsia="es-CO"/>
              </w:rPr>
              <w:t>14</w:t>
            </w:r>
          </w:p>
        </w:tc>
        <w:tc>
          <w:tcPr>
            <w:tcW w:w="478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524F6" w:rsidRPr="00104F4B" w:rsidRDefault="004524F6" w:rsidP="00FC0A3C">
            <w:pPr>
              <w:rPr>
                <w:rFonts w:cs="Arial"/>
                <w:color w:val="000000"/>
                <w:sz w:val="16"/>
                <w:szCs w:val="16"/>
                <w:lang w:eastAsia="es-CO"/>
              </w:rPr>
            </w:pPr>
            <w:r w:rsidRPr="00104F4B">
              <w:rPr>
                <w:rFonts w:cs="Arial"/>
                <w:color w:val="000000"/>
                <w:sz w:val="16"/>
                <w:szCs w:val="16"/>
                <w:lang w:eastAsia="es-CO"/>
              </w:rPr>
              <w:t>Interventoría para puntos inestables - vía la calera</w:t>
            </w:r>
          </w:p>
        </w:tc>
      </w:tr>
      <w:tr w:rsidR="004524F6" w:rsidRPr="00104F4B" w:rsidTr="00FC0A3C">
        <w:trPr>
          <w:trHeight w:val="238"/>
        </w:trPr>
        <w:tc>
          <w:tcPr>
            <w:tcW w:w="218" w:type="pct"/>
            <w:tcBorders>
              <w:top w:val="single" w:sz="4" w:space="0" w:color="auto"/>
              <w:left w:val="single" w:sz="4" w:space="0" w:color="auto"/>
              <w:bottom w:val="single" w:sz="4" w:space="0" w:color="auto"/>
              <w:right w:val="single" w:sz="4" w:space="0" w:color="auto"/>
            </w:tcBorders>
          </w:tcPr>
          <w:p w:rsidR="004524F6" w:rsidRPr="00104F4B" w:rsidRDefault="004524F6" w:rsidP="00FC0A3C">
            <w:pPr>
              <w:rPr>
                <w:rFonts w:cs="Arial"/>
                <w:b/>
                <w:color w:val="000000"/>
                <w:sz w:val="16"/>
                <w:szCs w:val="16"/>
                <w:lang w:eastAsia="es-CO"/>
              </w:rPr>
            </w:pPr>
            <w:r w:rsidRPr="00104F4B">
              <w:rPr>
                <w:rFonts w:cs="Arial"/>
                <w:b/>
                <w:color w:val="000000"/>
                <w:sz w:val="16"/>
                <w:szCs w:val="16"/>
                <w:lang w:eastAsia="es-CO"/>
              </w:rPr>
              <w:t>15</w:t>
            </w:r>
          </w:p>
        </w:tc>
        <w:tc>
          <w:tcPr>
            <w:tcW w:w="478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524F6" w:rsidRPr="00104F4B" w:rsidRDefault="004524F6" w:rsidP="00FC0A3C">
            <w:pPr>
              <w:rPr>
                <w:rFonts w:cs="Arial"/>
                <w:color w:val="000000"/>
                <w:sz w:val="16"/>
                <w:szCs w:val="16"/>
                <w:lang w:eastAsia="es-CO"/>
              </w:rPr>
            </w:pPr>
            <w:r w:rsidRPr="00104F4B">
              <w:rPr>
                <w:rFonts w:cs="Arial"/>
                <w:color w:val="000000"/>
                <w:sz w:val="16"/>
                <w:szCs w:val="16"/>
                <w:lang w:eastAsia="es-CO"/>
              </w:rPr>
              <w:t>Factibilidad, estudios y diseños para las obras requeridas en sitios inestables en Bogotá D.C.</w:t>
            </w:r>
          </w:p>
        </w:tc>
      </w:tr>
      <w:tr w:rsidR="004524F6" w:rsidRPr="00104F4B" w:rsidTr="00FC0A3C">
        <w:trPr>
          <w:trHeight w:val="227"/>
        </w:trPr>
        <w:tc>
          <w:tcPr>
            <w:tcW w:w="218" w:type="pct"/>
            <w:tcBorders>
              <w:top w:val="single" w:sz="4" w:space="0" w:color="auto"/>
              <w:left w:val="single" w:sz="4" w:space="0" w:color="auto"/>
              <w:bottom w:val="single" w:sz="4" w:space="0" w:color="auto"/>
              <w:right w:val="single" w:sz="4" w:space="0" w:color="auto"/>
            </w:tcBorders>
          </w:tcPr>
          <w:p w:rsidR="004524F6" w:rsidRPr="00104F4B" w:rsidRDefault="004524F6" w:rsidP="00FC0A3C">
            <w:pPr>
              <w:rPr>
                <w:rFonts w:cs="Arial"/>
                <w:b/>
                <w:color w:val="000000"/>
                <w:sz w:val="16"/>
                <w:szCs w:val="16"/>
                <w:lang w:eastAsia="es-CO"/>
              </w:rPr>
            </w:pPr>
            <w:r w:rsidRPr="00104F4B">
              <w:rPr>
                <w:rFonts w:cs="Arial"/>
                <w:b/>
                <w:color w:val="000000"/>
                <w:sz w:val="16"/>
                <w:szCs w:val="16"/>
                <w:lang w:eastAsia="es-CO"/>
              </w:rPr>
              <w:t>16</w:t>
            </w:r>
          </w:p>
        </w:tc>
        <w:tc>
          <w:tcPr>
            <w:tcW w:w="478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524F6" w:rsidRPr="00104F4B" w:rsidRDefault="004524F6" w:rsidP="00FC0A3C">
            <w:pPr>
              <w:rPr>
                <w:rFonts w:cs="Arial"/>
                <w:color w:val="000000"/>
                <w:sz w:val="16"/>
                <w:szCs w:val="16"/>
                <w:lang w:eastAsia="es-CO"/>
              </w:rPr>
            </w:pPr>
            <w:r w:rsidRPr="00104F4B">
              <w:rPr>
                <w:rFonts w:cs="Arial"/>
                <w:color w:val="000000"/>
                <w:sz w:val="16"/>
                <w:szCs w:val="16"/>
                <w:lang w:eastAsia="es-CO"/>
              </w:rPr>
              <w:t>Proyecto interventoría ampliación vía la calera</w:t>
            </w:r>
          </w:p>
        </w:tc>
      </w:tr>
      <w:tr w:rsidR="004524F6" w:rsidRPr="00104F4B" w:rsidTr="00FC0A3C">
        <w:trPr>
          <w:trHeight w:val="218"/>
        </w:trPr>
        <w:tc>
          <w:tcPr>
            <w:tcW w:w="218" w:type="pct"/>
            <w:tcBorders>
              <w:top w:val="single" w:sz="4" w:space="0" w:color="auto"/>
              <w:left w:val="single" w:sz="4" w:space="0" w:color="auto"/>
              <w:bottom w:val="single" w:sz="4" w:space="0" w:color="auto"/>
              <w:right w:val="single" w:sz="4" w:space="0" w:color="auto"/>
            </w:tcBorders>
          </w:tcPr>
          <w:p w:rsidR="004524F6" w:rsidRPr="00104F4B" w:rsidRDefault="004524F6" w:rsidP="00FC0A3C">
            <w:pPr>
              <w:rPr>
                <w:rFonts w:cs="Arial"/>
                <w:b/>
                <w:color w:val="000000"/>
                <w:sz w:val="16"/>
                <w:szCs w:val="16"/>
                <w:lang w:eastAsia="es-CO"/>
              </w:rPr>
            </w:pPr>
            <w:r w:rsidRPr="00104F4B">
              <w:rPr>
                <w:rFonts w:cs="Arial"/>
                <w:b/>
                <w:color w:val="000000"/>
                <w:sz w:val="16"/>
                <w:szCs w:val="16"/>
                <w:lang w:eastAsia="es-CO"/>
              </w:rPr>
              <w:t>17</w:t>
            </w:r>
          </w:p>
        </w:tc>
        <w:tc>
          <w:tcPr>
            <w:tcW w:w="478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524F6" w:rsidRPr="00104F4B" w:rsidRDefault="004524F6" w:rsidP="00FC0A3C">
            <w:pPr>
              <w:rPr>
                <w:rFonts w:cs="Arial"/>
                <w:color w:val="000000"/>
                <w:sz w:val="16"/>
                <w:szCs w:val="16"/>
                <w:lang w:eastAsia="es-CO"/>
              </w:rPr>
            </w:pPr>
            <w:r w:rsidRPr="00104F4B">
              <w:rPr>
                <w:rFonts w:cs="Arial"/>
                <w:color w:val="000000"/>
                <w:sz w:val="16"/>
                <w:szCs w:val="16"/>
                <w:lang w:eastAsia="es-CO"/>
              </w:rPr>
              <w:t>Interventoría para factibilidad, estudios y diseños para las obras requeridas en sitios inestables en Bogotá D.C</w:t>
            </w:r>
          </w:p>
        </w:tc>
      </w:tr>
      <w:tr w:rsidR="004524F6" w:rsidRPr="00104F4B" w:rsidTr="00FC0A3C">
        <w:trPr>
          <w:trHeight w:val="193"/>
        </w:trPr>
        <w:tc>
          <w:tcPr>
            <w:tcW w:w="218" w:type="pct"/>
            <w:tcBorders>
              <w:top w:val="single" w:sz="4" w:space="0" w:color="auto"/>
              <w:left w:val="single" w:sz="4" w:space="0" w:color="auto"/>
              <w:bottom w:val="single" w:sz="4" w:space="0" w:color="auto"/>
              <w:right w:val="single" w:sz="4" w:space="0" w:color="auto"/>
            </w:tcBorders>
          </w:tcPr>
          <w:p w:rsidR="004524F6" w:rsidRPr="00104F4B" w:rsidRDefault="004524F6" w:rsidP="00FC0A3C">
            <w:pPr>
              <w:rPr>
                <w:rFonts w:cs="Arial"/>
                <w:b/>
                <w:color w:val="000000"/>
                <w:sz w:val="16"/>
                <w:szCs w:val="16"/>
                <w:lang w:eastAsia="es-CO"/>
              </w:rPr>
            </w:pPr>
            <w:r w:rsidRPr="00104F4B">
              <w:rPr>
                <w:rFonts w:cs="Arial"/>
                <w:b/>
                <w:color w:val="000000"/>
                <w:sz w:val="16"/>
                <w:szCs w:val="16"/>
                <w:lang w:eastAsia="es-CO"/>
              </w:rPr>
              <w:t>18</w:t>
            </w:r>
          </w:p>
        </w:tc>
        <w:tc>
          <w:tcPr>
            <w:tcW w:w="4782" w:type="pct"/>
            <w:tcBorders>
              <w:top w:val="single" w:sz="4" w:space="0" w:color="auto"/>
              <w:left w:val="single" w:sz="4" w:space="0" w:color="auto"/>
              <w:bottom w:val="single" w:sz="4" w:space="0" w:color="auto"/>
              <w:right w:val="single" w:sz="4" w:space="0" w:color="auto"/>
            </w:tcBorders>
            <w:shd w:val="clear" w:color="auto" w:fill="auto"/>
            <w:vAlign w:val="center"/>
          </w:tcPr>
          <w:p w:rsidR="004524F6" w:rsidRPr="00104F4B" w:rsidRDefault="004524F6" w:rsidP="00FC0A3C">
            <w:pPr>
              <w:rPr>
                <w:rFonts w:cs="Arial"/>
                <w:color w:val="000000"/>
                <w:sz w:val="16"/>
                <w:szCs w:val="16"/>
                <w:lang w:eastAsia="es-CO"/>
              </w:rPr>
            </w:pPr>
            <w:r w:rsidRPr="00104F4B">
              <w:rPr>
                <w:rFonts w:cs="Arial"/>
                <w:color w:val="000000"/>
                <w:sz w:val="16"/>
                <w:szCs w:val="16"/>
                <w:lang w:eastAsia="es-CO"/>
              </w:rPr>
              <w:t>Estudios,  Diseños  y  Construcción  de  Calles Comerciales  a  Cielo  Abierto,  en  las  Localidades  de  la  Ciudad  de Bogotá, D.C.</w:t>
            </w:r>
          </w:p>
        </w:tc>
      </w:tr>
      <w:tr w:rsidR="004524F6" w:rsidRPr="00104F4B" w:rsidTr="00FC0A3C">
        <w:trPr>
          <w:trHeight w:val="287"/>
        </w:trPr>
        <w:tc>
          <w:tcPr>
            <w:tcW w:w="218" w:type="pct"/>
            <w:tcBorders>
              <w:top w:val="single" w:sz="4" w:space="0" w:color="auto"/>
              <w:left w:val="single" w:sz="4" w:space="0" w:color="auto"/>
              <w:bottom w:val="single" w:sz="4" w:space="0" w:color="auto"/>
              <w:right w:val="single" w:sz="4" w:space="0" w:color="auto"/>
            </w:tcBorders>
          </w:tcPr>
          <w:p w:rsidR="004524F6" w:rsidRPr="00104F4B" w:rsidRDefault="004524F6" w:rsidP="00FC0A3C">
            <w:pPr>
              <w:rPr>
                <w:rFonts w:cs="Arial"/>
                <w:b/>
                <w:color w:val="000000"/>
                <w:sz w:val="16"/>
                <w:szCs w:val="16"/>
                <w:lang w:eastAsia="es-CO"/>
              </w:rPr>
            </w:pPr>
            <w:r w:rsidRPr="00104F4B">
              <w:rPr>
                <w:rFonts w:cs="Arial"/>
                <w:b/>
                <w:color w:val="000000"/>
                <w:sz w:val="16"/>
                <w:szCs w:val="16"/>
                <w:lang w:eastAsia="es-CO"/>
              </w:rPr>
              <w:t>19</w:t>
            </w:r>
          </w:p>
        </w:tc>
        <w:tc>
          <w:tcPr>
            <w:tcW w:w="478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524F6" w:rsidRPr="00104F4B" w:rsidRDefault="004524F6" w:rsidP="00FC0A3C">
            <w:pPr>
              <w:rPr>
                <w:rFonts w:cs="Arial"/>
                <w:color w:val="000000"/>
                <w:sz w:val="16"/>
                <w:szCs w:val="16"/>
                <w:lang w:eastAsia="es-CO"/>
              </w:rPr>
            </w:pPr>
            <w:r w:rsidRPr="00104F4B">
              <w:rPr>
                <w:rFonts w:cs="Arial"/>
                <w:color w:val="000000"/>
                <w:sz w:val="16"/>
                <w:szCs w:val="16"/>
                <w:lang w:eastAsia="es-CO"/>
              </w:rPr>
              <w:t>Ajustes y - o actualización y - o complementación a los estudios, diseños y construcción de puente peatonal y adecuación del espacio público asociado en la calle 46 por avenida circunvalar en Bogotá D.C.</w:t>
            </w:r>
          </w:p>
        </w:tc>
      </w:tr>
      <w:tr w:rsidR="004524F6" w:rsidRPr="00104F4B" w:rsidTr="00FC0A3C">
        <w:trPr>
          <w:trHeight w:val="256"/>
        </w:trPr>
        <w:tc>
          <w:tcPr>
            <w:tcW w:w="218" w:type="pct"/>
            <w:tcBorders>
              <w:top w:val="single" w:sz="4" w:space="0" w:color="auto"/>
              <w:left w:val="single" w:sz="4" w:space="0" w:color="auto"/>
              <w:bottom w:val="single" w:sz="4" w:space="0" w:color="auto"/>
              <w:right w:val="single" w:sz="4" w:space="0" w:color="auto"/>
            </w:tcBorders>
          </w:tcPr>
          <w:p w:rsidR="004524F6" w:rsidRPr="00104F4B" w:rsidRDefault="004524F6" w:rsidP="00FC0A3C">
            <w:pPr>
              <w:rPr>
                <w:rFonts w:cs="Arial"/>
                <w:b/>
                <w:color w:val="000000"/>
                <w:sz w:val="16"/>
                <w:szCs w:val="16"/>
                <w:lang w:eastAsia="es-CO"/>
              </w:rPr>
            </w:pPr>
            <w:r w:rsidRPr="00104F4B">
              <w:rPr>
                <w:rFonts w:cs="Arial"/>
                <w:b/>
                <w:color w:val="000000"/>
                <w:sz w:val="16"/>
                <w:szCs w:val="16"/>
                <w:lang w:eastAsia="es-CO"/>
              </w:rPr>
              <w:t>20</w:t>
            </w:r>
          </w:p>
        </w:tc>
        <w:tc>
          <w:tcPr>
            <w:tcW w:w="478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524F6" w:rsidRPr="00104F4B" w:rsidRDefault="004524F6" w:rsidP="00FC0A3C">
            <w:pPr>
              <w:rPr>
                <w:rFonts w:cs="Arial"/>
                <w:color w:val="000000"/>
                <w:sz w:val="16"/>
                <w:szCs w:val="16"/>
                <w:lang w:eastAsia="es-CO"/>
              </w:rPr>
            </w:pPr>
            <w:r w:rsidRPr="00104F4B">
              <w:rPr>
                <w:rFonts w:cs="Arial"/>
                <w:color w:val="000000"/>
                <w:sz w:val="16"/>
                <w:szCs w:val="16"/>
                <w:lang w:eastAsia="es-CO"/>
              </w:rPr>
              <w:t>Ajustes y - o actualización y - o complementación a los estudios, diseños y  construcción de puente peatonal y adecuación del espacio público asociado en la calle 46 por avenida circunvalar en Bogotá D.C</w:t>
            </w:r>
          </w:p>
        </w:tc>
      </w:tr>
      <w:tr w:rsidR="004524F6" w:rsidRPr="00104F4B" w:rsidTr="00FC0A3C">
        <w:trPr>
          <w:trHeight w:val="178"/>
        </w:trPr>
        <w:tc>
          <w:tcPr>
            <w:tcW w:w="218" w:type="pct"/>
            <w:tcBorders>
              <w:top w:val="single" w:sz="4" w:space="0" w:color="auto"/>
              <w:left w:val="single" w:sz="4" w:space="0" w:color="auto"/>
              <w:bottom w:val="single" w:sz="4" w:space="0" w:color="auto"/>
              <w:right w:val="single" w:sz="4" w:space="0" w:color="auto"/>
            </w:tcBorders>
          </w:tcPr>
          <w:p w:rsidR="004524F6" w:rsidRPr="00104F4B" w:rsidRDefault="004524F6" w:rsidP="00FC0A3C">
            <w:pPr>
              <w:rPr>
                <w:rFonts w:cs="Arial"/>
                <w:b/>
                <w:color w:val="000000"/>
                <w:sz w:val="16"/>
                <w:szCs w:val="16"/>
                <w:lang w:eastAsia="es-CO"/>
              </w:rPr>
            </w:pPr>
            <w:r w:rsidRPr="00104F4B">
              <w:rPr>
                <w:rFonts w:cs="Arial"/>
                <w:b/>
                <w:color w:val="000000"/>
                <w:sz w:val="16"/>
                <w:szCs w:val="16"/>
                <w:lang w:eastAsia="es-CO"/>
              </w:rPr>
              <w:t>21</w:t>
            </w:r>
          </w:p>
        </w:tc>
        <w:tc>
          <w:tcPr>
            <w:tcW w:w="478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524F6" w:rsidRPr="00104F4B" w:rsidRDefault="004524F6" w:rsidP="00FC0A3C">
            <w:pPr>
              <w:rPr>
                <w:rFonts w:cs="Arial"/>
                <w:color w:val="000000"/>
                <w:sz w:val="16"/>
                <w:szCs w:val="16"/>
                <w:lang w:eastAsia="es-CO"/>
              </w:rPr>
            </w:pPr>
            <w:r w:rsidRPr="00104F4B">
              <w:rPr>
                <w:rFonts w:cs="Arial"/>
                <w:color w:val="000000"/>
                <w:sz w:val="16"/>
                <w:szCs w:val="16"/>
                <w:lang w:eastAsia="es-CO"/>
              </w:rPr>
              <w:t>Estudios, diseños y construcción de las obras complementarias para el mejoramiento de la operación de estaciones del sistema Transmilenio – grupo iii, en Bogotá D.C</w:t>
            </w:r>
          </w:p>
        </w:tc>
      </w:tr>
      <w:tr w:rsidR="004524F6" w:rsidRPr="00104F4B" w:rsidTr="00FC0A3C">
        <w:trPr>
          <w:trHeight w:val="127"/>
        </w:trPr>
        <w:tc>
          <w:tcPr>
            <w:tcW w:w="218" w:type="pct"/>
            <w:tcBorders>
              <w:top w:val="single" w:sz="4" w:space="0" w:color="auto"/>
              <w:left w:val="single" w:sz="4" w:space="0" w:color="auto"/>
              <w:bottom w:val="single" w:sz="4" w:space="0" w:color="auto"/>
              <w:right w:val="single" w:sz="4" w:space="0" w:color="auto"/>
            </w:tcBorders>
          </w:tcPr>
          <w:p w:rsidR="004524F6" w:rsidRPr="00104F4B" w:rsidRDefault="004524F6" w:rsidP="00FC0A3C">
            <w:pPr>
              <w:rPr>
                <w:rFonts w:cs="Arial"/>
                <w:b/>
                <w:color w:val="000000"/>
                <w:sz w:val="16"/>
                <w:szCs w:val="16"/>
                <w:lang w:eastAsia="es-CO"/>
              </w:rPr>
            </w:pPr>
            <w:r w:rsidRPr="00104F4B">
              <w:rPr>
                <w:rFonts w:cs="Arial"/>
                <w:b/>
                <w:color w:val="000000"/>
                <w:sz w:val="16"/>
                <w:szCs w:val="16"/>
                <w:lang w:eastAsia="es-CO"/>
              </w:rPr>
              <w:t>22</w:t>
            </w:r>
          </w:p>
        </w:tc>
        <w:tc>
          <w:tcPr>
            <w:tcW w:w="478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524F6" w:rsidRPr="00104F4B" w:rsidRDefault="004524F6" w:rsidP="00FC0A3C">
            <w:pPr>
              <w:rPr>
                <w:rFonts w:cs="Arial"/>
                <w:color w:val="000000"/>
                <w:sz w:val="16"/>
                <w:szCs w:val="16"/>
                <w:lang w:eastAsia="es-CO"/>
              </w:rPr>
            </w:pPr>
            <w:r w:rsidRPr="00104F4B">
              <w:rPr>
                <w:rFonts w:cs="Arial"/>
                <w:color w:val="000000"/>
                <w:sz w:val="16"/>
                <w:szCs w:val="16"/>
                <w:lang w:eastAsia="es-CO"/>
              </w:rPr>
              <w:t>Factibilidad, estudios y diseños de la avenida circunvalar de oriente desde la avenida Villavicencio hasta la avenida los comuneros en Bogotá, D.C.</w:t>
            </w:r>
          </w:p>
        </w:tc>
      </w:tr>
      <w:tr w:rsidR="004524F6" w:rsidRPr="00104F4B" w:rsidTr="00FC0A3C">
        <w:trPr>
          <w:trHeight w:val="250"/>
        </w:trPr>
        <w:tc>
          <w:tcPr>
            <w:tcW w:w="218" w:type="pct"/>
            <w:tcBorders>
              <w:top w:val="single" w:sz="4" w:space="0" w:color="auto"/>
              <w:left w:val="single" w:sz="4" w:space="0" w:color="auto"/>
              <w:bottom w:val="single" w:sz="4" w:space="0" w:color="auto"/>
              <w:right w:val="single" w:sz="4" w:space="0" w:color="auto"/>
            </w:tcBorders>
          </w:tcPr>
          <w:p w:rsidR="004524F6" w:rsidRPr="00104F4B" w:rsidRDefault="004524F6" w:rsidP="00FC0A3C">
            <w:pPr>
              <w:rPr>
                <w:rFonts w:cs="Arial"/>
                <w:b/>
                <w:color w:val="000000"/>
                <w:sz w:val="16"/>
                <w:szCs w:val="16"/>
                <w:lang w:eastAsia="es-CO"/>
              </w:rPr>
            </w:pPr>
            <w:r w:rsidRPr="00104F4B">
              <w:rPr>
                <w:rFonts w:cs="Arial"/>
                <w:b/>
                <w:color w:val="000000"/>
                <w:sz w:val="16"/>
                <w:szCs w:val="16"/>
                <w:lang w:eastAsia="es-CO"/>
              </w:rPr>
              <w:lastRenderedPageBreak/>
              <w:t>23</w:t>
            </w:r>
          </w:p>
        </w:tc>
        <w:tc>
          <w:tcPr>
            <w:tcW w:w="478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524F6" w:rsidRPr="00104F4B" w:rsidRDefault="004524F6" w:rsidP="00FC0A3C">
            <w:pPr>
              <w:rPr>
                <w:rFonts w:cs="Arial"/>
                <w:color w:val="000000"/>
                <w:sz w:val="16"/>
                <w:szCs w:val="16"/>
                <w:lang w:eastAsia="es-CO"/>
              </w:rPr>
            </w:pPr>
            <w:r w:rsidRPr="00104F4B">
              <w:rPr>
                <w:rFonts w:cs="Arial"/>
                <w:color w:val="000000"/>
                <w:sz w:val="16"/>
                <w:szCs w:val="16"/>
                <w:lang w:eastAsia="es-CO"/>
              </w:rPr>
              <w:t>Construcción de la avenida tintal, avenida Alsacia, avenida constitución, avenida bosa y obras complementarias, en Bogotá D.C.</w:t>
            </w:r>
          </w:p>
        </w:tc>
      </w:tr>
      <w:tr w:rsidR="004524F6" w:rsidRPr="00104F4B" w:rsidTr="00FC0A3C">
        <w:trPr>
          <w:trHeight w:val="147"/>
        </w:trPr>
        <w:tc>
          <w:tcPr>
            <w:tcW w:w="218" w:type="pct"/>
            <w:tcBorders>
              <w:top w:val="single" w:sz="4" w:space="0" w:color="auto"/>
              <w:left w:val="single" w:sz="4" w:space="0" w:color="auto"/>
              <w:bottom w:val="single" w:sz="4" w:space="0" w:color="auto"/>
              <w:right w:val="single" w:sz="4" w:space="0" w:color="auto"/>
            </w:tcBorders>
          </w:tcPr>
          <w:p w:rsidR="004524F6" w:rsidRPr="00104F4B" w:rsidRDefault="004524F6" w:rsidP="00FC0A3C">
            <w:pPr>
              <w:rPr>
                <w:rFonts w:cs="Arial"/>
                <w:b/>
                <w:color w:val="000000"/>
                <w:sz w:val="16"/>
                <w:szCs w:val="16"/>
                <w:lang w:eastAsia="es-CO"/>
              </w:rPr>
            </w:pPr>
            <w:r w:rsidRPr="00104F4B">
              <w:rPr>
                <w:rFonts w:cs="Arial"/>
                <w:b/>
                <w:color w:val="000000"/>
                <w:sz w:val="16"/>
                <w:szCs w:val="16"/>
                <w:lang w:eastAsia="es-CO"/>
              </w:rPr>
              <w:t>24</w:t>
            </w:r>
          </w:p>
        </w:tc>
        <w:tc>
          <w:tcPr>
            <w:tcW w:w="478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524F6" w:rsidRPr="00104F4B" w:rsidRDefault="004524F6" w:rsidP="00FC0A3C">
            <w:pPr>
              <w:rPr>
                <w:rFonts w:cs="Arial"/>
                <w:color w:val="000000"/>
                <w:sz w:val="16"/>
                <w:szCs w:val="16"/>
                <w:lang w:eastAsia="es-CO"/>
              </w:rPr>
            </w:pPr>
            <w:r w:rsidRPr="00104F4B">
              <w:rPr>
                <w:rFonts w:cs="Arial"/>
                <w:color w:val="000000"/>
                <w:sz w:val="16"/>
                <w:szCs w:val="16"/>
                <w:lang w:eastAsia="es-CO"/>
              </w:rPr>
              <w:t>Construcción de la intersección a desnivel de la avenida ciudad de cali (ak86) por avenida ferrocarril de occidente (ac22), y obras complementarias en la localidad de Fontibón en Bogotá D.C</w:t>
            </w:r>
          </w:p>
        </w:tc>
      </w:tr>
      <w:tr w:rsidR="004524F6" w:rsidRPr="00104F4B" w:rsidTr="00FC0A3C">
        <w:trPr>
          <w:trHeight w:val="253"/>
        </w:trPr>
        <w:tc>
          <w:tcPr>
            <w:tcW w:w="218" w:type="pct"/>
            <w:tcBorders>
              <w:top w:val="single" w:sz="4" w:space="0" w:color="auto"/>
              <w:left w:val="single" w:sz="4" w:space="0" w:color="auto"/>
              <w:bottom w:val="single" w:sz="4" w:space="0" w:color="auto"/>
              <w:right w:val="single" w:sz="4" w:space="0" w:color="auto"/>
            </w:tcBorders>
          </w:tcPr>
          <w:p w:rsidR="004524F6" w:rsidRPr="00104F4B" w:rsidRDefault="004524F6" w:rsidP="00FC0A3C">
            <w:pPr>
              <w:rPr>
                <w:rFonts w:cs="Arial"/>
                <w:b/>
                <w:color w:val="000000"/>
                <w:sz w:val="16"/>
                <w:szCs w:val="16"/>
                <w:lang w:eastAsia="es-CO"/>
              </w:rPr>
            </w:pPr>
            <w:r w:rsidRPr="00104F4B">
              <w:rPr>
                <w:rFonts w:cs="Arial"/>
                <w:b/>
                <w:color w:val="000000"/>
                <w:sz w:val="16"/>
                <w:szCs w:val="16"/>
                <w:lang w:eastAsia="es-CO"/>
              </w:rPr>
              <w:t>25</w:t>
            </w:r>
          </w:p>
        </w:tc>
        <w:tc>
          <w:tcPr>
            <w:tcW w:w="478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524F6" w:rsidRPr="00104F4B" w:rsidRDefault="004524F6" w:rsidP="00FC0A3C">
            <w:pPr>
              <w:rPr>
                <w:rFonts w:cs="Arial"/>
                <w:color w:val="000000"/>
                <w:sz w:val="16"/>
                <w:szCs w:val="16"/>
                <w:lang w:eastAsia="es-CO"/>
              </w:rPr>
            </w:pPr>
            <w:r w:rsidRPr="00104F4B">
              <w:rPr>
                <w:rFonts w:cs="Arial"/>
                <w:color w:val="000000"/>
                <w:sz w:val="16"/>
                <w:szCs w:val="16"/>
                <w:lang w:eastAsia="es-CO"/>
              </w:rPr>
              <w:t xml:space="preserve">Interventoría para los estudios, diseños y construcción de las obras complementarias para el mejoramiento de la operación de estaciones del sistema Transmilenio – grupo iii, en Bogotá D.C.” </w:t>
            </w:r>
          </w:p>
        </w:tc>
      </w:tr>
      <w:tr w:rsidR="004524F6" w:rsidRPr="00104F4B" w:rsidTr="00FC0A3C">
        <w:trPr>
          <w:trHeight w:val="264"/>
        </w:trPr>
        <w:tc>
          <w:tcPr>
            <w:tcW w:w="218" w:type="pct"/>
            <w:tcBorders>
              <w:top w:val="single" w:sz="4" w:space="0" w:color="auto"/>
              <w:left w:val="single" w:sz="4" w:space="0" w:color="auto"/>
              <w:bottom w:val="single" w:sz="4" w:space="0" w:color="auto"/>
              <w:right w:val="single" w:sz="4" w:space="0" w:color="auto"/>
            </w:tcBorders>
          </w:tcPr>
          <w:p w:rsidR="004524F6" w:rsidRPr="00104F4B" w:rsidRDefault="004524F6" w:rsidP="00FC0A3C">
            <w:pPr>
              <w:rPr>
                <w:rFonts w:cs="Arial"/>
                <w:b/>
                <w:color w:val="000000"/>
                <w:sz w:val="16"/>
                <w:szCs w:val="16"/>
                <w:lang w:eastAsia="es-CO"/>
              </w:rPr>
            </w:pPr>
            <w:r w:rsidRPr="00104F4B">
              <w:rPr>
                <w:rFonts w:cs="Arial"/>
                <w:b/>
                <w:color w:val="000000"/>
                <w:sz w:val="16"/>
                <w:szCs w:val="16"/>
                <w:lang w:eastAsia="es-CO"/>
              </w:rPr>
              <w:t>26</w:t>
            </w:r>
          </w:p>
        </w:tc>
        <w:tc>
          <w:tcPr>
            <w:tcW w:w="478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524F6" w:rsidRPr="00104F4B" w:rsidRDefault="004524F6" w:rsidP="00FC0A3C">
            <w:pPr>
              <w:rPr>
                <w:rFonts w:cs="Arial"/>
                <w:color w:val="000000"/>
                <w:sz w:val="16"/>
                <w:szCs w:val="16"/>
                <w:lang w:eastAsia="es-CO"/>
              </w:rPr>
            </w:pPr>
            <w:r w:rsidRPr="00104F4B">
              <w:rPr>
                <w:rFonts w:cs="Arial"/>
                <w:color w:val="000000"/>
                <w:sz w:val="16"/>
                <w:szCs w:val="16"/>
                <w:lang w:eastAsia="es-CO"/>
              </w:rPr>
              <w:t>Interventoría para ajustes y-o actualización y-o complementación a los estudios, diseños y construcción de puente peatonal y adecuación del espacio público asociado en la calle 26a por avenida circunvalar en Bogotá D.C.</w:t>
            </w:r>
          </w:p>
        </w:tc>
      </w:tr>
      <w:tr w:rsidR="004524F6" w:rsidRPr="00104F4B" w:rsidTr="00FC0A3C">
        <w:trPr>
          <w:trHeight w:val="268"/>
        </w:trPr>
        <w:tc>
          <w:tcPr>
            <w:tcW w:w="218" w:type="pct"/>
            <w:tcBorders>
              <w:top w:val="single" w:sz="4" w:space="0" w:color="auto"/>
              <w:left w:val="single" w:sz="4" w:space="0" w:color="auto"/>
              <w:bottom w:val="single" w:sz="4" w:space="0" w:color="auto"/>
              <w:right w:val="single" w:sz="4" w:space="0" w:color="auto"/>
            </w:tcBorders>
          </w:tcPr>
          <w:p w:rsidR="004524F6" w:rsidRPr="00104F4B" w:rsidRDefault="004524F6" w:rsidP="00FC0A3C">
            <w:pPr>
              <w:rPr>
                <w:rFonts w:cs="Arial"/>
                <w:b/>
                <w:color w:val="000000"/>
                <w:sz w:val="16"/>
                <w:szCs w:val="16"/>
                <w:lang w:eastAsia="es-CO"/>
              </w:rPr>
            </w:pPr>
            <w:r w:rsidRPr="00104F4B">
              <w:rPr>
                <w:rFonts w:cs="Arial"/>
                <w:b/>
                <w:color w:val="000000"/>
                <w:sz w:val="16"/>
                <w:szCs w:val="16"/>
                <w:lang w:eastAsia="es-CO"/>
              </w:rPr>
              <w:t>27</w:t>
            </w:r>
          </w:p>
        </w:tc>
        <w:tc>
          <w:tcPr>
            <w:tcW w:w="478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524F6" w:rsidRPr="00104F4B" w:rsidRDefault="004524F6" w:rsidP="00FC0A3C">
            <w:pPr>
              <w:rPr>
                <w:rFonts w:cs="Arial"/>
                <w:color w:val="000000"/>
                <w:sz w:val="16"/>
                <w:szCs w:val="16"/>
                <w:lang w:eastAsia="es-CO"/>
              </w:rPr>
            </w:pPr>
            <w:r w:rsidRPr="00104F4B">
              <w:rPr>
                <w:rFonts w:cs="Arial"/>
                <w:color w:val="000000"/>
                <w:sz w:val="16"/>
                <w:szCs w:val="16"/>
                <w:lang w:eastAsia="es-CO"/>
              </w:rPr>
              <w:t xml:space="preserve">Interventoría para ajustes y-o actualización y-o complementación a los estudios, diseños y construcción de puente peatonal y adecuación del espacio público asociado en la calle 46 por avenida circunvalar en Bogotá D.C. </w:t>
            </w:r>
          </w:p>
        </w:tc>
      </w:tr>
      <w:tr w:rsidR="004524F6" w:rsidRPr="00104F4B" w:rsidTr="00FC0A3C">
        <w:trPr>
          <w:trHeight w:val="188"/>
        </w:trPr>
        <w:tc>
          <w:tcPr>
            <w:tcW w:w="218" w:type="pct"/>
            <w:tcBorders>
              <w:top w:val="single" w:sz="4" w:space="0" w:color="auto"/>
              <w:left w:val="single" w:sz="4" w:space="0" w:color="auto"/>
              <w:bottom w:val="single" w:sz="4" w:space="0" w:color="auto"/>
              <w:right w:val="single" w:sz="4" w:space="0" w:color="auto"/>
            </w:tcBorders>
          </w:tcPr>
          <w:p w:rsidR="004524F6" w:rsidRPr="00104F4B" w:rsidRDefault="004524F6" w:rsidP="00FC0A3C">
            <w:pPr>
              <w:rPr>
                <w:rFonts w:cs="Arial"/>
                <w:b/>
                <w:color w:val="000000"/>
                <w:sz w:val="16"/>
                <w:szCs w:val="16"/>
                <w:lang w:eastAsia="es-CO"/>
              </w:rPr>
            </w:pPr>
            <w:r w:rsidRPr="00104F4B">
              <w:rPr>
                <w:rFonts w:cs="Arial"/>
                <w:b/>
                <w:color w:val="000000"/>
                <w:sz w:val="16"/>
                <w:szCs w:val="16"/>
                <w:lang w:eastAsia="es-CO"/>
              </w:rPr>
              <w:t>28</w:t>
            </w:r>
          </w:p>
        </w:tc>
        <w:tc>
          <w:tcPr>
            <w:tcW w:w="478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524F6" w:rsidRPr="00104F4B" w:rsidRDefault="004524F6" w:rsidP="00FC0A3C">
            <w:pPr>
              <w:rPr>
                <w:rFonts w:cs="Arial"/>
                <w:color w:val="000000"/>
                <w:sz w:val="16"/>
                <w:szCs w:val="16"/>
                <w:lang w:eastAsia="es-CO"/>
              </w:rPr>
            </w:pPr>
            <w:r w:rsidRPr="00104F4B">
              <w:rPr>
                <w:rFonts w:cs="Arial"/>
                <w:color w:val="000000"/>
                <w:sz w:val="16"/>
                <w:szCs w:val="16"/>
                <w:lang w:eastAsia="es-CO"/>
              </w:rPr>
              <w:t xml:space="preserve">Construcción de la avenida el rincón desde la avenida Boyacá hasta la carrera 91 y de la intersección avenida el rincón por avenida Boyacá y obras complementarias, en Bogotá D.C. </w:t>
            </w:r>
          </w:p>
        </w:tc>
      </w:tr>
      <w:tr w:rsidR="004524F6" w:rsidRPr="00104F4B" w:rsidTr="00FC0A3C">
        <w:trPr>
          <w:trHeight w:val="268"/>
        </w:trPr>
        <w:tc>
          <w:tcPr>
            <w:tcW w:w="218" w:type="pct"/>
            <w:tcBorders>
              <w:top w:val="single" w:sz="4" w:space="0" w:color="auto"/>
              <w:left w:val="single" w:sz="4" w:space="0" w:color="auto"/>
              <w:bottom w:val="single" w:sz="4" w:space="0" w:color="auto"/>
              <w:right w:val="single" w:sz="4" w:space="0" w:color="auto"/>
            </w:tcBorders>
          </w:tcPr>
          <w:p w:rsidR="004524F6" w:rsidRPr="00104F4B" w:rsidRDefault="004524F6" w:rsidP="00FC0A3C">
            <w:pPr>
              <w:rPr>
                <w:rFonts w:cs="Arial"/>
                <w:b/>
                <w:color w:val="000000"/>
                <w:sz w:val="16"/>
                <w:szCs w:val="16"/>
                <w:lang w:eastAsia="es-CO"/>
              </w:rPr>
            </w:pPr>
          </w:p>
        </w:tc>
        <w:tc>
          <w:tcPr>
            <w:tcW w:w="478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524F6" w:rsidRPr="00104F4B" w:rsidRDefault="004524F6" w:rsidP="00FC0A3C">
            <w:pPr>
              <w:rPr>
                <w:rFonts w:cs="Arial"/>
                <w:color w:val="000000"/>
                <w:sz w:val="16"/>
                <w:szCs w:val="16"/>
                <w:lang w:eastAsia="es-CO"/>
              </w:rPr>
            </w:pPr>
            <w:r w:rsidRPr="00104F4B">
              <w:rPr>
                <w:rFonts w:cs="Arial"/>
                <w:color w:val="000000"/>
                <w:sz w:val="16"/>
                <w:szCs w:val="16"/>
                <w:lang w:eastAsia="es-CO"/>
              </w:rPr>
              <w:t xml:space="preserve">Interventoría para la construcción de la intersección a desnivel de la avenida ciudad de cali (ak86) por avenida ferrocarril de occidente (ac22), y obras complementarias en la localidad de Fontibón en Bogotá D.C </w:t>
            </w:r>
          </w:p>
        </w:tc>
      </w:tr>
      <w:tr w:rsidR="004524F6" w:rsidRPr="00104F4B" w:rsidTr="00FC0A3C">
        <w:trPr>
          <w:trHeight w:val="195"/>
        </w:trPr>
        <w:tc>
          <w:tcPr>
            <w:tcW w:w="218" w:type="pct"/>
            <w:tcBorders>
              <w:top w:val="single" w:sz="4" w:space="0" w:color="auto"/>
              <w:left w:val="single" w:sz="4" w:space="0" w:color="auto"/>
              <w:bottom w:val="single" w:sz="4" w:space="0" w:color="auto"/>
              <w:right w:val="single" w:sz="4" w:space="0" w:color="auto"/>
            </w:tcBorders>
          </w:tcPr>
          <w:p w:rsidR="004524F6" w:rsidRPr="00104F4B" w:rsidRDefault="004524F6" w:rsidP="00FC0A3C">
            <w:pPr>
              <w:rPr>
                <w:rFonts w:cs="Arial"/>
                <w:b/>
                <w:color w:val="000000"/>
                <w:sz w:val="16"/>
                <w:szCs w:val="16"/>
                <w:lang w:eastAsia="es-CO"/>
              </w:rPr>
            </w:pPr>
            <w:r w:rsidRPr="00104F4B">
              <w:rPr>
                <w:rFonts w:cs="Arial"/>
                <w:b/>
                <w:color w:val="000000"/>
                <w:sz w:val="16"/>
                <w:szCs w:val="16"/>
                <w:lang w:eastAsia="es-CO"/>
              </w:rPr>
              <w:t>29</w:t>
            </w:r>
          </w:p>
        </w:tc>
        <w:tc>
          <w:tcPr>
            <w:tcW w:w="478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524F6" w:rsidRPr="00104F4B" w:rsidRDefault="004524F6" w:rsidP="00FC0A3C">
            <w:pPr>
              <w:rPr>
                <w:rFonts w:cs="Arial"/>
                <w:color w:val="000000"/>
                <w:sz w:val="16"/>
                <w:szCs w:val="16"/>
                <w:lang w:eastAsia="es-CO"/>
              </w:rPr>
            </w:pPr>
            <w:r w:rsidRPr="00104F4B">
              <w:rPr>
                <w:rFonts w:cs="Arial"/>
                <w:color w:val="000000"/>
                <w:sz w:val="16"/>
                <w:szCs w:val="16"/>
                <w:lang w:eastAsia="es-CO"/>
              </w:rPr>
              <w:t xml:space="preserve">Construcción para la adecuación al sistema Transmilenio de la carrera 7 desde la calle 32 hasta la calle 200, ramal de la calle 72 entre carrera 7 y avenida caracas, patio portal, conexiones operacionales y demás obras complementarias, en Bogotá D.C. </w:t>
            </w:r>
          </w:p>
        </w:tc>
      </w:tr>
      <w:tr w:rsidR="004524F6" w:rsidRPr="00104F4B" w:rsidTr="00FC0A3C">
        <w:trPr>
          <w:trHeight w:val="176"/>
        </w:trPr>
        <w:tc>
          <w:tcPr>
            <w:tcW w:w="218" w:type="pct"/>
            <w:tcBorders>
              <w:top w:val="single" w:sz="4" w:space="0" w:color="auto"/>
              <w:left w:val="single" w:sz="4" w:space="0" w:color="auto"/>
              <w:bottom w:val="single" w:sz="4" w:space="0" w:color="auto"/>
              <w:right w:val="single" w:sz="4" w:space="0" w:color="auto"/>
            </w:tcBorders>
          </w:tcPr>
          <w:p w:rsidR="004524F6" w:rsidRPr="00104F4B" w:rsidRDefault="004524F6" w:rsidP="00FC0A3C">
            <w:pPr>
              <w:rPr>
                <w:rFonts w:cs="Arial"/>
                <w:b/>
                <w:color w:val="000000"/>
                <w:sz w:val="16"/>
                <w:szCs w:val="16"/>
                <w:lang w:eastAsia="es-CO"/>
              </w:rPr>
            </w:pPr>
            <w:r w:rsidRPr="00104F4B">
              <w:rPr>
                <w:rFonts w:cs="Arial"/>
                <w:b/>
                <w:color w:val="000000"/>
                <w:sz w:val="16"/>
                <w:szCs w:val="16"/>
                <w:lang w:eastAsia="es-CO"/>
              </w:rPr>
              <w:t>30</w:t>
            </w:r>
          </w:p>
        </w:tc>
        <w:tc>
          <w:tcPr>
            <w:tcW w:w="478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524F6" w:rsidRPr="00104F4B" w:rsidRDefault="004524F6" w:rsidP="00FC0A3C">
            <w:pPr>
              <w:rPr>
                <w:rFonts w:cs="Arial"/>
                <w:color w:val="000000"/>
                <w:sz w:val="16"/>
                <w:szCs w:val="16"/>
                <w:lang w:eastAsia="es-CO"/>
              </w:rPr>
            </w:pPr>
            <w:r w:rsidRPr="00104F4B">
              <w:rPr>
                <w:rFonts w:cs="Arial"/>
                <w:color w:val="000000"/>
                <w:sz w:val="16"/>
                <w:szCs w:val="16"/>
                <w:lang w:eastAsia="es-CO"/>
              </w:rPr>
              <w:t>Estudios,  Diseños  y Construcción  de  Calles  Comerciales a Cielo  Abierto,  en  las Localidades de la Ciudad de Bogotá, D.C.</w:t>
            </w:r>
          </w:p>
        </w:tc>
      </w:tr>
      <w:tr w:rsidR="004524F6" w:rsidRPr="00104F4B" w:rsidTr="00FC0A3C">
        <w:trPr>
          <w:trHeight w:val="189"/>
        </w:trPr>
        <w:tc>
          <w:tcPr>
            <w:tcW w:w="218" w:type="pct"/>
            <w:tcBorders>
              <w:top w:val="single" w:sz="4" w:space="0" w:color="auto"/>
              <w:left w:val="single" w:sz="4" w:space="0" w:color="auto"/>
              <w:bottom w:val="single" w:sz="4" w:space="0" w:color="auto"/>
              <w:right w:val="single" w:sz="4" w:space="0" w:color="auto"/>
            </w:tcBorders>
          </w:tcPr>
          <w:p w:rsidR="004524F6" w:rsidRPr="00104F4B" w:rsidRDefault="004524F6" w:rsidP="00FC0A3C">
            <w:pPr>
              <w:rPr>
                <w:rFonts w:cs="Arial"/>
                <w:b/>
                <w:color w:val="000000"/>
                <w:sz w:val="16"/>
                <w:szCs w:val="16"/>
                <w:lang w:eastAsia="es-CO"/>
              </w:rPr>
            </w:pPr>
            <w:r w:rsidRPr="00104F4B">
              <w:rPr>
                <w:rFonts w:cs="Arial"/>
                <w:b/>
                <w:color w:val="000000"/>
                <w:sz w:val="16"/>
                <w:szCs w:val="16"/>
                <w:lang w:eastAsia="es-CO"/>
              </w:rPr>
              <w:t>31</w:t>
            </w:r>
          </w:p>
        </w:tc>
        <w:tc>
          <w:tcPr>
            <w:tcW w:w="478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524F6" w:rsidRPr="00104F4B" w:rsidRDefault="004524F6" w:rsidP="00FC0A3C">
            <w:pPr>
              <w:rPr>
                <w:rFonts w:cs="Arial"/>
                <w:color w:val="000000"/>
                <w:sz w:val="16"/>
                <w:szCs w:val="16"/>
                <w:lang w:eastAsia="es-CO"/>
              </w:rPr>
            </w:pPr>
            <w:r w:rsidRPr="00104F4B">
              <w:rPr>
                <w:rFonts w:cs="Arial"/>
                <w:color w:val="000000"/>
                <w:sz w:val="16"/>
                <w:szCs w:val="16"/>
                <w:lang w:eastAsia="es-CO"/>
              </w:rPr>
              <w:t>Interventoría Técnica,  Administrativa,  Legal,  Financiera,  Social,  Ambiental  y S&amp;SO  para  Adelantar  los  Estudios,  Diseños  y  Construcción  de Calles  Comerciales  A  Cielo  Abierto,  en  las  Localidades  de  la Ciudad de Bogotá, D.C.</w:t>
            </w:r>
          </w:p>
        </w:tc>
      </w:tr>
      <w:tr w:rsidR="004524F6" w:rsidRPr="00104F4B" w:rsidTr="00FC0A3C">
        <w:trPr>
          <w:trHeight w:val="268"/>
        </w:trPr>
        <w:tc>
          <w:tcPr>
            <w:tcW w:w="218" w:type="pct"/>
            <w:tcBorders>
              <w:top w:val="single" w:sz="4" w:space="0" w:color="auto"/>
              <w:left w:val="single" w:sz="4" w:space="0" w:color="auto"/>
              <w:bottom w:val="single" w:sz="4" w:space="0" w:color="auto"/>
              <w:right w:val="single" w:sz="4" w:space="0" w:color="auto"/>
            </w:tcBorders>
          </w:tcPr>
          <w:p w:rsidR="004524F6" w:rsidRPr="00104F4B" w:rsidRDefault="004524F6" w:rsidP="00FC0A3C">
            <w:pPr>
              <w:rPr>
                <w:rFonts w:cs="Arial"/>
                <w:b/>
                <w:color w:val="000000"/>
                <w:sz w:val="16"/>
                <w:szCs w:val="16"/>
                <w:lang w:eastAsia="es-CO"/>
              </w:rPr>
            </w:pPr>
            <w:r w:rsidRPr="00104F4B">
              <w:rPr>
                <w:rFonts w:cs="Arial"/>
                <w:b/>
                <w:color w:val="000000"/>
                <w:sz w:val="16"/>
                <w:szCs w:val="16"/>
                <w:lang w:eastAsia="es-CO"/>
              </w:rPr>
              <w:t>32</w:t>
            </w:r>
          </w:p>
        </w:tc>
        <w:tc>
          <w:tcPr>
            <w:tcW w:w="478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524F6" w:rsidRPr="00104F4B" w:rsidRDefault="004524F6" w:rsidP="00FC0A3C">
            <w:pPr>
              <w:rPr>
                <w:rFonts w:cs="Arial"/>
                <w:color w:val="000000"/>
                <w:sz w:val="16"/>
                <w:szCs w:val="16"/>
                <w:lang w:eastAsia="es-CO"/>
              </w:rPr>
            </w:pPr>
            <w:r w:rsidRPr="00104F4B">
              <w:rPr>
                <w:rFonts w:cs="Arial"/>
                <w:color w:val="000000"/>
                <w:sz w:val="16"/>
                <w:szCs w:val="16"/>
                <w:lang w:eastAsia="es-CO"/>
              </w:rPr>
              <w:t>Construcción de la ampliación del portal tunal del sistema Transmilenio en la ciudad de Bogotá D.C.</w:t>
            </w:r>
          </w:p>
        </w:tc>
      </w:tr>
      <w:tr w:rsidR="004524F6" w:rsidRPr="00104F4B" w:rsidTr="00FC0A3C">
        <w:trPr>
          <w:trHeight w:val="276"/>
        </w:trPr>
        <w:tc>
          <w:tcPr>
            <w:tcW w:w="218" w:type="pct"/>
            <w:tcBorders>
              <w:top w:val="single" w:sz="4" w:space="0" w:color="auto"/>
              <w:left w:val="single" w:sz="4" w:space="0" w:color="auto"/>
              <w:bottom w:val="single" w:sz="4" w:space="0" w:color="auto"/>
              <w:right w:val="single" w:sz="4" w:space="0" w:color="auto"/>
            </w:tcBorders>
          </w:tcPr>
          <w:p w:rsidR="004524F6" w:rsidRPr="00104F4B" w:rsidRDefault="004524F6" w:rsidP="00FC0A3C">
            <w:pPr>
              <w:rPr>
                <w:rFonts w:cs="Arial"/>
                <w:b/>
                <w:color w:val="000000"/>
                <w:sz w:val="16"/>
                <w:szCs w:val="16"/>
                <w:lang w:eastAsia="es-CO"/>
              </w:rPr>
            </w:pPr>
            <w:r w:rsidRPr="00104F4B">
              <w:rPr>
                <w:rFonts w:cs="Arial"/>
                <w:b/>
                <w:color w:val="000000"/>
                <w:sz w:val="16"/>
                <w:szCs w:val="16"/>
                <w:lang w:eastAsia="es-CO"/>
              </w:rPr>
              <w:t>33</w:t>
            </w:r>
          </w:p>
        </w:tc>
        <w:tc>
          <w:tcPr>
            <w:tcW w:w="478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524F6" w:rsidRPr="00104F4B" w:rsidRDefault="004524F6" w:rsidP="00FC0A3C">
            <w:pPr>
              <w:rPr>
                <w:rFonts w:cs="Arial"/>
                <w:color w:val="000000"/>
                <w:sz w:val="16"/>
                <w:szCs w:val="16"/>
                <w:lang w:eastAsia="es-CO"/>
              </w:rPr>
            </w:pPr>
            <w:r w:rsidRPr="00104F4B">
              <w:rPr>
                <w:rFonts w:cs="Arial"/>
                <w:color w:val="000000"/>
                <w:sz w:val="16"/>
                <w:szCs w:val="16"/>
                <w:lang w:eastAsia="es-CO"/>
              </w:rPr>
              <w:t>Interventoría para la construcción de la ampliación del portal tunal del sistema Transmilenio, en la ciudad de Bogotá, D.C.</w:t>
            </w:r>
          </w:p>
        </w:tc>
      </w:tr>
      <w:tr w:rsidR="004524F6" w:rsidRPr="00104F4B" w:rsidTr="00FC0A3C">
        <w:trPr>
          <w:trHeight w:val="232"/>
        </w:trPr>
        <w:tc>
          <w:tcPr>
            <w:tcW w:w="218" w:type="pct"/>
            <w:tcBorders>
              <w:top w:val="single" w:sz="4" w:space="0" w:color="auto"/>
              <w:left w:val="single" w:sz="4" w:space="0" w:color="auto"/>
              <w:bottom w:val="single" w:sz="4" w:space="0" w:color="auto"/>
              <w:right w:val="single" w:sz="4" w:space="0" w:color="auto"/>
            </w:tcBorders>
          </w:tcPr>
          <w:p w:rsidR="004524F6" w:rsidRPr="00104F4B" w:rsidRDefault="004524F6" w:rsidP="00FC0A3C">
            <w:pPr>
              <w:rPr>
                <w:rFonts w:cs="Arial"/>
                <w:b/>
                <w:color w:val="000000"/>
                <w:sz w:val="16"/>
                <w:szCs w:val="16"/>
                <w:lang w:eastAsia="es-CO"/>
              </w:rPr>
            </w:pPr>
            <w:r w:rsidRPr="00104F4B">
              <w:rPr>
                <w:rFonts w:cs="Arial"/>
                <w:b/>
                <w:color w:val="000000"/>
                <w:sz w:val="16"/>
                <w:szCs w:val="16"/>
                <w:lang w:eastAsia="es-CO"/>
              </w:rPr>
              <w:t>34</w:t>
            </w:r>
          </w:p>
        </w:tc>
        <w:tc>
          <w:tcPr>
            <w:tcW w:w="478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524F6" w:rsidRPr="00104F4B" w:rsidRDefault="004524F6" w:rsidP="00FC0A3C">
            <w:pPr>
              <w:rPr>
                <w:rFonts w:cs="Arial"/>
                <w:color w:val="000000"/>
                <w:sz w:val="16"/>
                <w:szCs w:val="16"/>
                <w:lang w:eastAsia="es-CO"/>
              </w:rPr>
            </w:pPr>
            <w:r w:rsidRPr="00104F4B">
              <w:rPr>
                <w:rFonts w:cs="Arial"/>
                <w:color w:val="000000"/>
                <w:sz w:val="16"/>
                <w:szCs w:val="16"/>
                <w:lang w:eastAsia="es-CO"/>
              </w:rPr>
              <w:t xml:space="preserve">Interventoría para la construcción de la avenida tintal, avenida alsacia, avenida constitución, avenida bosa y obras complementarias, en Bogotá D.C. </w:t>
            </w:r>
          </w:p>
        </w:tc>
      </w:tr>
      <w:tr w:rsidR="004524F6" w:rsidRPr="00104F4B" w:rsidTr="00FC0A3C">
        <w:trPr>
          <w:trHeight w:val="248"/>
        </w:trPr>
        <w:tc>
          <w:tcPr>
            <w:tcW w:w="218" w:type="pct"/>
            <w:tcBorders>
              <w:top w:val="single" w:sz="4" w:space="0" w:color="auto"/>
              <w:left w:val="single" w:sz="4" w:space="0" w:color="auto"/>
              <w:bottom w:val="single" w:sz="4" w:space="0" w:color="auto"/>
              <w:right w:val="single" w:sz="4" w:space="0" w:color="auto"/>
            </w:tcBorders>
          </w:tcPr>
          <w:p w:rsidR="004524F6" w:rsidRPr="00104F4B" w:rsidRDefault="004524F6" w:rsidP="00FC0A3C">
            <w:pPr>
              <w:rPr>
                <w:rFonts w:cs="Arial"/>
                <w:b/>
                <w:color w:val="000000"/>
                <w:sz w:val="16"/>
                <w:szCs w:val="16"/>
                <w:lang w:eastAsia="es-CO"/>
              </w:rPr>
            </w:pPr>
            <w:r w:rsidRPr="00104F4B">
              <w:rPr>
                <w:rFonts w:cs="Arial"/>
                <w:b/>
                <w:color w:val="000000"/>
                <w:sz w:val="16"/>
                <w:szCs w:val="16"/>
                <w:lang w:eastAsia="es-CO"/>
              </w:rPr>
              <w:t>35</w:t>
            </w:r>
          </w:p>
        </w:tc>
        <w:tc>
          <w:tcPr>
            <w:tcW w:w="478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524F6" w:rsidRPr="00104F4B" w:rsidRDefault="004524F6" w:rsidP="00FC0A3C">
            <w:pPr>
              <w:rPr>
                <w:rFonts w:cs="Arial"/>
                <w:color w:val="000000"/>
                <w:sz w:val="16"/>
                <w:szCs w:val="16"/>
                <w:lang w:eastAsia="es-CO"/>
              </w:rPr>
            </w:pPr>
            <w:r w:rsidRPr="00104F4B">
              <w:rPr>
                <w:rFonts w:cs="Arial"/>
                <w:color w:val="000000"/>
                <w:sz w:val="16"/>
                <w:szCs w:val="16"/>
                <w:lang w:eastAsia="es-CO"/>
              </w:rPr>
              <w:t xml:space="preserve">Interventoría para la construcción de la avenida el rincón desde la avenida Boyacá hasta la carrera 91 y de la intersección avenida el rincón por avenida Boyacá y obras complementarias, en Bogotá D.C. </w:t>
            </w:r>
          </w:p>
        </w:tc>
      </w:tr>
      <w:tr w:rsidR="004524F6" w:rsidRPr="00104F4B" w:rsidTr="00FC0A3C">
        <w:trPr>
          <w:trHeight w:val="240"/>
        </w:trPr>
        <w:tc>
          <w:tcPr>
            <w:tcW w:w="218" w:type="pct"/>
            <w:tcBorders>
              <w:top w:val="single" w:sz="4" w:space="0" w:color="auto"/>
              <w:left w:val="single" w:sz="4" w:space="0" w:color="auto"/>
              <w:bottom w:val="single" w:sz="4" w:space="0" w:color="auto"/>
              <w:right w:val="single" w:sz="4" w:space="0" w:color="auto"/>
            </w:tcBorders>
          </w:tcPr>
          <w:p w:rsidR="004524F6" w:rsidRPr="00104F4B" w:rsidRDefault="004524F6" w:rsidP="00FC0A3C">
            <w:pPr>
              <w:rPr>
                <w:rFonts w:cs="Arial"/>
                <w:b/>
                <w:color w:val="000000"/>
                <w:sz w:val="16"/>
                <w:szCs w:val="16"/>
                <w:lang w:eastAsia="es-CO"/>
              </w:rPr>
            </w:pPr>
            <w:r w:rsidRPr="00104F4B">
              <w:rPr>
                <w:rFonts w:cs="Arial"/>
                <w:b/>
                <w:color w:val="000000"/>
                <w:sz w:val="16"/>
                <w:szCs w:val="16"/>
                <w:lang w:eastAsia="es-CO"/>
              </w:rPr>
              <w:t>36</w:t>
            </w:r>
          </w:p>
        </w:tc>
        <w:tc>
          <w:tcPr>
            <w:tcW w:w="478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524F6" w:rsidRPr="00104F4B" w:rsidRDefault="004524F6" w:rsidP="00FC0A3C">
            <w:pPr>
              <w:rPr>
                <w:rFonts w:cs="Arial"/>
                <w:color w:val="000000"/>
                <w:sz w:val="16"/>
                <w:szCs w:val="16"/>
                <w:lang w:eastAsia="es-CO"/>
              </w:rPr>
            </w:pPr>
            <w:r w:rsidRPr="00104F4B">
              <w:rPr>
                <w:rFonts w:cs="Arial"/>
                <w:color w:val="000000"/>
                <w:sz w:val="16"/>
                <w:szCs w:val="16"/>
                <w:lang w:eastAsia="es-CO"/>
              </w:rPr>
              <w:t>Construcción de la ampliación de la zona de estacionamiento y mantenimiento en el patio portal américas y, obras complementarias para el correcto funcionamiento y operación del sistema Transmilenio en Bogotá D.C</w:t>
            </w:r>
          </w:p>
        </w:tc>
      </w:tr>
      <w:tr w:rsidR="004524F6" w:rsidRPr="00104F4B" w:rsidTr="00FC0A3C">
        <w:trPr>
          <w:trHeight w:val="203"/>
        </w:trPr>
        <w:tc>
          <w:tcPr>
            <w:tcW w:w="218" w:type="pct"/>
            <w:tcBorders>
              <w:top w:val="single" w:sz="4" w:space="0" w:color="auto"/>
              <w:left w:val="single" w:sz="4" w:space="0" w:color="auto"/>
              <w:bottom w:val="single" w:sz="4" w:space="0" w:color="auto"/>
              <w:right w:val="single" w:sz="4" w:space="0" w:color="auto"/>
            </w:tcBorders>
          </w:tcPr>
          <w:p w:rsidR="004524F6" w:rsidRPr="00104F4B" w:rsidRDefault="004524F6" w:rsidP="00FC0A3C">
            <w:pPr>
              <w:rPr>
                <w:rFonts w:cs="Arial"/>
                <w:b/>
                <w:color w:val="000000"/>
                <w:sz w:val="16"/>
                <w:szCs w:val="16"/>
                <w:lang w:eastAsia="es-CO"/>
              </w:rPr>
            </w:pPr>
            <w:r w:rsidRPr="00104F4B">
              <w:rPr>
                <w:rFonts w:cs="Arial"/>
                <w:b/>
                <w:color w:val="000000"/>
                <w:sz w:val="16"/>
                <w:szCs w:val="16"/>
                <w:lang w:eastAsia="es-CO"/>
              </w:rPr>
              <w:t>37</w:t>
            </w:r>
          </w:p>
        </w:tc>
        <w:tc>
          <w:tcPr>
            <w:tcW w:w="478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524F6" w:rsidRPr="00104F4B" w:rsidRDefault="004524F6" w:rsidP="00FC0A3C">
            <w:pPr>
              <w:rPr>
                <w:rFonts w:cs="Arial"/>
                <w:color w:val="000000"/>
                <w:sz w:val="16"/>
                <w:szCs w:val="16"/>
                <w:lang w:eastAsia="es-CO"/>
              </w:rPr>
            </w:pPr>
            <w:r w:rsidRPr="00104F4B">
              <w:rPr>
                <w:rFonts w:cs="Arial"/>
                <w:color w:val="000000"/>
                <w:sz w:val="16"/>
                <w:szCs w:val="16"/>
                <w:lang w:eastAsia="es-CO"/>
              </w:rPr>
              <w:t>Interventoría para la construcción de la ampliación de la zona de estacionamiento y mantenimiento en el patio portal américas y, obras complementarias para el correcto funcionamiento y operación del sistema Transmilenio en Bogotá D.C.</w:t>
            </w:r>
          </w:p>
        </w:tc>
      </w:tr>
      <w:tr w:rsidR="004524F6" w:rsidRPr="00104F4B" w:rsidTr="00FC0A3C">
        <w:trPr>
          <w:trHeight w:val="195"/>
        </w:trPr>
        <w:tc>
          <w:tcPr>
            <w:tcW w:w="218" w:type="pct"/>
            <w:tcBorders>
              <w:top w:val="single" w:sz="4" w:space="0" w:color="auto"/>
              <w:left w:val="single" w:sz="4" w:space="0" w:color="auto"/>
              <w:bottom w:val="single" w:sz="4" w:space="0" w:color="auto"/>
              <w:right w:val="single" w:sz="4" w:space="0" w:color="auto"/>
            </w:tcBorders>
          </w:tcPr>
          <w:p w:rsidR="004524F6" w:rsidRPr="00104F4B" w:rsidRDefault="004524F6" w:rsidP="00FC0A3C">
            <w:pPr>
              <w:rPr>
                <w:rFonts w:cs="Arial"/>
                <w:b/>
                <w:color w:val="000000"/>
                <w:sz w:val="16"/>
                <w:szCs w:val="16"/>
                <w:lang w:eastAsia="es-CO"/>
              </w:rPr>
            </w:pPr>
            <w:r w:rsidRPr="00104F4B">
              <w:rPr>
                <w:rFonts w:cs="Arial"/>
                <w:b/>
                <w:color w:val="000000"/>
                <w:sz w:val="16"/>
                <w:szCs w:val="16"/>
                <w:lang w:eastAsia="es-CO"/>
              </w:rPr>
              <w:t>38</w:t>
            </w:r>
          </w:p>
        </w:tc>
        <w:tc>
          <w:tcPr>
            <w:tcW w:w="478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524F6" w:rsidRPr="00104F4B" w:rsidRDefault="004524F6" w:rsidP="00FC0A3C">
            <w:pPr>
              <w:rPr>
                <w:rFonts w:cs="Arial"/>
                <w:color w:val="000000"/>
                <w:sz w:val="16"/>
                <w:szCs w:val="16"/>
                <w:lang w:eastAsia="es-CO"/>
              </w:rPr>
            </w:pPr>
            <w:r w:rsidRPr="00104F4B">
              <w:rPr>
                <w:rFonts w:cs="Arial"/>
                <w:color w:val="000000"/>
                <w:sz w:val="16"/>
                <w:szCs w:val="16"/>
                <w:lang w:eastAsia="es-CO"/>
              </w:rPr>
              <w:t>Construcción de la ampliación del portal sur del sistema Transmilenio, en Bogotá, D.C.</w:t>
            </w:r>
          </w:p>
        </w:tc>
      </w:tr>
      <w:tr w:rsidR="004524F6" w:rsidRPr="00104F4B" w:rsidTr="00FC0A3C">
        <w:trPr>
          <w:trHeight w:val="195"/>
        </w:trPr>
        <w:tc>
          <w:tcPr>
            <w:tcW w:w="218" w:type="pct"/>
            <w:tcBorders>
              <w:top w:val="single" w:sz="4" w:space="0" w:color="auto"/>
              <w:left w:val="single" w:sz="4" w:space="0" w:color="auto"/>
              <w:bottom w:val="single" w:sz="4" w:space="0" w:color="auto"/>
              <w:right w:val="single" w:sz="4" w:space="0" w:color="auto"/>
            </w:tcBorders>
          </w:tcPr>
          <w:p w:rsidR="004524F6" w:rsidRPr="00104F4B" w:rsidRDefault="004524F6" w:rsidP="00FC0A3C">
            <w:pPr>
              <w:rPr>
                <w:rFonts w:cs="Arial"/>
                <w:b/>
                <w:color w:val="000000"/>
                <w:sz w:val="16"/>
                <w:szCs w:val="16"/>
                <w:lang w:eastAsia="es-CO"/>
              </w:rPr>
            </w:pPr>
            <w:r w:rsidRPr="00104F4B">
              <w:rPr>
                <w:rFonts w:cs="Arial"/>
                <w:b/>
                <w:color w:val="000000"/>
                <w:sz w:val="16"/>
                <w:szCs w:val="16"/>
                <w:lang w:eastAsia="es-CO"/>
              </w:rPr>
              <w:t>39</w:t>
            </w:r>
          </w:p>
        </w:tc>
        <w:tc>
          <w:tcPr>
            <w:tcW w:w="478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524F6" w:rsidRPr="00104F4B" w:rsidRDefault="004524F6" w:rsidP="00FC0A3C">
            <w:pPr>
              <w:rPr>
                <w:rFonts w:cs="Arial"/>
                <w:color w:val="000000"/>
                <w:sz w:val="16"/>
                <w:szCs w:val="16"/>
                <w:lang w:eastAsia="es-CO"/>
              </w:rPr>
            </w:pPr>
            <w:r w:rsidRPr="00104F4B">
              <w:rPr>
                <w:rFonts w:cs="Arial"/>
                <w:color w:val="000000"/>
                <w:sz w:val="16"/>
                <w:szCs w:val="16"/>
                <w:lang w:eastAsia="es-CO"/>
              </w:rPr>
              <w:t>Interventoría para la construcción de la ampliación del portal sur del sistema Transmilenio, en Bogotá, D.C.</w:t>
            </w:r>
          </w:p>
        </w:tc>
      </w:tr>
    </w:tbl>
    <w:p w:rsidR="004524F6" w:rsidRPr="00104F4B" w:rsidRDefault="004524F6" w:rsidP="004524F6">
      <w:pPr>
        <w:pStyle w:val="Contenidodelatabla"/>
        <w:rPr>
          <w:rFonts w:ascii="Arial" w:eastAsia="Times New Roman" w:hAnsi="Arial" w:cs="Arial"/>
          <w:b/>
          <w:smallCaps/>
          <w:sz w:val="16"/>
          <w:szCs w:val="16"/>
          <w:lang w:val="es-ES" w:eastAsia="es-ES" w:bidi="ar-SA"/>
        </w:rPr>
      </w:pPr>
    </w:p>
    <w:p w:rsidR="004524F6" w:rsidRPr="00104F4B" w:rsidRDefault="004524F6" w:rsidP="00857FDC">
      <w:pPr>
        <w:pStyle w:val="Contenidodelatabla"/>
        <w:jc w:val="both"/>
        <w:rPr>
          <w:rFonts w:ascii="Arial" w:hAnsi="Arial" w:cs="Arial"/>
          <w:b/>
          <w:sz w:val="22"/>
          <w:szCs w:val="22"/>
        </w:rPr>
      </w:pPr>
      <w:r w:rsidRPr="00104F4B">
        <w:rPr>
          <w:rFonts w:ascii="Arial" w:hAnsi="Arial" w:cs="Arial"/>
          <w:b/>
          <w:sz w:val="22"/>
          <w:szCs w:val="22"/>
        </w:rPr>
        <w:t>Estudios y diseños adjudicados 2018</w:t>
      </w:r>
    </w:p>
    <w:p w:rsidR="004524F6" w:rsidRPr="00104F4B" w:rsidRDefault="004524F6" w:rsidP="00857FDC">
      <w:pPr>
        <w:shd w:val="clear" w:color="auto" w:fill="FFFFFF"/>
        <w:contextualSpacing/>
        <w:rPr>
          <w:rFonts w:cs="Arial"/>
          <w:color w:val="222222"/>
          <w:szCs w:val="22"/>
          <w:lang w:val="es-CO" w:eastAsia="es-CO"/>
        </w:rPr>
      </w:pPr>
      <w:r w:rsidRPr="00104F4B">
        <w:rPr>
          <w:rFonts w:cs="Arial"/>
          <w:szCs w:val="22"/>
          <w:shd w:val="clear" w:color="auto" w:fill="FFFFFF"/>
        </w:rPr>
        <w:t xml:space="preserve">Dado lo descrito en el </w:t>
      </w:r>
      <w:r w:rsidR="00762102" w:rsidRPr="00104F4B">
        <w:rPr>
          <w:rFonts w:cs="Arial"/>
          <w:szCs w:val="22"/>
          <w:shd w:val="clear" w:color="auto" w:fill="FFFFFF"/>
        </w:rPr>
        <w:t xml:space="preserve">numeral </w:t>
      </w:r>
      <w:r w:rsidRPr="00104F4B">
        <w:rPr>
          <w:rFonts w:cs="Arial"/>
          <w:szCs w:val="22"/>
          <w:shd w:val="clear" w:color="auto" w:fill="FFFFFF"/>
        </w:rPr>
        <w:t xml:space="preserve">de estructuración de proyectos, el cual culmina con la adjudicación del proyecto, se indica que en su mayoría fueron adjudicados, sin embargo se presentaron tres (3) procesos que fueron declarados desiertos y debieron ser estructurados nuevamente y corresponden a los proyectos: </w:t>
      </w:r>
      <w:r w:rsidRPr="00104F4B">
        <w:rPr>
          <w:rFonts w:cs="Arial"/>
          <w:color w:val="222222"/>
          <w:szCs w:val="22"/>
          <w:lang w:val="es-CO" w:eastAsia="es-CO"/>
        </w:rPr>
        <w:t>Circunvalar de Oriente, Calles Comerciales y Cicloparqueaderos.</w:t>
      </w:r>
    </w:p>
    <w:p w:rsidR="004524F6" w:rsidRPr="00104F4B" w:rsidRDefault="004524F6" w:rsidP="00857FDC">
      <w:pPr>
        <w:pStyle w:val="Contenidodelatabla"/>
        <w:jc w:val="both"/>
        <w:rPr>
          <w:rFonts w:ascii="Arial" w:eastAsia="Times New Roman" w:hAnsi="Arial" w:cs="Arial"/>
          <w:sz w:val="22"/>
          <w:szCs w:val="22"/>
          <w:shd w:val="clear" w:color="auto" w:fill="FFFFFF"/>
          <w:lang w:eastAsia="es-ES" w:bidi="ar-SA"/>
        </w:rPr>
      </w:pPr>
    </w:p>
    <w:p w:rsidR="004524F6" w:rsidRPr="00104F4B" w:rsidRDefault="004524F6" w:rsidP="00857FDC">
      <w:pPr>
        <w:pStyle w:val="Contenidodelatabla"/>
        <w:jc w:val="both"/>
        <w:rPr>
          <w:rFonts w:ascii="Arial" w:hAnsi="Arial" w:cs="Arial"/>
          <w:b/>
          <w:sz w:val="22"/>
          <w:szCs w:val="22"/>
        </w:rPr>
      </w:pPr>
      <w:r w:rsidRPr="00104F4B">
        <w:rPr>
          <w:rFonts w:ascii="Arial" w:hAnsi="Arial" w:cs="Arial"/>
          <w:b/>
          <w:sz w:val="22"/>
          <w:szCs w:val="22"/>
        </w:rPr>
        <w:t>Estudios y Diseños por adjudicar y para ejecutar durante la vigencia 2019</w:t>
      </w:r>
    </w:p>
    <w:p w:rsidR="004524F6" w:rsidRPr="00104F4B" w:rsidRDefault="004524F6" w:rsidP="00857FDC">
      <w:pPr>
        <w:shd w:val="clear" w:color="auto" w:fill="FFFFFF"/>
        <w:rPr>
          <w:rFonts w:cs="Arial"/>
          <w:szCs w:val="22"/>
          <w:shd w:val="clear" w:color="auto" w:fill="FFFFFF"/>
        </w:rPr>
      </w:pPr>
      <w:r w:rsidRPr="00104F4B">
        <w:rPr>
          <w:rFonts w:cs="Arial"/>
          <w:szCs w:val="22"/>
          <w:shd w:val="clear" w:color="auto" w:fill="FFFFFF"/>
        </w:rPr>
        <w:t>Los proyectos que se encuentran en proceso de estructuración, tanto en desarrollo como en proceso, corresponden a los procesos a adjudicar en su totalidad en 2019, estos de acuerdo a su naturaleza corresponderán a contratos de estudios y diseños o diseños y construcción, en el marco del Acuerdo 002 de 2017.</w:t>
      </w:r>
    </w:p>
    <w:p w:rsidR="004524F6" w:rsidRPr="00104F4B" w:rsidRDefault="004524F6" w:rsidP="00857FDC">
      <w:pPr>
        <w:mirrorIndents/>
        <w:rPr>
          <w:rFonts w:cs="Arial"/>
          <w:b/>
          <w:smallCaps/>
          <w:szCs w:val="22"/>
        </w:rPr>
      </w:pPr>
    </w:p>
    <w:p w:rsidR="004524F6" w:rsidRPr="00104F4B" w:rsidRDefault="004524F6" w:rsidP="004524F6">
      <w:pPr>
        <w:pStyle w:val="Contenidodelatabla"/>
        <w:rPr>
          <w:rFonts w:ascii="Arial" w:hAnsi="Arial" w:cs="Arial"/>
          <w:b/>
          <w:sz w:val="22"/>
          <w:szCs w:val="22"/>
        </w:rPr>
      </w:pPr>
      <w:r w:rsidRPr="00104F4B">
        <w:rPr>
          <w:rFonts w:ascii="Arial" w:hAnsi="Arial" w:cs="Arial"/>
          <w:b/>
          <w:sz w:val="22"/>
          <w:szCs w:val="22"/>
        </w:rPr>
        <w:t>Proyectos especiales</w:t>
      </w:r>
    </w:p>
    <w:p w:rsidR="004524F6" w:rsidRPr="00104F4B" w:rsidRDefault="004524F6" w:rsidP="004524F6">
      <w:pPr>
        <w:pStyle w:val="Text1"/>
        <w:keepLines w:val="0"/>
        <w:spacing w:after="120" w:line="240" w:lineRule="auto"/>
        <w:contextualSpacing/>
        <w:rPr>
          <w:rFonts w:cs="Arial"/>
          <w:b/>
          <w:smallCaps/>
          <w:sz w:val="24"/>
          <w:szCs w:val="24"/>
        </w:rPr>
      </w:pPr>
    </w:p>
    <w:p w:rsidR="004524F6" w:rsidRPr="00104F4B" w:rsidRDefault="004524F6" w:rsidP="004524F6">
      <w:pPr>
        <w:pStyle w:val="Contenidodelatabla"/>
        <w:rPr>
          <w:rFonts w:ascii="Arial" w:hAnsi="Arial" w:cs="Arial"/>
          <w:sz w:val="22"/>
          <w:szCs w:val="22"/>
          <w:u w:val="single"/>
        </w:rPr>
      </w:pPr>
      <w:r w:rsidRPr="00104F4B">
        <w:rPr>
          <w:rFonts w:ascii="Arial" w:hAnsi="Arial" w:cs="Arial"/>
          <w:sz w:val="22"/>
          <w:szCs w:val="22"/>
          <w:u w:val="single"/>
        </w:rPr>
        <w:lastRenderedPageBreak/>
        <w:t>Cumplimiento de la Directiva 012 de 2016 de la Alcaldía Mayor:</w:t>
      </w:r>
    </w:p>
    <w:p w:rsidR="00DF6AEF" w:rsidRPr="00104F4B" w:rsidRDefault="00DF6AEF" w:rsidP="004524F6">
      <w:pPr>
        <w:pStyle w:val="Contenidodelatabla"/>
        <w:rPr>
          <w:rFonts w:ascii="Arial" w:hAnsi="Arial" w:cs="Arial"/>
          <w:sz w:val="22"/>
          <w:szCs w:val="22"/>
          <w:u w:val="single"/>
        </w:rPr>
      </w:pPr>
    </w:p>
    <w:p w:rsidR="004524F6" w:rsidRPr="00104F4B" w:rsidRDefault="004524F6" w:rsidP="002625A5">
      <w:pPr>
        <w:pStyle w:val="Text1"/>
        <w:keepLines w:val="0"/>
        <w:numPr>
          <w:ilvl w:val="0"/>
          <w:numId w:val="60"/>
        </w:numPr>
        <w:spacing w:after="120" w:line="240" w:lineRule="auto"/>
        <w:ind w:left="357" w:hanging="357"/>
        <w:contextualSpacing/>
        <w:rPr>
          <w:rFonts w:cs="Arial"/>
          <w:sz w:val="22"/>
          <w:szCs w:val="22"/>
        </w:rPr>
      </w:pPr>
      <w:r w:rsidRPr="00104F4B">
        <w:rPr>
          <w:rFonts w:cs="Arial"/>
          <w:sz w:val="22"/>
          <w:szCs w:val="22"/>
        </w:rPr>
        <w:t xml:space="preserve">Coordinación de los equipos de trabajo conformados por profesionales del IDU para prestar el acompañamiento técnico requerido por los FDL para la implementación de los criterios de elegibilidad y viabilidad tanto en la formulación y actualización de los proyectos locales de inversión en infraestructura vial y espacio público, así como en la planeación del componente técnico de los posibles procesos de contratación que adelantaron dichos FDL, en cumplimiento de la Directiva 12 de 2016. </w:t>
      </w:r>
    </w:p>
    <w:p w:rsidR="004524F6" w:rsidRPr="00104F4B" w:rsidRDefault="004524F6" w:rsidP="002625A5">
      <w:pPr>
        <w:pStyle w:val="Text1"/>
        <w:keepLines w:val="0"/>
        <w:numPr>
          <w:ilvl w:val="0"/>
          <w:numId w:val="60"/>
        </w:numPr>
        <w:spacing w:after="120" w:line="240" w:lineRule="auto"/>
        <w:ind w:left="357" w:hanging="357"/>
        <w:contextualSpacing/>
        <w:rPr>
          <w:rFonts w:cs="Arial"/>
          <w:sz w:val="22"/>
          <w:szCs w:val="22"/>
        </w:rPr>
      </w:pPr>
      <w:r w:rsidRPr="00104F4B">
        <w:rPr>
          <w:rFonts w:cs="Arial"/>
          <w:sz w:val="22"/>
          <w:szCs w:val="22"/>
        </w:rPr>
        <w:t>Coordinación y realización de mesas de trabajo con los equipos técnicos de los FDL y los Alcaldes Locales para orientar y asesorar la formulación de los componentes de inversión y la estructuración del soporte técnico de los procesos contractuales adelantados con cargo a los presupuestos locales vigencias 2018 y 2019.</w:t>
      </w:r>
    </w:p>
    <w:p w:rsidR="004524F6" w:rsidRPr="00104F4B" w:rsidRDefault="004524F6" w:rsidP="002625A5">
      <w:pPr>
        <w:pStyle w:val="Text1"/>
        <w:keepLines w:val="0"/>
        <w:numPr>
          <w:ilvl w:val="0"/>
          <w:numId w:val="60"/>
        </w:numPr>
        <w:spacing w:after="120" w:line="240" w:lineRule="auto"/>
        <w:ind w:left="357" w:hanging="357"/>
        <w:contextualSpacing/>
        <w:rPr>
          <w:rFonts w:cs="Arial"/>
          <w:sz w:val="22"/>
          <w:szCs w:val="22"/>
        </w:rPr>
      </w:pPr>
      <w:r w:rsidRPr="00104F4B">
        <w:rPr>
          <w:rFonts w:cs="Arial"/>
          <w:sz w:val="22"/>
          <w:szCs w:val="22"/>
        </w:rPr>
        <w:t>Revisión y seguimiento a la documentación radicada por los FDL para la estructuración y emisión de los conceptos previos vigencia 2018.</w:t>
      </w:r>
    </w:p>
    <w:p w:rsidR="004524F6" w:rsidRPr="00104F4B" w:rsidRDefault="004524F6" w:rsidP="002625A5">
      <w:pPr>
        <w:pStyle w:val="Text1"/>
        <w:keepLines w:val="0"/>
        <w:numPr>
          <w:ilvl w:val="0"/>
          <w:numId w:val="60"/>
        </w:numPr>
        <w:spacing w:after="120" w:line="240" w:lineRule="auto"/>
        <w:ind w:left="357" w:hanging="357"/>
        <w:contextualSpacing/>
        <w:rPr>
          <w:rFonts w:cs="Arial"/>
          <w:sz w:val="22"/>
          <w:szCs w:val="22"/>
        </w:rPr>
      </w:pPr>
      <w:r w:rsidRPr="00104F4B">
        <w:rPr>
          <w:rFonts w:cs="Arial"/>
          <w:sz w:val="22"/>
          <w:szCs w:val="22"/>
        </w:rPr>
        <w:t>Generación de cuarenta y tres (43) conceptos previos y favorables para la contratación de proyectos locales de inversión por valor total de $310.000’000.000 con cargo al presupuesto local de la vigencia 2017</w:t>
      </w:r>
    </w:p>
    <w:p w:rsidR="004524F6" w:rsidRPr="00104F4B" w:rsidRDefault="004524F6" w:rsidP="002625A5">
      <w:pPr>
        <w:pStyle w:val="Text1"/>
        <w:keepLines w:val="0"/>
        <w:numPr>
          <w:ilvl w:val="0"/>
          <w:numId w:val="60"/>
        </w:numPr>
        <w:spacing w:after="120" w:line="240" w:lineRule="auto"/>
        <w:ind w:left="357" w:hanging="357"/>
        <w:contextualSpacing/>
        <w:rPr>
          <w:rFonts w:cs="Arial"/>
          <w:sz w:val="22"/>
          <w:szCs w:val="22"/>
        </w:rPr>
      </w:pPr>
      <w:r w:rsidRPr="00104F4B">
        <w:rPr>
          <w:rFonts w:cs="Arial"/>
          <w:sz w:val="22"/>
          <w:szCs w:val="22"/>
        </w:rPr>
        <w:t>Generación de cuarenta y cinco (45) conceptos previos y favorables para la contratación de proyectos locales de inversión por valor total de $414.000’000.000 con cargo al presupuesto local de la vigencia 2018.</w:t>
      </w:r>
    </w:p>
    <w:p w:rsidR="004524F6" w:rsidRPr="00104F4B" w:rsidRDefault="004524F6" w:rsidP="002625A5">
      <w:pPr>
        <w:pStyle w:val="Text1"/>
        <w:keepLines w:val="0"/>
        <w:numPr>
          <w:ilvl w:val="0"/>
          <w:numId w:val="60"/>
        </w:numPr>
        <w:spacing w:line="240" w:lineRule="auto"/>
        <w:ind w:left="357" w:hanging="357"/>
        <w:contextualSpacing/>
        <w:rPr>
          <w:rFonts w:cs="Arial"/>
          <w:b/>
          <w:smallCaps/>
          <w:sz w:val="22"/>
          <w:szCs w:val="22"/>
        </w:rPr>
      </w:pPr>
      <w:r w:rsidRPr="00104F4B">
        <w:rPr>
          <w:rFonts w:cs="Arial"/>
          <w:sz w:val="22"/>
          <w:szCs w:val="22"/>
        </w:rPr>
        <w:t>Participación en los Consejos Locales Trimestrales de Gobierno de las Localidades de Usaquén y Kennedy, dándole así cumplimiento al artículo 15 del Decreto Distrital 101 de 2010 y a las Resoluciones 294 de 2010 y 289 de 2011 expedidas por la Secretaría Distrital de Movilidad.</w:t>
      </w:r>
    </w:p>
    <w:p w:rsidR="004524F6" w:rsidRPr="00104F4B" w:rsidRDefault="004524F6" w:rsidP="004524F6">
      <w:pPr>
        <w:pStyle w:val="Contenidodelatabla"/>
        <w:rPr>
          <w:rFonts w:ascii="Arial" w:hAnsi="Arial" w:cs="Arial"/>
          <w:b/>
          <w:sz w:val="22"/>
          <w:szCs w:val="22"/>
        </w:rPr>
      </w:pPr>
    </w:p>
    <w:p w:rsidR="004524F6" w:rsidRPr="00104F4B" w:rsidRDefault="004524F6" w:rsidP="004524F6">
      <w:pPr>
        <w:pStyle w:val="Contenidodelatabla"/>
        <w:rPr>
          <w:rFonts w:ascii="Arial" w:hAnsi="Arial" w:cs="Arial"/>
          <w:b/>
          <w:sz w:val="22"/>
          <w:szCs w:val="22"/>
        </w:rPr>
      </w:pPr>
      <w:r w:rsidRPr="00104F4B">
        <w:rPr>
          <w:rFonts w:ascii="Arial" w:hAnsi="Arial" w:cs="Arial"/>
          <w:b/>
          <w:sz w:val="22"/>
          <w:szCs w:val="22"/>
        </w:rPr>
        <w:t xml:space="preserve">Construcción de espacio público y programa de conservación de espacio público y </w:t>
      </w:r>
      <w:r w:rsidR="00762102" w:rsidRPr="00104F4B">
        <w:rPr>
          <w:rFonts w:ascii="Arial" w:hAnsi="Arial" w:cs="Arial"/>
          <w:b/>
          <w:sz w:val="22"/>
          <w:szCs w:val="22"/>
        </w:rPr>
        <w:t>CicloRutas</w:t>
      </w:r>
    </w:p>
    <w:p w:rsidR="004524F6" w:rsidRPr="00104F4B" w:rsidRDefault="004524F6" w:rsidP="004524F6">
      <w:pPr>
        <w:pStyle w:val="NormalWeb"/>
        <w:shd w:val="clear" w:color="auto" w:fill="FFFFFF"/>
        <w:spacing w:before="0" w:beforeAutospacing="0" w:after="0" w:afterAutospacing="0"/>
        <w:contextualSpacing/>
        <w:outlineLvl w:val="0"/>
        <w:rPr>
          <w:rFonts w:cs="Arial"/>
          <w:szCs w:val="22"/>
        </w:rPr>
      </w:pPr>
    </w:p>
    <w:p w:rsidR="004524F6" w:rsidRPr="00104F4B" w:rsidRDefault="004524F6" w:rsidP="004524F6">
      <w:pPr>
        <w:pStyle w:val="Text1"/>
        <w:keepLines w:val="0"/>
        <w:spacing w:after="120" w:line="240" w:lineRule="auto"/>
        <w:contextualSpacing/>
        <w:rPr>
          <w:rFonts w:cs="Arial"/>
          <w:sz w:val="22"/>
          <w:szCs w:val="22"/>
        </w:rPr>
      </w:pPr>
      <w:r w:rsidRPr="00104F4B">
        <w:rPr>
          <w:rFonts w:cs="Arial"/>
          <w:sz w:val="22"/>
          <w:szCs w:val="22"/>
        </w:rPr>
        <w:t>Durante la vigencia 2018, la SGDU lideró y orientó los proyectos de espacio público en su estructuración, en lo siguiente:</w:t>
      </w:r>
    </w:p>
    <w:p w:rsidR="004524F6" w:rsidRPr="00104F4B" w:rsidRDefault="004524F6" w:rsidP="004524F6">
      <w:pPr>
        <w:pStyle w:val="Text1"/>
        <w:keepLines w:val="0"/>
        <w:spacing w:after="120" w:line="240" w:lineRule="auto"/>
        <w:contextualSpacing/>
        <w:rPr>
          <w:rFonts w:cs="Arial"/>
          <w:sz w:val="22"/>
          <w:szCs w:val="22"/>
        </w:rPr>
      </w:pPr>
    </w:p>
    <w:p w:rsidR="004524F6" w:rsidRPr="00104F4B" w:rsidRDefault="004524F6" w:rsidP="002625A5">
      <w:pPr>
        <w:pStyle w:val="Text1"/>
        <w:keepLines w:val="0"/>
        <w:numPr>
          <w:ilvl w:val="0"/>
          <w:numId w:val="58"/>
        </w:numPr>
        <w:spacing w:after="160" w:line="240" w:lineRule="auto"/>
        <w:contextualSpacing/>
        <w:mirrorIndents/>
        <w:rPr>
          <w:rFonts w:cs="Arial"/>
          <w:sz w:val="22"/>
          <w:szCs w:val="22"/>
        </w:rPr>
      </w:pPr>
      <w:r w:rsidRPr="00104F4B">
        <w:rPr>
          <w:rFonts w:cs="Arial"/>
          <w:sz w:val="22"/>
          <w:szCs w:val="22"/>
          <w:u w:val="single"/>
        </w:rPr>
        <w:t>Perfil de proyectos de espacio público</w:t>
      </w:r>
      <w:r w:rsidRPr="00104F4B">
        <w:rPr>
          <w:rFonts w:cs="Arial"/>
          <w:smallCaps/>
          <w:sz w:val="22"/>
          <w:szCs w:val="22"/>
          <w:u w:val="single"/>
        </w:rPr>
        <w:t>:</w:t>
      </w:r>
      <w:r w:rsidRPr="00104F4B">
        <w:rPr>
          <w:rFonts w:cs="Arial"/>
          <w:sz w:val="22"/>
          <w:szCs w:val="22"/>
        </w:rPr>
        <w:t xml:space="preserve"> Aceras alrededores Parque la 93, Plazoletas Gustavo Restrepo y Plazoleta Santa Paula, Centro Fundacional de Bosa, aceras en calle 97 No. 8 A – 00, Santa Clara, Plaza Fundacional Usme, Alameda Av. Pedro León Trabuchy, Parque del Barrio Las Cruces, Plaza Fundacional Suba, Conexión Alameda El Porvenir –Soacha y Calle 11.</w:t>
      </w:r>
    </w:p>
    <w:p w:rsidR="004524F6" w:rsidRPr="00104F4B" w:rsidRDefault="004524F6" w:rsidP="002625A5">
      <w:pPr>
        <w:pStyle w:val="Text1"/>
        <w:keepLines w:val="0"/>
        <w:numPr>
          <w:ilvl w:val="0"/>
          <w:numId w:val="58"/>
        </w:numPr>
        <w:spacing w:after="160" w:line="240" w:lineRule="auto"/>
        <w:contextualSpacing/>
        <w:mirrorIndents/>
        <w:rPr>
          <w:rFonts w:cs="Arial"/>
          <w:sz w:val="22"/>
          <w:szCs w:val="22"/>
        </w:rPr>
      </w:pPr>
      <w:r w:rsidRPr="00104F4B">
        <w:rPr>
          <w:rFonts w:cs="Arial"/>
          <w:sz w:val="22"/>
          <w:szCs w:val="22"/>
          <w:u w:val="single"/>
        </w:rPr>
        <w:t>Seguimiento de proyectos:</w:t>
      </w:r>
      <w:r w:rsidRPr="00104F4B">
        <w:rPr>
          <w:rFonts w:cs="Arial"/>
          <w:b/>
          <w:sz w:val="22"/>
          <w:szCs w:val="22"/>
        </w:rPr>
        <w:t xml:space="preserve"> </w:t>
      </w:r>
      <w:r w:rsidRPr="00104F4B">
        <w:rPr>
          <w:rFonts w:cs="Arial"/>
          <w:sz w:val="22"/>
          <w:szCs w:val="22"/>
        </w:rPr>
        <w:t>Calle 40 B Sur Humedal La Vaca Corabastos, Zona G y la Zona Rosa, Centros Fundacionales Grupo 1 Engativá y Grupo 2 Usaquén</w:t>
      </w:r>
    </w:p>
    <w:p w:rsidR="004524F6" w:rsidRPr="00104F4B" w:rsidRDefault="004524F6" w:rsidP="002625A5">
      <w:pPr>
        <w:pStyle w:val="Text1"/>
        <w:keepLines w:val="0"/>
        <w:numPr>
          <w:ilvl w:val="0"/>
          <w:numId w:val="58"/>
        </w:numPr>
        <w:spacing w:after="160" w:line="240" w:lineRule="auto"/>
        <w:contextualSpacing/>
        <w:mirrorIndents/>
        <w:rPr>
          <w:rFonts w:cs="Arial"/>
          <w:sz w:val="22"/>
          <w:szCs w:val="22"/>
        </w:rPr>
      </w:pPr>
      <w:r w:rsidRPr="00104F4B">
        <w:rPr>
          <w:rFonts w:cs="Arial"/>
          <w:sz w:val="22"/>
          <w:szCs w:val="22"/>
          <w:u w:val="single"/>
        </w:rPr>
        <w:t>Espacio público por valorización:</w:t>
      </w:r>
      <w:r w:rsidRPr="00104F4B">
        <w:rPr>
          <w:rFonts w:cs="Arial"/>
          <w:b/>
          <w:sz w:val="22"/>
          <w:szCs w:val="22"/>
        </w:rPr>
        <w:t xml:space="preserve"> </w:t>
      </w:r>
      <w:r w:rsidRPr="00104F4B">
        <w:rPr>
          <w:rFonts w:cs="Arial"/>
          <w:sz w:val="22"/>
          <w:szCs w:val="22"/>
        </w:rPr>
        <w:t>Canal Córdoba, Canal San Francisco y aceras, ciclorrutas y conexiones peatonales transversales, Redes peatonales: Contratos de Consultoría IDU-1561-2017, IDU-1562-2017, Red Sabana, IDU 1591 – 2017, Red Minuto y IDU 1592- Red Venecia, Parque Zonal Gilma Jiménez, Troncal Carrera 7, Troncal Avenida 68, Troncal Avenida Ciudad de Cali y Mantenimiento de Espacio Público y Ciclorrutas Grupo 1, 2 y 3.</w:t>
      </w:r>
    </w:p>
    <w:p w:rsidR="004524F6" w:rsidRPr="00104F4B" w:rsidRDefault="004524F6" w:rsidP="002625A5">
      <w:pPr>
        <w:pStyle w:val="Text1"/>
        <w:keepLines w:val="0"/>
        <w:numPr>
          <w:ilvl w:val="0"/>
          <w:numId w:val="59"/>
        </w:numPr>
        <w:spacing w:after="160" w:line="240" w:lineRule="auto"/>
        <w:ind w:left="357" w:hanging="357"/>
        <w:contextualSpacing/>
        <w:mirrorIndents/>
        <w:rPr>
          <w:rFonts w:cs="Arial"/>
          <w:sz w:val="22"/>
          <w:szCs w:val="22"/>
        </w:rPr>
      </w:pPr>
      <w:r w:rsidRPr="00104F4B">
        <w:rPr>
          <w:rFonts w:cs="Arial"/>
          <w:sz w:val="22"/>
          <w:szCs w:val="22"/>
          <w:u w:val="single"/>
        </w:rPr>
        <w:t>Acompañamiento y apoyo técnico:</w:t>
      </w:r>
      <w:r w:rsidRPr="00104F4B">
        <w:rPr>
          <w:rFonts w:cs="Arial"/>
          <w:sz w:val="22"/>
          <w:szCs w:val="22"/>
        </w:rPr>
        <w:t xml:space="preserve"> Acción Popular 2005-02345 coordinado por Defensa Judicial de Secretaria General Jurídica de Alcaldía Mayor con el propósito de fortalecer los argumentos respecto a construcción de baños en la ciudad y en las zonas bajas de puentes vehiculares, Acciones populares 2007-00243 y 2010-00148 y procedimientos para la intervención de antejardines: La SGDU brindó apoyo en la revisión y ajuste de los “Procedimiento de Intervención de Antejardines PR-VF-10” y el “Procedimiento para la Cesión de Antejardines”. </w:t>
      </w:r>
    </w:p>
    <w:p w:rsidR="004524F6" w:rsidRPr="00104F4B" w:rsidRDefault="004524F6" w:rsidP="002625A5">
      <w:pPr>
        <w:pStyle w:val="Text1"/>
        <w:keepLines w:val="0"/>
        <w:numPr>
          <w:ilvl w:val="0"/>
          <w:numId w:val="59"/>
        </w:numPr>
        <w:spacing w:after="160" w:line="240" w:lineRule="auto"/>
        <w:ind w:left="357" w:hanging="357"/>
        <w:contextualSpacing/>
        <w:mirrorIndents/>
        <w:rPr>
          <w:rFonts w:cs="Arial"/>
          <w:sz w:val="22"/>
          <w:szCs w:val="22"/>
        </w:rPr>
      </w:pPr>
      <w:r w:rsidRPr="00104F4B">
        <w:rPr>
          <w:rFonts w:cs="Arial"/>
          <w:sz w:val="22"/>
          <w:szCs w:val="22"/>
          <w:u w:val="single"/>
        </w:rPr>
        <w:lastRenderedPageBreak/>
        <w:t>Revisión y asistencia técnica en:</w:t>
      </w:r>
      <w:r w:rsidRPr="00104F4B">
        <w:rPr>
          <w:rFonts w:cs="Arial"/>
          <w:sz w:val="22"/>
          <w:szCs w:val="22"/>
        </w:rPr>
        <w:t xml:space="preserve"> Sistema de Gestión Integral de Proyectos ZIPA</w:t>
      </w:r>
      <w:r w:rsidRPr="00104F4B">
        <w:rPr>
          <w:rFonts w:cs="Arial"/>
          <w:b/>
          <w:sz w:val="22"/>
          <w:szCs w:val="22"/>
        </w:rPr>
        <w:t xml:space="preserve">, </w:t>
      </w:r>
      <w:r w:rsidRPr="00104F4B">
        <w:rPr>
          <w:rFonts w:cs="Arial"/>
          <w:sz w:val="22"/>
          <w:szCs w:val="22"/>
        </w:rPr>
        <w:t>ajuste y actualización de indicadores de los Perfiles POT, Manual de Calles de la Secretaria Distrital de Planeación y Proyecto de acuerdo del Plan de Ordenamiento Territorial.</w:t>
      </w:r>
    </w:p>
    <w:p w:rsidR="004524F6" w:rsidRPr="00104F4B" w:rsidRDefault="004524F6" w:rsidP="002625A5">
      <w:pPr>
        <w:pStyle w:val="Text1"/>
        <w:keepLines w:val="0"/>
        <w:numPr>
          <w:ilvl w:val="0"/>
          <w:numId w:val="59"/>
        </w:numPr>
        <w:spacing w:after="160" w:line="240" w:lineRule="auto"/>
        <w:ind w:left="357" w:hanging="357"/>
        <w:contextualSpacing/>
        <w:mirrorIndents/>
        <w:rPr>
          <w:rFonts w:cs="Arial"/>
          <w:sz w:val="22"/>
          <w:szCs w:val="22"/>
        </w:rPr>
      </w:pPr>
      <w:r w:rsidRPr="00104F4B">
        <w:rPr>
          <w:rFonts w:cs="Arial"/>
          <w:sz w:val="22"/>
          <w:szCs w:val="22"/>
          <w:u w:val="single"/>
        </w:rPr>
        <w:t>Conservación del espacio público y la red de ciclorrutas:</w:t>
      </w:r>
      <w:r w:rsidRPr="00104F4B">
        <w:rPr>
          <w:rFonts w:cs="Arial"/>
          <w:sz w:val="22"/>
          <w:szCs w:val="22"/>
        </w:rPr>
        <w:t xml:space="preserve"> Para el proyecto de inversión en mejoramiento de espacio público la meta física es conservar 1.200.000 M2 de los cuales a 31 de diciembre de 2018 se han ejecutado 744.332,91 m2 con avance del 62%, faltando 455.667,09 que corresponde a un 38%. En cuanto a la red de ciclo rutas la meta es conservar 100 kms de cicloruta, de los cuales se ha ejecutado 67,78 kms. con un 68% de avance faltando 32,22 kms. correspondiente a un 32%.</w:t>
      </w:r>
    </w:p>
    <w:p w:rsidR="004524F6" w:rsidRPr="00104F4B" w:rsidRDefault="004524F6" w:rsidP="004524F6">
      <w:pPr>
        <w:pStyle w:val="Contenidodelatabla"/>
        <w:rPr>
          <w:rFonts w:ascii="Arial" w:hAnsi="Arial" w:cs="Arial"/>
          <w:b/>
          <w:sz w:val="22"/>
          <w:szCs w:val="22"/>
        </w:rPr>
      </w:pPr>
      <w:r w:rsidRPr="00104F4B">
        <w:rPr>
          <w:rFonts w:ascii="Arial" w:hAnsi="Arial" w:cs="Arial"/>
          <w:b/>
          <w:sz w:val="22"/>
          <w:szCs w:val="22"/>
        </w:rPr>
        <w:t>Coordinación y gestión interinstitucional con ESP</w:t>
      </w:r>
    </w:p>
    <w:p w:rsidR="004524F6" w:rsidRPr="00104F4B" w:rsidRDefault="004524F6" w:rsidP="004524F6">
      <w:pPr>
        <w:pStyle w:val="Contenidodelatabla"/>
        <w:rPr>
          <w:rFonts w:ascii="Arial" w:hAnsi="Arial" w:cs="Arial"/>
          <w:b/>
          <w:sz w:val="22"/>
          <w:szCs w:val="22"/>
        </w:rPr>
      </w:pPr>
    </w:p>
    <w:p w:rsidR="004524F6" w:rsidRPr="00104F4B" w:rsidRDefault="004524F6" w:rsidP="004524F6">
      <w:pPr>
        <w:pStyle w:val="Text1"/>
        <w:keepLines w:val="0"/>
        <w:spacing w:after="120" w:line="240" w:lineRule="atLeast"/>
        <w:contextualSpacing/>
        <w:rPr>
          <w:rFonts w:cs="Arial"/>
          <w:sz w:val="22"/>
          <w:szCs w:val="22"/>
          <w:lang w:val="es-CO"/>
        </w:rPr>
      </w:pPr>
      <w:r w:rsidRPr="00104F4B">
        <w:rPr>
          <w:rFonts w:cs="Arial"/>
          <w:sz w:val="22"/>
          <w:szCs w:val="22"/>
          <w:lang w:val="es-CO"/>
        </w:rPr>
        <w:t>La gestión interinstitucional a cargo de la SGDU está enfocada a liderar y determinar políticas y estrategias de coordinación con Entidades Públicas, Privadas y Empresas de Servicios Públicos para la ejecución de proyectos de infraestructura vial de los sistemas de movilidad y espacio público de Bogotá, e igualmente en la realización de la coordinación interinstitucional para la identificación, formulación y estructuración de proyectos.</w:t>
      </w:r>
    </w:p>
    <w:p w:rsidR="004524F6" w:rsidRPr="00104F4B" w:rsidRDefault="004524F6" w:rsidP="004524F6">
      <w:pPr>
        <w:pStyle w:val="Text1"/>
        <w:keepLines w:val="0"/>
        <w:spacing w:line="240" w:lineRule="auto"/>
        <w:rPr>
          <w:rFonts w:cs="Arial"/>
          <w:sz w:val="22"/>
          <w:szCs w:val="22"/>
        </w:rPr>
      </w:pPr>
    </w:p>
    <w:p w:rsidR="004524F6" w:rsidRPr="00104F4B" w:rsidRDefault="004524F6" w:rsidP="004524F6">
      <w:pPr>
        <w:pStyle w:val="Contenidodelatabla"/>
        <w:jc w:val="both"/>
        <w:rPr>
          <w:rFonts w:ascii="Arial" w:hAnsi="Arial" w:cs="Arial"/>
          <w:sz w:val="22"/>
          <w:szCs w:val="22"/>
        </w:rPr>
      </w:pPr>
      <w:r w:rsidRPr="00104F4B">
        <w:rPr>
          <w:rFonts w:ascii="Arial" w:hAnsi="Arial" w:cs="Arial"/>
          <w:smallCaps/>
          <w:sz w:val="22"/>
          <w:szCs w:val="22"/>
          <w:u w:val="single"/>
          <w:lang w:eastAsia="en-US"/>
        </w:rPr>
        <w:t>Negociación y gestión de convenios marco con las esp y tic</w:t>
      </w:r>
      <w:r w:rsidRPr="00104F4B">
        <w:rPr>
          <w:rFonts w:ascii="Arial" w:hAnsi="Arial" w:cs="Arial"/>
          <w:smallCaps/>
          <w:sz w:val="22"/>
          <w:szCs w:val="22"/>
          <w:lang w:eastAsia="en-US"/>
        </w:rPr>
        <w:t xml:space="preserve">: </w:t>
      </w:r>
      <w:r w:rsidRPr="00104F4B">
        <w:rPr>
          <w:rFonts w:ascii="Arial" w:hAnsi="Arial" w:cs="Arial"/>
          <w:sz w:val="22"/>
          <w:szCs w:val="22"/>
        </w:rPr>
        <w:t>Bajo el liderazgo de la SGDU, se conformó un grupo negociador de convenios de diferentes dependencias del IDU para atender los requerimientos generales de las ESP y TIC en los proyectos a cargo del Instituto, basado en las disposiciones de las Leyes 142/94, 1341/09 y 1682/13, entre otras. Durante la vigencia 2018, se continuaron las gestiones de negociación de los futuros Convenios Marco con UNE (EPM – TIGO) y Telmex (Claro).</w:t>
      </w:r>
    </w:p>
    <w:p w:rsidR="004524F6" w:rsidRPr="00104F4B" w:rsidRDefault="004524F6" w:rsidP="004524F6">
      <w:pPr>
        <w:pStyle w:val="Contenidodelatabla"/>
        <w:jc w:val="both"/>
        <w:rPr>
          <w:rFonts w:ascii="Arial" w:hAnsi="Arial" w:cs="Arial"/>
          <w:sz w:val="22"/>
          <w:szCs w:val="22"/>
        </w:rPr>
      </w:pPr>
    </w:p>
    <w:p w:rsidR="004524F6" w:rsidRPr="00104F4B" w:rsidRDefault="004524F6" w:rsidP="004524F6">
      <w:pPr>
        <w:pStyle w:val="Contenidodelatabla"/>
        <w:jc w:val="both"/>
        <w:rPr>
          <w:rFonts w:ascii="Arial" w:hAnsi="Arial" w:cs="Arial"/>
          <w:sz w:val="22"/>
          <w:szCs w:val="22"/>
        </w:rPr>
      </w:pPr>
      <w:r w:rsidRPr="00104F4B">
        <w:rPr>
          <w:rFonts w:ascii="Arial" w:hAnsi="Arial" w:cs="Arial"/>
          <w:smallCaps/>
          <w:sz w:val="22"/>
          <w:szCs w:val="22"/>
          <w:u w:val="single"/>
          <w:lang w:eastAsia="en-US"/>
        </w:rPr>
        <w:t>Controversia convenio marco idu – etb</w:t>
      </w:r>
      <w:r w:rsidRPr="00104F4B">
        <w:rPr>
          <w:rFonts w:ascii="Arial" w:hAnsi="Arial" w:cs="Arial"/>
          <w:smallCaps/>
          <w:sz w:val="22"/>
          <w:szCs w:val="22"/>
        </w:rPr>
        <w:t xml:space="preserve">: </w:t>
      </w:r>
      <w:r w:rsidRPr="00104F4B">
        <w:rPr>
          <w:rFonts w:ascii="Arial" w:hAnsi="Arial" w:cs="Arial"/>
          <w:sz w:val="22"/>
          <w:szCs w:val="22"/>
        </w:rPr>
        <w:t>Si bien, se suscribió el Convenio IDU – ETB No. 1069 de 2016, no se logró acordar el tema de responsabilidad técnica y económica por “modernización y ajuste a norma” de las redes de telecomunicaciones de propiedad y/o en administración de la ETB en los proyectos de infraestructura ejecutados por el IDU; por tal razón, se adelantaron gestiones con la Dirección Jurídica Distrital de la Alcaldía Mayor relacionadas con la conformación de evidencias documentales y de reuniones en aras de encontrar solución al conflicto jurídico, administrativo y económico suscitado. La Dirección Jurídica Distrital, emitió el 27 de septiembre de 2018 certificación de mediación de la controversia, a través de la cual deja en libertad a la ETB y al IDU para iniciar las acciones administrativas y/o judiciales respectivas.</w:t>
      </w:r>
    </w:p>
    <w:p w:rsidR="004524F6" w:rsidRPr="00104F4B" w:rsidRDefault="004524F6" w:rsidP="004524F6">
      <w:pPr>
        <w:pStyle w:val="Contenidodelatabla"/>
        <w:jc w:val="both"/>
        <w:rPr>
          <w:rFonts w:ascii="Arial" w:hAnsi="Arial" w:cs="Arial"/>
          <w:sz w:val="22"/>
          <w:szCs w:val="22"/>
        </w:rPr>
      </w:pPr>
    </w:p>
    <w:p w:rsidR="004524F6" w:rsidRPr="00104F4B" w:rsidRDefault="004524F6" w:rsidP="004524F6">
      <w:pPr>
        <w:pStyle w:val="Contenidodelatabla"/>
        <w:jc w:val="both"/>
        <w:rPr>
          <w:rFonts w:ascii="Arial" w:hAnsi="Arial" w:cs="Arial"/>
          <w:sz w:val="22"/>
          <w:szCs w:val="22"/>
        </w:rPr>
      </w:pPr>
      <w:r w:rsidRPr="00104F4B">
        <w:rPr>
          <w:rFonts w:ascii="Arial" w:hAnsi="Arial" w:cs="Arial"/>
          <w:smallCaps/>
          <w:sz w:val="22"/>
          <w:szCs w:val="22"/>
          <w:u w:val="single"/>
          <w:lang w:eastAsia="en-US"/>
        </w:rPr>
        <w:t>Participación en instancias de coordinación interinstitucional</w:t>
      </w:r>
      <w:r w:rsidRPr="00104F4B">
        <w:rPr>
          <w:rFonts w:ascii="Arial" w:hAnsi="Arial" w:cs="Arial"/>
          <w:smallCaps/>
          <w:sz w:val="22"/>
          <w:szCs w:val="22"/>
          <w:lang w:eastAsia="en-US"/>
        </w:rPr>
        <w:t xml:space="preserve">: </w:t>
      </w:r>
      <w:r w:rsidRPr="00104F4B">
        <w:rPr>
          <w:rFonts w:ascii="Arial" w:hAnsi="Arial" w:cs="Arial"/>
          <w:sz w:val="22"/>
          <w:szCs w:val="22"/>
        </w:rPr>
        <w:t xml:space="preserve">Se asistió a cinco (5) sesiones ordinarias de la Comisión Intersectorial de Servicios Públicos y a una (1) del Comité Distrital de Alumbrado Público. Así mismo, se asistió al Comité de Subterranización, en donde esta Secretaría y la Alcaldía Mayor efectúan seguimiento a la subterranización de redes eléctricas, alumbrado público y telecomunicaciones, en los proyectos a cargo del IDU, entre otros. </w:t>
      </w:r>
    </w:p>
    <w:p w:rsidR="004524F6" w:rsidRPr="00104F4B" w:rsidRDefault="004524F6" w:rsidP="004524F6">
      <w:pPr>
        <w:pStyle w:val="Prrafodelista"/>
        <w:spacing w:before="0"/>
        <w:ind w:left="425"/>
        <w:contextualSpacing/>
        <w:outlineLvl w:val="0"/>
        <w:rPr>
          <w:rFonts w:ascii="Arial" w:hAnsi="Arial" w:cs="Arial"/>
        </w:rPr>
      </w:pPr>
    </w:p>
    <w:p w:rsidR="004524F6" w:rsidRPr="00104F4B" w:rsidRDefault="004524F6" w:rsidP="004524F6">
      <w:pPr>
        <w:pStyle w:val="Contenidodelatabla"/>
        <w:jc w:val="both"/>
        <w:rPr>
          <w:rFonts w:ascii="Arial" w:hAnsi="Arial" w:cs="Arial"/>
          <w:sz w:val="22"/>
          <w:szCs w:val="22"/>
        </w:rPr>
      </w:pPr>
      <w:r w:rsidRPr="00104F4B">
        <w:rPr>
          <w:rFonts w:ascii="Arial" w:hAnsi="Arial" w:cs="Arial"/>
          <w:smallCaps/>
          <w:sz w:val="22"/>
          <w:szCs w:val="22"/>
          <w:u w:val="single"/>
          <w:lang w:eastAsia="en-US"/>
        </w:rPr>
        <w:t xml:space="preserve">Mesas de alto nivel con esp, alcaldía mayor, uaesp e idu para proyectos a cargo del idu: </w:t>
      </w:r>
      <w:r w:rsidRPr="00104F4B">
        <w:rPr>
          <w:rFonts w:ascii="Arial" w:hAnsi="Arial" w:cs="Arial"/>
          <w:sz w:val="22"/>
          <w:szCs w:val="22"/>
        </w:rPr>
        <w:t xml:space="preserve">Como propuesta de la Alcaldía Mayor se realiza una reunión cada tres (3) semanas denominada </w:t>
      </w:r>
      <w:r w:rsidRPr="00104F4B">
        <w:rPr>
          <w:rFonts w:ascii="Arial" w:hAnsi="Arial" w:cs="Arial"/>
          <w:b/>
          <w:sz w:val="22"/>
          <w:szCs w:val="22"/>
        </w:rPr>
        <w:t>“Mesa de Alto Nivel”</w:t>
      </w:r>
      <w:r w:rsidRPr="00104F4B">
        <w:rPr>
          <w:rFonts w:ascii="Arial" w:hAnsi="Arial" w:cs="Arial"/>
          <w:sz w:val="22"/>
          <w:szCs w:val="22"/>
        </w:rPr>
        <w:t xml:space="preserve">, con la participación de los asesores de la Alcaldía Mayor, EAB, Codensa, Gas Natural, ETB, Colombia Telecomunicaciones, UAESP e IDU, para presentar y solucionar pendientes de redes de servicios públicos en los proyectos y contratos en ejecución a cargo del IDU. En la vigencia 2018, se asistió a nueve (9) reuniones, entre el 31 de enero y el 6 de septiembre de 2018. </w:t>
      </w:r>
    </w:p>
    <w:p w:rsidR="004524F6" w:rsidRPr="00104F4B" w:rsidRDefault="004524F6" w:rsidP="004524F6">
      <w:pPr>
        <w:pStyle w:val="Contenidodelatabla"/>
        <w:jc w:val="both"/>
        <w:rPr>
          <w:rFonts w:ascii="Arial" w:hAnsi="Arial" w:cs="Arial"/>
          <w:sz w:val="22"/>
          <w:szCs w:val="22"/>
        </w:rPr>
      </w:pPr>
      <w:r w:rsidRPr="00104F4B">
        <w:rPr>
          <w:rFonts w:ascii="Arial" w:hAnsi="Arial" w:cs="Arial"/>
          <w:smallCaps/>
          <w:sz w:val="22"/>
          <w:szCs w:val="22"/>
          <w:u w:val="single"/>
        </w:rPr>
        <w:lastRenderedPageBreak/>
        <w:t>Definición de competencias de pago y técnicas</w:t>
      </w:r>
      <w:r w:rsidRPr="00104F4B">
        <w:rPr>
          <w:rFonts w:ascii="Arial" w:hAnsi="Arial" w:cs="Arial"/>
          <w:sz w:val="22"/>
          <w:szCs w:val="22"/>
          <w:u w:val="single"/>
        </w:rPr>
        <w:t>:</w:t>
      </w:r>
      <w:r w:rsidRPr="00104F4B">
        <w:rPr>
          <w:rFonts w:ascii="Arial" w:hAnsi="Arial" w:cs="Arial"/>
          <w:b/>
          <w:i/>
          <w:sz w:val="22"/>
          <w:szCs w:val="22"/>
          <w:u w:val="single"/>
        </w:rPr>
        <w:t xml:space="preserve"> </w:t>
      </w:r>
      <w:r w:rsidRPr="00104F4B">
        <w:rPr>
          <w:rFonts w:ascii="Arial" w:hAnsi="Arial" w:cs="Arial"/>
          <w:sz w:val="22"/>
          <w:szCs w:val="22"/>
        </w:rPr>
        <w:t>Asistencia a reuniones para determinar competencias, de acuerdo con los convenios suscritos y por suscribir con las Empresas de Servicios públicos EAAB, Gas Natural, Codensa, ETB, Claro, Colombia Telecomunicaciones, UNE-EPM, entre otras.</w:t>
      </w:r>
    </w:p>
    <w:p w:rsidR="004524F6" w:rsidRPr="00104F4B" w:rsidRDefault="004524F6" w:rsidP="004524F6">
      <w:pPr>
        <w:pStyle w:val="Contenidodelatabla"/>
        <w:jc w:val="both"/>
        <w:rPr>
          <w:rFonts w:ascii="Arial" w:hAnsi="Arial" w:cs="Arial"/>
          <w:b/>
          <w:smallCaps/>
          <w:sz w:val="22"/>
          <w:szCs w:val="22"/>
        </w:rPr>
      </w:pPr>
      <w:r w:rsidRPr="00104F4B">
        <w:rPr>
          <w:rFonts w:ascii="Arial" w:hAnsi="Arial" w:cs="Arial"/>
          <w:smallCaps/>
          <w:sz w:val="22"/>
          <w:szCs w:val="22"/>
          <w:u w:val="single"/>
          <w:lang w:eastAsia="en-US"/>
        </w:rPr>
        <w:t>Capacitaciones de ley de infraestructura, convenios y guía de coordinación idu – esp</w:t>
      </w:r>
      <w:r w:rsidRPr="00104F4B">
        <w:rPr>
          <w:rFonts w:ascii="Arial" w:hAnsi="Arial" w:cs="Arial"/>
          <w:sz w:val="22"/>
          <w:szCs w:val="22"/>
          <w:u w:val="single"/>
        </w:rPr>
        <w:t>:</w:t>
      </w:r>
      <w:r w:rsidRPr="00104F4B">
        <w:rPr>
          <w:rFonts w:ascii="Arial" w:hAnsi="Arial" w:cs="Arial"/>
          <w:b/>
          <w:i/>
          <w:sz w:val="22"/>
          <w:szCs w:val="22"/>
          <w:u w:val="single"/>
        </w:rPr>
        <w:t xml:space="preserve"> </w:t>
      </w:r>
      <w:r w:rsidRPr="00104F4B">
        <w:rPr>
          <w:rFonts w:ascii="Arial" w:hAnsi="Arial" w:cs="Arial"/>
          <w:sz w:val="22"/>
          <w:szCs w:val="22"/>
        </w:rPr>
        <w:t>Se realizó las sesiones de capacitación para divulgar los temas concertados con las ESP en los Convenios Marco, en relación con las obligaciones de carácter técnico, financiero y legal a cargo de las Entidades para la ejecución de las redes de servicios públicos en los proyectos del IDU.</w:t>
      </w:r>
    </w:p>
    <w:p w:rsidR="004524F6" w:rsidRPr="00104F4B" w:rsidRDefault="004524F6" w:rsidP="004524F6">
      <w:pPr>
        <w:contextualSpacing/>
        <w:rPr>
          <w:rFonts w:eastAsia="SimSun" w:cs="Arial"/>
          <w:b/>
          <w:szCs w:val="22"/>
          <w:lang w:val="es-CO" w:eastAsia="zh-CN" w:bidi="hi-IN"/>
        </w:rPr>
      </w:pPr>
      <w:r w:rsidRPr="00104F4B">
        <w:rPr>
          <w:rFonts w:eastAsia="SimSun" w:cs="Arial"/>
          <w:b/>
          <w:szCs w:val="22"/>
          <w:lang w:val="es-CO" w:eastAsia="zh-CN" w:bidi="hi-IN"/>
        </w:rPr>
        <w:t>Coordinación interinstitucional e intersectorial para el desarrollo de infraestructura vial y espacio público por terceros.</w:t>
      </w:r>
    </w:p>
    <w:p w:rsidR="004524F6" w:rsidRPr="005C3D90" w:rsidRDefault="004524F6" w:rsidP="004524F6">
      <w:pPr>
        <w:contextualSpacing/>
        <w:rPr>
          <w:rFonts w:cs="Arial"/>
          <w:b/>
          <w:smallCaps/>
          <w:szCs w:val="22"/>
          <w:lang w:val="es-CO" w:eastAsia="en-US"/>
        </w:rPr>
      </w:pPr>
    </w:p>
    <w:p w:rsidR="004524F6" w:rsidRPr="00104F4B" w:rsidRDefault="004524F6" w:rsidP="004524F6">
      <w:pPr>
        <w:pStyle w:val="Text1"/>
        <w:keepLines w:val="0"/>
        <w:spacing w:after="120" w:line="240" w:lineRule="atLeast"/>
        <w:contextualSpacing/>
        <w:rPr>
          <w:rFonts w:cs="Arial"/>
          <w:sz w:val="22"/>
          <w:szCs w:val="22"/>
        </w:rPr>
      </w:pPr>
      <w:r w:rsidRPr="00104F4B">
        <w:rPr>
          <w:rFonts w:cs="Arial"/>
          <w:sz w:val="22"/>
          <w:szCs w:val="22"/>
        </w:rPr>
        <w:t>La SGDU lidera la Gestión Interinstitucional e Intersectorial requerida para la participación de la Entidad en la etapa de formulación de los instrumentos de planeación que definen las principales intervenciones de infraestructura vial y espacio público a realizar por terceros (públicos o privados). Así mismo, esta Subdirección General adelanta la gestión conducente a lograr los acuerdos requeridos para la intervención de infraestructura vial y espacio público en el marco de obligaciones urbanísticas y de manera voluntaria, de acuerdo con los procedimientos vigentes. En ese sentido, las principales actividades adelantadas por la SGDU en este componente se resumen en cuatro (4) grandes ejes:</w:t>
      </w:r>
    </w:p>
    <w:p w:rsidR="004524F6" w:rsidRPr="00104F4B" w:rsidRDefault="004524F6" w:rsidP="004524F6">
      <w:pPr>
        <w:pStyle w:val="Text1"/>
        <w:keepLines w:val="0"/>
        <w:spacing w:after="120" w:line="240" w:lineRule="atLeast"/>
        <w:contextualSpacing/>
        <w:rPr>
          <w:rFonts w:cs="Arial"/>
          <w:sz w:val="24"/>
          <w:szCs w:val="24"/>
        </w:rPr>
      </w:pPr>
    </w:p>
    <w:p w:rsidR="004524F6" w:rsidRPr="00104F4B" w:rsidRDefault="004524F6" w:rsidP="004524F6">
      <w:pPr>
        <w:contextualSpacing/>
        <w:rPr>
          <w:rFonts w:eastAsia="SimSun" w:cs="Arial"/>
          <w:b/>
          <w:szCs w:val="22"/>
          <w:lang w:val="es-CO" w:eastAsia="zh-CN" w:bidi="hi-IN"/>
        </w:rPr>
      </w:pPr>
      <w:r w:rsidRPr="00104F4B">
        <w:rPr>
          <w:rFonts w:eastAsia="SimSun" w:cs="Arial"/>
          <w:b/>
          <w:szCs w:val="22"/>
          <w:lang w:val="es-CO" w:eastAsia="zh-CN" w:bidi="hi-IN"/>
        </w:rPr>
        <w:t>Coordinación Interinstitucional e Intersectorial en el marco de los Instrumentos de Planeación.</w:t>
      </w:r>
    </w:p>
    <w:p w:rsidR="004524F6" w:rsidRPr="00104F4B" w:rsidRDefault="004524F6" w:rsidP="004524F6">
      <w:pPr>
        <w:pStyle w:val="Contenidodelatabla"/>
        <w:jc w:val="both"/>
        <w:rPr>
          <w:rFonts w:ascii="Arial" w:hAnsi="Arial" w:cs="Arial"/>
          <w:sz w:val="22"/>
          <w:szCs w:val="22"/>
        </w:rPr>
      </w:pPr>
      <w:r w:rsidRPr="00104F4B">
        <w:rPr>
          <w:rFonts w:ascii="Arial" w:hAnsi="Arial" w:cs="Arial"/>
          <w:smallCaps/>
          <w:sz w:val="22"/>
          <w:szCs w:val="22"/>
          <w:u w:val="single"/>
        </w:rPr>
        <w:t>acciones Populares</w:t>
      </w:r>
      <w:r w:rsidRPr="00104F4B">
        <w:rPr>
          <w:rFonts w:ascii="Arial" w:hAnsi="Arial" w:cs="Arial"/>
          <w:sz w:val="22"/>
          <w:szCs w:val="22"/>
          <w:u w:val="single"/>
        </w:rPr>
        <w:t>:</w:t>
      </w:r>
      <w:r w:rsidRPr="00104F4B">
        <w:rPr>
          <w:rFonts w:ascii="Arial" w:hAnsi="Arial" w:cs="Arial"/>
          <w:b/>
          <w:sz w:val="22"/>
          <w:szCs w:val="22"/>
        </w:rPr>
        <w:t xml:space="preserve"> </w:t>
      </w:r>
      <w:r w:rsidRPr="00104F4B">
        <w:rPr>
          <w:rFonts w:ascii="Arial" w:hAnsi="Arial" w:cs="Arial"/>
          <w:sz w:val="22"/>
          <w:szCs w:val="22"/>
        </w:rPr>
        <w:t>Con el propósito de lograr el cumplimiento oportuno de los fallos generados en el marco de las acciones populares, el IDU genero un grupo interdisciplinario liderado por la</w:t>
      </w:r>
      <w:r w:rsidRPr="00104F4B">
        <w:rPr>
          <w:rFonts w:ascii="Arial" w:hAnsi="Arial" w:cs="Arial"/>
          <w:b/>
          <w:sz w:val="22"/>
          <w:szCs w:val="22"/>
        </w:rPr>
        <w:t xml:space="preserve"> </w:t>
      </w:r>
      <w:r w:rsidRPr="00104F4B">
        <w:rPr>
          <w:rFonts w:ascii="Arial" w:hAnsi="Arial" w:cs="Arial"/>
          <w:sz w:val="22"/>
          <w:szCs w:val="22"/>
        </w:rPr>
        <w:t xml:space="preserve">Subdirección General Jurídica en el cual se coordinan las gestiones interinstitucionales e intersectoriales requeridas para lograr la ejecución de las obras que dan cumplimiento a las acciones populares. La SGDU asiste, participa y apoya las actividades en atención a fallos de segunda instancia de Acciones Populares que tienen relación con los instrumentos de planeación y de movilidad y los convenios suscritos a la fecha. En este sentido, se identificó que algunas de las obligaciones a cargo de los promotores y/o terceros, coinciden con las pretensiones de ciertas Acciones Populares, tal como se muestra a continuación: </w:t>
      </w:r>
    </w:p>
    <w:p w:rsidR="004524F6" w:rsidRPr="00104F4B" w:rsidRDefault="004524F6" w:rsidP="004524F6">
      <w:pPr>
        <w:pStyle w:val="Contenidodelatabla"/>
        <w:jc w:val="both"/>
        <w:rPr>
          <w:rFonts w:ascii="Arial" w:hAnsi="Arial" w:cs="Arial"/>
          <w:sz w:val="22"/>
          <w:szCs w:val="22"/>
        </w:rPr>
      </w:pPr>
    </w:p>
    <w:tbl>
      <w:tblPr>
        <w:tblStyle w:val="Tablaconcuadrcula"/>
        <w:tblW w:w="9356" w:type="dxa"/>
        <w:tblInd w:w="137" w:type="dxa"/>
        <w:tblLook w:val="04A0" w:firstRow="1" w:lastRow="0" w:firstColumn="1" w:lastColumn="0" w:noHBand="0" w:noVBand="1"/>
      </w:tblPr>
      <w:tblGrid>
        <w:gridCol w:w="1276"/>
        <w:gridCol w:w="2126"/>
        <w:gridCol w:w="3260"/>
        <w:gridCol w:w="2694"/>
      </w:tblGrid>
      <w:tr w:rsidR="004524F6" w:rsidRPr="00104F4B" w:rsidTr="00FC0A3C">
        <w:trPr>
          <w:trHeight w:val="178"/>
        </w:trPr>
        <w:tc>
          <w:tcPr>
            <w:tcW w:w="1276" w:type="dxa"/>
            <w:shd w:val="clear" w:color="auto" w:fill="D9D9D9" w:themeFill="background1" w:themeFillShade="D9"/>
          </w:tcPr>
          <w:p w:rsidR="004524F6" w:rsidRPr="00104F4B" w:rsidRDefault="004524F6" w:rsidP="00FC0A3C">
            <w:pPr>
              <w:rPr>
                <w:rFonts w:cs="Arial"/>
                <w:b/>
                <w:sz w:val="16"/>
                <w:szCs w:val="16"/>
              </w:rPr>
            </w:pPr>
            <w:r w:rsidRPr="00104F4B">
              <w:rPr>
                <w:rFonts w:cs="Arial"/>
                <w:b/>
                <w:sz w:val="16"/>
                <w:szCs w:val="16"/>
              </w:rPr>
              <w:t>Acción Popular</w:t>
            </w:r>
          </w:p>
        </w:tc>
        <w:tc>
          <w:tcPr>
            <w:tcW w:w="2126" w:type="dxa"/>
            <w:shd w:val="clear" w:color="auto" w:fill="D9D9D9" w:themeFill="background1" w:themeFillShade="D9"/>
          </w:tcPr>
          <w:p w:rsidR="004524F6" w:rsidRPr="00104F4B" w:rsidRDefault="004524F6" w:rsidP="00FC0A3C">
            <w:pPr>
              <w:rPr>
                <w:rFonts w:cs="Arial"/>
                <w:b/>
                <w:sz w:val="16"/>
                <w:szCs w:val="16"/>
              </w:rPr>
            </w:pPr>
            <w:r w:rsidRPr="00104F4B">
              <w:rPr>
                <w:rFonts w:cs="Arial"/>
                <w:b/>
                <w:sz w:val="16"/>
                <w:szCs w:val="16"/>
              </w:rPr>
              <w:t>Instrumento de Planeación</w:t>
            </w:r>
          </w:p>
        </w:tc>
        <w:tc>
          <w:tcPr>
            <w:tcW w:w="3260" w:type="dxa"/>
            <w:shd w:val="clear" w:color="auto" w:fill="D9D9D9" w:themeFill="background1" w:themeFillShade="D9"/>
          </w:tcPr>
          <w:p w:rsidR="004524F6" w:rsidRPr="00104F4B" w:rsidRDefault="004524F6" w:rsidP="00FC0A3C">
            <w:pPr>
              <w:rPr>
                <w:rFonts w:cs="Arial"/>
                <w:b/>
                <w:sz w:val="16"/>
                <w:szCs w:val="16"/>
              </w:rPr>
            </w:pPr>
            <w:r w:rsidRPr="00104F4B">
              <w:rPr>
                <w:rFonts w:cs="Arial"/>
                <w:b/>
                <w:sz w:val="16"/>
                <w:szCs w:val="16"/>
              </w:rPr>
              <w:t xml:space="preserve">Convenio de Cooperación </w:t>
            </w:r>
          </w:p>
        </w:tc>
        <w:tc>
          <w:tcPr>
            <w:tcW w:w="2694" w:type="dxa"/>
            <w:shd w:val="clear" w:color="auto" w:fill="D9D9D9" w:themeFill="background1" w:themeFillShade="D9"/>
          </w:tcPr>
          <w:p w:rsidR="004524F6" w:rsidRPr="00104F4B" w:rsidRDefault="004524F6" w:rsidP="00FC0A3C">
            <w:pPr>
              <w:rPr>
                <w:rFonts w:cs="Arial"/>
                <w:b/>
                <w:sz w:val="16"/>
                <w:szCs w:val="16"/>
              </w:rPr>
            </w:pPr>
            <w:r w:rsidRPr="00104F4B">
              <w:rPr>
                <w:rFonts w:cs="Arial"/>
                <w:b/>
                <w:sz w:val="16"/>
                <w:szCs w:val="16"/>
              </w:rPr>
              <w:t>Tipo de intervención asociada</w:t>
            </w:r>
          </w:p>
        </w:tc>
      </w:tr>
      <w:tr w:rsidR="004524F6" w:rsidRPr="00104F4B" w:rsidTr="00FC0A3C">
        <w:trPr>
          <w:trHeight w:val="267"/>
        </w:trPr>
        <w:tc>
          <w:tcPr>
            <w:tcW w:w="1276" w:type="dxa"/>
            <w:vAlign w:val="center"/>
          </w:tcPr>
          <w:p w:rsidR="004524F6" w:rsidRPr="00104F4B" w:rsidRDefault="004524F6" w:rsidP="00FC0A3C">
            <w:pPr>
              <w:rPr>
                <w:rFonts w:cs="Arial"/>
                <w:sz w:val="16"/>
                <w:szCs w:val="16"/>
              </w:rPr>
            </w:pPr>
            <w:r w:rsidRPr="00104F4B">
              <w:rPr>
                <w:rFonts w:cs="Arial"/>
                <w:sz w:val="16"/>
                <w:szCs w:val="16"/>
              </w:rPr>
              <w:t>2008 / 161</w:t>
            </w:r>
          </w:p>
        </w:tc>
        <w:tc>
          <w:tcPr>
            <w:tcW w:w="2126" w:type="dxa"/>
            <w:vAlign w:val="center"/>
          </w:tcPr>
          <w:p w:rsidR="004524F6" w:rsidRPr="00104F4B" w:rsidRDefault="004524F6" w:rsidP="00FC0A3C">
            <w:pPr>
              <w:rPr>
                <w:rFonts w:cs="Arial"/>
                <w:sz w:val="16"/>
                <w:szCs w:val="16"/>
              </w:rPr>
            </w:pPr>
            <w:r w:rsidRPr="00104F4B">
              <w:rPr>
                <w:rFonts w:cs="Arial"/>
                <w:sz w:val="16"/>
                <w:szCs w:val="16"/>
              </w:rPr>
              <w:t xml:space="preserve">Plan de Regularización y Manejo Colegio Nueva Granada </w:t>
            </w:r>
          </w:p>
        </w:tc>
        <w:tc>
          <w:tcPr>
            <w:tcW w:w="3260" w:type="dxa"/>
            <w:vAlign w:val="center"/>
          </w:tcPr>
          <w:p w:rsidR="004524F6" w:rsidRPr="00104F4B" w:rsidRDefault="004524F6" w:rsidP="00FC0A3C">
            <w:pPr>
              <w:rPr>
                <w:rFonts w:cs="Arial"/>
                <w:sz w:val="16"/>
                <w:szCs w:val="16"/>
              </w:rPr>
            </w:pPr>
            <w:r w:rsidRPr="00104F4B">
              <w:rPr>
                <w:rFonts w:cs="Arial"/>
                <w:sz w:val="16"/>
                <w:szCs w:val="16"/>
              </w:rPr>
              <w:t xml:space="preserve">IDU - 1430 – 2017 En ejecución de la etapa de Estudios y Diseños, en seguimiento de la DTP </w:t>
            </w:r>
          </w:p>
        </w:tc>
        <w:tc>
          <w:tcPr>
            <w:tcW w:w="2694" w:type="dxa"/>
            <w:vAlign w:val="center"/>
          </w:tcPr>
          <w:p w:rsidR="004524F6" w:rsidRPr="00104F4B" w:rsidRDefault="004524F6" w:rsidP="00FC0A3C">
            <w:pPr>
              <w:rPr>
                <w:rFonts w:cs="Arial"/>
                <w:sz w:val="16"/>
                <w:szCs w:val="16"/>
              </w:rPr>
            </w:pPr>
            <w:r w:rsidRPr="00104F4B">
              <w:rPr>
                <w:rFonts w:cs="Arial"/>
                <w:sz w:val="16"/>
                <w:szCs w:val="16"/>
              </w:rPr>
              <w:t>Puente peatonal sobre Av. Circunvalar por Calle 71.</w:t>
            </w:r>
          </w:p>
        </w:tc>
      </w:tr>
      <w:tr w:rsidR="004524F6" w:rsidRPr="00104F4B" w:rsidTr="00FC0A3C">
        <w:trPr>
          <w:trHeight w:val="620"/>
        </w:trPr>
        <w:tc>
          <w:tcPr>
            <w:tcW w:w="1276" w:type="dxa"/>
            <w:vAlign w:val="center"/>
          </w:tcPr>
          <w:p w:rsidR="004524F6" w:rsidRPr="00104F4B" w:rsidRDefault="004524F6" w:rsidP="00FC0A3C">
            <w:pPr>
              <w:rPr>
                <w:rFonts w:cs="Arial"/>
                <w:sz w:val="16"/>
                <w:szCs w:val="16"/>
              </w:rPr>
            </w:pPr>
            <w:r w:rsidRPr="00104F4B">
              <w:rPr>
                <w:rFonts w:cs="Arial"/>
                <w:sz w:val="16"/>
                <w:szCs w:val="16"/>
              </w:rPr>
              <w:t>2009 / 052</w:t>
            </w:r>
          </w:p>
          <w:p w:rsidR="004524F6" w:rsidRPr="00104F4B" w:rsidRDefault="004524F6" w:rsidP="00FC0A3C">
            <w:pPr>
              <w:rPr>
                <w:rFonts w:cs="Arial"/>
                <w:sz w:val="16"/>
                <w:szCs w:val="16"/>
              </w:rPr>
            </w:pPr>
            <w:r w:rsidRPr="00104F4B">
              <w:rPr>
                <w:rFonts w:cs="Arial"/>
                <w:sz w:val="16"/>
                <w:szCs w:val="16"/>
              </w:rPr>
              <w:t>Con Incidente de Desacato</w:t>
            </w:r>
          </w:p>
          <w:p w:rsidR="004524F6" w:rsidRPr="00104F4B" w:rsidRDefault="004524F6" w:rsidP="00FC0A3C">
            <w:pPr>
              <w:rPr>
                <w:rFonts w:cs="Arial"/>
                <w:sz w:val="16"/>
                <w:szCs w:val="16"/>
              </w:rPr>
            </w:pPr>
          </w:p>
        </w:tc>
        <w:tc>
          <w:tcPr>
            <w:tcW w:w="2126" w:type="dxa"/>
          </w:tcPr>
          <w:p w:rsidR="004524F6" w:rsidRPr="00104F4B" w:rsidRDefault="004524F6" w:rsidP="00FC0A3C">
            <w:pPr>
              <w:rPr>
                <w:rFonts w:cs="Arial"/>
                <w:sz w:val="16"/>
                <w:szCs w:val="16"/>
              </w:rPr>
            </w:pPr>
            <w:r w:rsidRPr="00104F4B">
              <w:rPr>
                <w:rFonts w:cs="Arial"/>
                <w:sz w:val="16"/>
                <w:szCs w:val="16"/>
              </w:rPr>
              <w:t>Plan de Regularización y Manejo Clínica La Paz</w:t>
            </w:r>
          </w:p>
          <w:p w:rsidR="004524F6" w:rsidRPr="00104F4B" w:rsidRDefault="004524F6" w:rsidP="00FC0A3C">
            <w:pPr>
              <w:rPr>
                <w:rFonts w:cs="Arial"/>
                <w:sz w:val="16"/>
                <w:szCs w:val="16"/>
              </w:rPr>
            </w:pPr>
          </w:p>
          <w:p w:rsidR="004524F6" w:rsidRPr="00104F4B" w:rsidRDefault="004524F6" w:rsidP="00FC0A3C">
            <w:pPr>
              <w:rPr>
                <w:rFonts w:cs="Arial"/>
                <w:sz w:val="16"/>
                <w:szCs w:val="16"/>
              </w:rPr>
            </w:pPr>
          </w:p>
          <w:p w:rsidR="004524F6" w:rsidRPr="00104F4B" w:rsidRDefault="004524F6" w:rsidP="00FC0A3C">
            <w:pPr>
              <w:rPr>
                <w:rFonts w:cs="Arial"/>
                <w:sz w:val="16"/>
                <w:szCs w:val="16"/>
              </w:rPr>
            </w:pPr>
            <w:r w:rsidRPr="00104F4B">
              <w:rPr>
                <w:rFonts w:cs="Arial"/>
                <w:sz w:val="16"/>
                <w:szCs w:val="16"/>
              </w:rPr>
              <w:t>Plan de Implantación Centro Comercial El Edén</w:t>
            </w:r>
          </w:p>
        </w:tc>
        <w:tc>
          <w:tcPr>
            <w:tcW w:w="3260" w:type="dxa"/>
          </w:tcPr>
          <w:p w:rsidR="004524F6" w:rsidRPr="00104F4B" w:rsidRDefault="004524F6" w:rsidP="00FC0A3C">
            <w:pPr>
              <w:rPr>
                <w:rFonts w:cs="Arial"/>
                <w:sz w:val="16"/>
                <w:szCs w:val="16"/>
              </w:rPr>
            </w:pPr>
            <w:r w:rsidRPr="00104F4B">
              <w:rPr>
                <w:rFonts w:cs="Arial"/>
                <w:sz w:val="16"/>
                <w:szCs w:val="16"/>
              </w:rPr>
              <w:t>IDU -1453- 2017 En ejecución de la etapa de Estudios y Diseños, en seguimiento de la DTP</w:t>
            </w:r>
          </w:p>
          <w:p w:rsidR="004524F6" w:rsidRPr="00104F4B" w:rsidRDefault="004524F6" w:rsidP="00FC0A3C">
            <w:pPr>
              <w:rPr>
                <w:rFonts w:cs="Arial"/>
                <w:sz w:val="16"/>
                <w:szCs w:val="16"/>
              </w:rPr>
            </w:pPr>
          </w:p>
          <w:p w:rsidR="004524F6" w:rsidRPr="00104F4B" w:rsidRDefault="004524F6" w:rsidP="00FC0A3C">
            <w:pPr>
              <w:rPr>
                <w:rFonts w:cs="Arial"/>
                <w:sz w:val="16"/>
                <w:szCs w:val="16"/>
              </w:rPr>
            </w:pPr>
          </w:p>
          <w:p w:rsidR="004524F6" w:rsidRPr="00104F4B" w:rsidRDefault="004524F6" w:rsidP="00FC0A3C">
            <w:pPr>
              <w:rPr>
                <w:rFonts w:cs="Arial"/>
                <w:sz w:val="16"/>
                <w:szCs w:val="16"/>
              </w:rPr>
            </w:pPr>
            <w:r w:rsidRPr="00104F4B">
              <w:rPr>
                <w:rFonts w:cs="Arial"/>
                <w:sz w:val="16"/>
                <w:szCs w:val="16"/>
              </w:rPr>
              <w:t>IDU -1452- 2017 En ejecución de la etapa de Obra, en seguimiento de la DTC</w:t>
            </w:r>
          </w:p>
        </w:tc>
        <w:tc>
          <w:tcPr>
            <w:tcW w:w="2694" w:type="dxa"/>
            <w:vAlign w:val="center"/>
          </w:tcPr>
          <w:p w:rsidR="004524F6" w:rsidRPr="00104F4B" w:rsidRDefault="004524F6" w:rsidP="00FC0A3C">
            <w:pPr>
              <w:rPr>
                <w:rFonts w:cs="Arial"/>
                <w:sz w:val="16"/>
                <w:szCs w:val="16"/>
              </w:rPr>
            </w:pPr>
            <w:r w:rsidRPr="00104F4B">
              <w:rPr>
                <w:rFonts w:cs="Arial"/>
                <w:sz w:val="16"/>
                <w:szCs w:val="16"/>
              </w:rPr>
              <w:t>Ampliación pontón existente sobre el Canal de Rio Fucha localizado en la carrera 68F.</w:t>
            </w:r>
          </w:p>
          <w:p w:rsidR="004524F6" w:rsidRPr="00104F4B" w:rsidRDefault="004524F6" w:rsidP="00FC0A3C">
            <w:pPr>
              <w:rPr>
                <w:rFonts w:cs="Arial"/>
                <w:sz w:val="16"/>
                <w:szCs w:val="16"/>
              </w:rPr>
            </w:pPr>
          </w:p>
          <w:p w:rsidR="004524F6" w:rsidRPr="00104F4B" w:rsidRDefault="004524F6" w:rsidP="00FC0A3C">
            <w:pPr>
              <w:rPr>
                <w:rFonts w:cs="Arial"/>
                <w:sz w:val="16"/>
                <w:szCs w:val="16"/>
              </w:rPr>
            </w:pPr>
            <w:r w:rsidRPr="00104F4B">
              <w:rPr>
                <w:rFonts w:cs="Arial"/>
                <w:sz w:val="16"/>
                <w:szCs w:val="16"/>
              </w:rPr>
              <w:t>Construcción de un pontón sobre el Canal de Rio Fucha localizado en la carrera 71D.</w:t>
            </w:r>
          </w:p>
        </w:tc>
      </w:tr>
    </w:tbl>
    <w:p w:rsidR="004524F6" w:rsidRPr="00104F4B" w:rsidRDefault="004524F6" w:rsidP="004524F6">
      <w:pPr>
        <w:pStyle w:val="Contenidodelatabla"/>
        <w:jc w:val="both"/>
        <w:rPr>
          <w:rFonts w:ascii="Arial" w:hAnsi="Arial" w:cs="Arial"/>
          <w:b/>
          <w:sz w:val="22"/>
          <w:szCs w:val="22"/>
        </w:rPr>
      </w:pPr>
    </w:p>
    <w:p w:rsidR="004524F6" w:rsidRPr="00104F4B" w:rsidRDefault="004524F6" w:rsidP="004524F6">
      <w:pPr>
        <w:pStyle w:val="Contenidodelatabla"/>
        <w:jc w:val="both"/>
        <w:rPr>
          <w:rFonts w:ascii="Arial" w:hAnsi="Arial" w:cs="Arial"/>
        </w:rPr>
      </w:pPr>
      <w:r w:rsidRPr="00104F4B">
        <w:rPr>
          <w:rFonts w:ascii="Arial" w:hAnsi="Arial" w:cs="Arial"/>
          <w:b/>
          <w:sz w:val="22"/>
          <w:szCs w:val="22"/>
        </w:rPr>
        <w:t>Armonización de Instrumentos de Planeación con los Proyectos del Plan de Desarrollo “Bogotá Mejor para Todos”:</w:t>
      </w:r>
      <w:r w:rsidRPr="00104F4B">
        <w:rPr>
          <w:rFonts w:ascii="Arial" w:hAnsi="Arial" w:cs="Arial"/>
        </w:rPr>
        <w:t xml:space="preserve"> La SGDU en el marco de sus funciones adelantó las gestiones </w:t>
      </w:r>
      <w:r w:rsidRPr="00104F4B">
        <w:rPr>
          <w:rFonts w:ascii="Arial" w:hAnsi="Arial" w:cs="Arial"/>
        </w:rPr>
        <w:lastRenderedPageBreak/>
        <w:t>requeridas para la armonización de los instrumentos de planeación a cargo de terceros, con los proyectos del Plan de Desarrollo, entre los cuales se pueden destacar los siguientes proyectos:</w:t>
      </w:r>
    </w:p>
    <w:p w:rsidR="004524F6" w:rsidRPr="00104F4B" w:rsidRDefault="004524F6" w:rsidP="004524F6">
      <w:pPr>
        <w:pStyle w:val="Contenidodelatabla"/>
        <w:jc w:val="both"/>
        <w:rPr>
          <w:rFonts w:ascii="Arial" w:hAnsi="Arial" w:cs="Arial"/>
          <w:b/>
          <w:sz w:val="22"/>
          <w:szCs w:val="22"/>
        </w:rPr>
      </w:pPr>
    </w:p>
    <w:p w:rsidR="004524F6" w:rsidRPr="00104F4B" w:rsidRDefault="004524F6" w:rsidP="004524F6">
      <w:pPr>
        <w:pStyle w:val="Contenidodelatabla"/>
        <w:jc w:val="both"/>
        <w:rPr>
          <w:rFonts w:ascii="Arial" w:hAnsi="Arial" w:cs="Arial"/>
          <w:sz w:val="22"/>
          <w:szCs w:val="22"/>
        </w:rPr>
      </w:pPr>
      <w:r w:rsidRPr="00104F4B">
        <w:rPr>
          <w:rFonts w:ascii="Arial" w:hAnsi="Arial" w:cs="Arial"/>
          <w:b/>
          <w:sz w:val="22"/>
          <w:szCs w:val="22"/>
        </w:rPr>
        <w:t>Proyecto Avenida Alsacia – Tintal y su armonización con el Plan Parcial Bavaria /Plan de Implantación Centro Comercial el Edén / Plan de Regularización y Manejo Clínica la Paz:</w:t>
      </w:r>
      <w:r w:rsidRPr="00104F4B">
        <w:rPr>
          <w:rFonts w:ascii="Arial" w:hAnsi="Arial" w:cs="Arial"/>
          <w:sz w:val="22"/>
          <w:szCs w:val="22"/>
        </w:rPr>
        <w:t xml:space="preserve"> En el marco de los convenios suscritos para el cumplimiento del Plan de Implantación del Centro Comercial El Edén (IDU -1452 – 2017),  Plan de Regularización y Manejo de Clínica Nuestra Señora de la Paz (IDU-1453-2017), Plan Parcial Bavaria Fabrica (IDU-1551-2018) se realizaron las gestiones conducentes a la liquidación del pago compensatorio de estos proyectos urbanísticos, en relación con sus obligaciones relacionadas con la Avenida Alsacia.</w:t>
      </w:r>
    </w:p>
    <w:p w:rsidR="004524F6" w:rsidRPr="00104F4B" w:rsidRDefault="004524F6" w:rsidP="004524F6">
      <w:pPr>
        <w:pStyle w:val="Contenidodelatabla"/>
        <w:jc w:val="both"/>
        <w:rPr>
          <w:rFonts w:ascii="Arial" w:hAnsi="Arial" w:cs="Arial"/>
          <w:b/>
          <w:sz w:val="22"/>
          <w:szCs w:val="22"/>
        </w:rPr>
      </w:pPr>
    </w:p>
    <w:p w:rsidR="004524F6" w:rsidRPr="00104F4B" w:rsidRDefault="004524F6" w:rsidP="004524F6">
      <w:pPr>
        <w:pStyle w:val="Contenidodelatabla"/>
        <w:jc w:val="both"/>
        <w:rPr>
          <w:rFonts w:ascii="Arial" w:hAnsi="Arial" w:cs="Arial"/>
          <w:b/>
          <w:sz w:val="22"/>
          <w:szCs w:val="22"/>
        </w:rPr>
      </w:pPr>
      <w:r w:rsidRPr="00104F4B">
        <w:rPr>
          <w:rFonts w:ascii="Arial" w:hAnsi="Arial" w:cs="Arial"/>
          <w:b/>
          <w:sz w:val="22"/>
          <w:szCs w:val="22"/>
        </w:rPr>
        <w:t xml:space="preserve">Estudios y Diseños Troncal Villavicencio y su armonización con el Plan de Implantación Centro Comercial El Ensueño – </w:t>
      </w:r>
      <w:r w:rsidRPr="00104F4B">
        <w:rPr>
          <w:rFonts w:ascii="Arial" w:hAnsi="Arial" w:cs="Arial"/>
          <w:sz w:val="22"/>
          <w:szCs w:val="22"/>
        </w:rPr>
        <w:t>En curso</w:t>
      </w:r>
      <w:r w:rsidRPr="00104F4B">
        <w:rPr>
          <w:rFonts w:ascii="Arial" w:hAnsi="Arial" w:cs="Arial"/>
          <w:b/>
          <w:sz w:val="22"/>
          <w:szCs w:val="22"/>
        </w:rPr>
        <w:t xml:space="preserve"> </w:t>
      </w:r>
      <w:r w:rsidRPr="00104F4B">
        <w:rPr>
          <w:rFonts w:ascii="Arial" w:hAnsi="Arial" w:cs="Arial"/>
          <w:sz w:val="22"/>
          <w:szCs w:val="22"/>
        </w:rPr>
        <w:t xml:space="preserve">viabilización de la compensación económica de esa acción de mitigación que se cruza con la Troncal Villavicencio.  </w:t>
      </w:r>
    </w:p>
    <w:p w:rsidR="004524F6" w:rsidRPr="00104F4B" w:rsidRDefault="004524F6" w:rsidP="004524F6">
      <w:pPr>
        <w:pStyle w:val="Contenidodelatabla"/>
        <w:jc w:val="both"/>
        <w:rPr>
          <w:rFonts w:ascii="Arial" w:hAnsi="Arial" w:cs="Arial"/>
          <w:b/>
          <w:sz w:val="22"/>
          <w:szCs w:val="22"/>
        </w:rPr>
      </w:pPr>
    </w:p>
    <w:p w:rsidR="004524F6" w:rsidRPr="00104F4B" w:rsidRDefault="004524F6" w:rsidP="004524F6">
      <w:pPr>
        <w:pStyle w:val="Contenidodelatabla"/>
        <w:jc w:val="both"/>
        <w:rPr>
          <w:rFonts w:ascii="Arial" w:hAnsi="Arial" w:cs="Arial"/>
          <w:sz w:val="22"/>
          <w:szCs w:val="22"/>
        </w:rPr>
      </w:pPr>
      <w:r w:rsidRPr="00104F4B">
        <w:rPr>
          <w:rFonts w:ascii="Arial" w:hAnsi="Arial" w:cs="Arial"/>
          <w:b/>
          <w:sz w:val="22"/>
          <w:szCs w:val="22"/>
        </w:rPr>
        <w:t>Estudios y Diseños Troncal Carrera Séptima y su armonización con el Plan Parcial de Renovación Urbana Pedregal y con los Estudios y Diseños de la Troncal Av. 68 – Calle 100.</w:t>
      </w:r>
      <w:r w:rsidRPr="00104F4B">
        <w:rPr>
          <w:rFonts w:ascii="Arial" w:hAnsi="Arial" w:cs="Arial"/>
          <w:sz w:val="22"/>
          <w:szCs w:val="22"/>
        </w:rPr>
        <w:t xml:space="preserve"> En curso la definición del tipo de drenaje por parte de la EAB, para la obra de la intersección de la calle 100 con carrera 7ª. a cargo del plan parcial, pendiente modificatorio de la resolución del plan Parcial y continuidad con fase II del convenio, una vez se surtan las armonizaciones requeridas. </w:t>
      </w:r>
    </w:p>
    <w:p w:rsidR="004524F6" w:rsidRPr="00104F4B" w:rsidRDefault="004524F6" w:rsidP="004524F6">
      <w:pPr>
        <w:pStyle w:val="Text1"/>
        <w:keepLines w:val="0"/>
        <w:spacing w:after="120" w:line="240" w:lineRule="atLeast"/>
        <w:contextualSpacing/>
        <w:rPr>
          <w:rFonts w:eastAsia="SimSun" w:cs="Arial"/>
          <w:b/>
          <w:sz w:val="22"/>
          <w:szCs w:val="22"/>
          <w:lang w:val="es-CO" w:eastAsia="zh-CN" w:bidi="hi-IN"/>
        </w:rPr>
      </w:pPr>
    </w:p>
    <w:p w:rsidR="004524F6" w:rsidRPr="00104F4B" w:rsidRDefault="004524F6" w:rsidP="004524F6">
      <w:pPr>
        <w:pStyle w:val="Text1"/>
        <w:keepLines w:val="0"/>
        <w:spacing w:after="120" w:line="240" w:lineRule="atLeast"/>
        <w:contextualSpacing/>
        <w:rPr>
          <w:rFonts w:eastAsia="SimSun" w:cs="Arial"/>
          <w:b/>
          <w:sz w:val="22"/>
          <w:szCs w:val="22"/>
          <w:lang w:val="es-CO" w:eastAsia="zh-CN" w:bidi="hi-IN"/>
        </w:rPr>
      </w:pPr>
      <w:r w:rsidRPr="00104F4B">
        <w:rPr>
          <w:rFonts w:eastAsia="SimSun" w:cs="Arial"/>
          <w:b/>
          <w:sz w:val="22"/>
          <w:szCs w:val="22"/>
          <w:lang w:val="es-CO" w:eastAsia="zh-CN" w:bidi="hi-IN"/>
        </w:rPr>
        <w:t>Participación en la Etapa de Formulación de los Instrumentos de Planeación (Planes Parciales, Planes complementarios, Actas SDM, etc.)</w:t>
      </w:r>
    </w:p>
    <w:p w:rsidR="004524F6" w:rsidRPr="00104F4B" w:rsidRDefault="004524F6" w:rsidP="004524F6">
      <w:pPr>
        <w:pStyle w:val="Text1"/>
        <w:keepLines w:val="0"/>
        <w:spacing w:after="120" w:line="240" w:lineRule="atLeast"/>
        <w:contextualSpacing/>
        <w:rPr>
          <w:rFonts w:cs="Arial"/>
          <w:b/>
          <w:smallCaps/>
          <w:sz w:val="22"/>
          <w:szCs w:val="22"/>
        </w:rPr>
      </w:pPr>
    </w:p>
    <w:p w:rsidR="004524F6" w:rsidRPr="00104F4B" w:rsidRDefault="004524F6" w:rsidP="004524F6">
      <w:pPr>
        <w:pStyle w:val="Text1"/>
        <w:keepLines w:val="0"/>
        <w:spacing w:after="120" w:line="240" w:lineRule="atLeast"/>
        <w:contextualSpacing/>
        <w:rPr>
          <w:rFonts w:cs="Arial"/>
          <w:sz w:val="22"/>
          <w:szCs w:val="22"/>
        </w:rPr>
      </w:pPr>
      <w:r w:rsidRPr="00104F4B">
        <w:rPr>
          <w:rFonts w:cs="Arial"/>
          <w:sz w:val="22"/>
          <w:szCs w:val="22"/>
        </w:rPr>
        <w:t>Los instrumentos de planeación se encuentran definidos de manera general en el artículo 43 del Decreto Distrital 190 de 2004. En tal sentido, durante la formulación de los diversos Instrumentos de Planeación, la Secretaria Distrital de Planeación solicita mediante oficio a las diferentes entidades, emitir concepto técnico en los temas de sus respectivas competencias y según los términos establecidos en la norma, como es el caso de los planes parciales. Con relación a los otros Instrumentos de Planeación o de Movilidad, las diferentes Entidades de acuerdo con la naturaleza y complejidad de los proyectos, podrán solicitar concepto técnico en los temas de competencia del IDU.</w:t>
      </w:r>
    </w:p>
    <w:p w:rsidR="004524F6" w:rsidRPr="00104F4B" w:rsidRDefault="004524F6" w:rsidP="004524F6">
      <w:pPr>
        <w:pStyle w:val="Text1"/>
        <w:keepLines w:val="0"/>
        <w:spacing w:after="120" w:line="240" w:lineRule="atLeast"/>
        <w:contextualSpacing/>
        <w:rPr>
          <w:rFonts w:cs="Arial"/>
          <w:sz w:val="22"/>
          <w:szCs w:val="22"/>
        </w:rPr>
      </w:pPr>
    </w:p>
    <w:p w:rsidR="004524F6" w:rsidRPr="00104F4B" w:rsidRDefault="004524F6" w:rsidP="004524F6">
      <w:pPr>
        <w:pStyle w:val="Text1"/>
        <w:keepLines w:val="0"/>
        <w:spacing w:after="120" w:line="240" w:lineRule="atLeast"/>
        <w:contextualSpacing/>
        <w:rPr>
          <w:rFonts w:eastAsia="SimSun" w:cs="Arial"/>
          <w:b/>
          <w:sz w:val="22"/>
          <w:szCs w:val="22"/>
          <w:lang w:val="es-CO" w:eastAsia="zh-CN" w:bidi="hi-IN"/>
        </w:rPr>
      </w:pPr>
      <w:r w:rsidRPr="00104F4B">
        <w:rPr>
          <w:rFonts w:eastAsia="SimSun" w:cs="Arial"/>
          <w:b/>
          <w:sz w:val="22"/>
          <w:szCs w:val="22"/>
          <w:lang w:val="es-CO" w:eastAsia="zh-CN" w:bidi="hi-IN"/>
        </w:rPr>
        <w:t>Estructuración de Convenios de Cooperación para la Intervención de</w:t>
      </w:r>
      <w:r w:rsidRPr="00104F4B">
        <w:rPr>
          <w:rFonts w:cs="Arial"/>
          <w:b/>
          <w:smallCaps/>
          <w:sz w:val="22"/>
          <w:szCs w:val="22"/>
        </w:rPr>
        <w:t xml:space="preserve"> </w:t>
      </w:r>
      <w:r w:rsidRPr="00104F4B">
        <w:rPr>
          <w:rFonts w:eastAsia="SimSun" w:cs="Arial"/>
          <w:b/>
          <w:sz w:val="22"/>
          <w:szCs w:val="22"/>
          <w:lang w:val="es-CO" w:eastAsia="zh-CN" w:bidi="hi-IN"/>
        </w:rPr>
        <w:t xml:space="preserve">Infraestructura Vial y Espacio Público a cargo de Terceros - De acuerdo con lo </w:t>
      </w:r>
    </w:p>
    <w:p w:rsidR="004524F6" w:rsidRPr="00104F4B" w:rsidRDefault="004524F6" w:rsidP="004524F6">
      <w:pPr>
        <w:pStyle w:val="Text1"/>
        <w:keepLines w:val="0"/>
        <w:spacing w:after="120" w:line="240" w:lineRule="atLeast"/>
        <w:contextualSpacing/>
        <w:rPr>
          <w:rFonts w:eastAsia="SimSun" w:cs="Arial"/>
          <w:b/>
          <w:sz w:val="22"/>
          <w:szCs w:val="22"/>
          <w:lang w:val="es-CO" w:eastAsia="zh-CN" w:bidi="hi-IN"/>
        </w:rPr>
      </w:pPr>
      <w:r w:rsidRPr="00104F4B">
        <w:rPr>
          <w:rFonts w:eastAsia="SimSun" w:cs="Arial"/>
          <w:b/>
          <w:sz w:val="22"/>
          <w:szCs w:val="22"/>
          <w:lang w:val="es-CO" w:eastAsia="zh-CN" w:bidi="hi-IN"/>
        </w:rPr>
        <w:t xml:space="preserve">Establecido en la Guía GU-IN-01 de “Intervención de Infraestructura vial y de Espacio Público a Cargo de Terceros”. </w:t>
      </w:r>
    </w:p>
    <w:p w:rsidR="004524F6" w:rsidRPr="00104F4B" w:rsidRDefault="004524F6" w:rsidP="004524F6">
      <w:pPr>
        <w:pStyle w:val="Text1"/>
        <w:keepLines w:val="0"/>
        <w:spacing w:after="120" w:line="240" w:lineRule="atLeast"/>
        <w:contextualSpacing/>
        <w:rPr>
          <w:rFonts w:eastAsia="SimSun" w:cs="Arial"/>
          <w:b/>
          <w:sz w:val="22"/>
          <w:szCs w:val="22"/>
          <w:lang w:val="es-CO" w:eastAsia="zh-CN" w:bidi="hi-IN"/>
        </w:rPr>
      </w:pPr>
    </w:p>
    <w:p w:rsidR="004524F6" w:rsidRPr="00104F4B" w:rsidRDefault="004524F6" w:rsidP="004524F6">
      <w:pPr>
        <w:pStyle w:val="Text1"/>
        <w:keepLines w:val="0"/>
        <w:spacing w:after="120" w:line="240" w:lineRule="atLeast"/>
        <w:contextualSpacing/>
        <w:rPr>
          <w:rFonts w:cs="Arial"/>
          <w:sz w:val="22"/>
          <w:szCs w:val="22"/>
          <w:lang w:eastAsia="es-ES"/>
        </w:rPr>
      </w:pPr>
      <w:r w:rsidRPr="00104F4B">
        <w:rPr>
          <w:rFonts w:cs="Arial"/>
          <w:sz w:val="22"/>
          <w:szCs w:val="22"/>
        </w:rPr>
        <w:t xml:space="preserve">La SGDU, ha dado continuidad a las actividades emprendidas con anterioridad para atender la gestión requerida y elaborar los soportes técnicos conducentes a la estructuración y suscripción de  convenios de cooperación, cuyo objetivo final es el recibo de obras o intervenciones a cargo de los terceros, derivadas, por un lado, de los compromisos de dichos terceros con la Secretaria Distrital de Movilidad y, por otra parte, de la aplicación del principio de cargas y beneficios urbanísticos y las acciones de </w:t>
      </w:r>
      <w:r w:rsidRPr="00104F4B">
        <w:rPr>
          <w:rFonts w:cs="Arial"/>
          <w:sz w:val="22"/>
          <w:szCs w:val="22"/>
          <w:lang w:eastAsia="es-ES"/>
        </w:rPr>
        <w:t xml:space="preserve">mitigación definidas por la Secretaría Distrital de Planeación. </w:t>
      </w:r>
    </w:p>
    <w:p w:rsidR="004524F6" w:rsidRPr="00104F4B" w:rsidRDefault="004524F6" w:rsidP="004524F6">
      <w:pPr>
        <w:pStyle w:val="Text1"/>
        <w:keepLines w:val="0"/>
        <w:spacing w:line="240" w:lineRule="auto"/>
        <w:contextualSpacing/>
        <w:rPr>
          <w:rFonts w:cs="Arial"/>
          <w:b/>
          <w:smallCaps/>
          <w:sz w:val="22"/>
          <w:szCs w:val="22"/>
        </w:rPr>
      </w:pPr>
    </w:p>
    <w:p w:rsidR="004524F6" w:rsidRPr="00104F4B" w:rsidRDefault="004524F6" w:rsidP="004524F6">
      <w:pPr>
        <w:pStyle w:val="Text1"/>
        <w:keepLines w:val="0"/>
        <w:spacing w:after="120" w:line="240" w:lineRule="atLeast"/>
        <w:contextualSpacing/>
        <w:rPr>
          <w:rFonts w:eastAsia="SimSun" w:cs="Arial"/>
          <w:b/>
          <w:sz w:val="22"/>
          <w:szCs w:val="22"/>
          <w:lang w:val="es-CO" w:eastAsia="zh-CN" w:bidi="hi-IN"/>
        </w:rPr>
      </w:pPr>
      <w:r w:rsidRPr="00104F4B">
        <w:rPr>
          <w:rFonts w:eastAsia="SimSun" w:cs="Arial"/>
          <w:b/>
          <w:sz w:val="22"/>
          <w:szCs w:val="22"/>
          <w:lang w:val="es-CO" w:eastAsia="zh-CN" w:bidi="hi-IN"/>
        </w:rPr>
        <w:lastRenderedPageBreak/>
        <w:t xml:space="preserve">Estructuración de Permisos para la Intervención de Infraestructura Vial y Espacio Público de Manera Voluntaria - De acuerdo con lo establecido en la Guía GU-IN-03 “Permisos para la Intervención de Infraestructura de Transporte”. </w:t>
      </w:r>
    </w:p>
    <w:p w:rsidR="004524F6" w:rsidRPr="00104F4B" w:rsidRDefault="004524F6" w:rsidP="004524F6">
      <w:pPr>
        <w:pStyle w:val="Text1"/>
        <w:keepLines w:val="0"/>
        <w:spacing w:after="120" w:line="240" w:lineRule="atLeast"/>
        <w:contextualSpacing/>
        <w:rPr>
          <w:rFonts w:cs="Arial"/>
          <w:b/>
          <w:smallCaps/>
          <w:sz w:val="22"/>
          <w:szCs w:val="22"/>
        </w:rPr>
      </w:pPr>
    </w:p>
    <w:p w:rsidR="004524F6" w:rsidRPr="00104F4B" w:rsidRDefault="004524F6" w:rsidP="004524F6">
      <w:pPr>
        <w:pStyle w:val="Text1"/>
        <w:keepLines w:val="0"/>
        <w:spacing w:after="120" w:line="240" w:lineRule="atLeast"/>
        <w:contextualSpacing/>
        <w:rPr>
          <w:rFonts w:cs="Arial"/>
          <w:sz w:val="22"/>
          <w:szCs w:val="22"/>
        </w:rPr>
      </w:pPr>
      <w:r w:rsidRPr="00104F4B">
        <w:rPr>
          <w:rFonts w:cs="Arial"/>
          <w:sz w:val="22"/>
          <w:szCs w:val="22"/>
        </w:rPr>
        <w:t>El IDU, tiene dentro de sus competencias la facultad de suscribir el acto administrativo por medio del cual se concede o se niega el permiso para intervenir la infraestructura vial del D.C., en concordancia con lo establecido en el artículo. 1º. del Decreto Distrital 582 de 2016 de la Alcaldía Mayor de Bogotá, estructurado en cumplimiento de lo señalado en el artículo 15 de la ley 1682 de 2013 “Por la cual se adoptan medidas y disposiciones para los proyectos de infraestructura de transporte y se conceden facultades extraordinarias”, y que fue reglamentado por el artículo 2º. del Decreto 942 de 2014 “Por medio del cual se establecen las condiciones que deben cumplir las autoridades para otorgar a los particulares los permisos que requieren para el desarrollo de proyectos de infraestructura de transporte”.</w:t>
      </w:r>
    </w:p>
    <w:p w:rsidR="004524F6" w:rsidRPr="00104F4B" w:rsidRDefault="004524F6" w:rsidP="004524F6">
      <w:pPr>
        <w:pStyle w:val="Text1"/>
        <w:keepLines w:val="0"/>
        <w:spacing w:after="120" w:line="240" w:lineRule="atLeast"/>
        <w:contextualSpacing/>
        <w:rPr>
          <w:rFonts w:cs="Arial"/>
          <w:sz w:val="22"/>
          <w:szCs w:val="22"/>
        </w:rPr>
      </w:pPr>
    </w:p>
    <w:p w:rsidR="004524F6" w:rsidRPr="00104F4B" w:rsidRDefault="004524F6" w:rsidP="004524F6">
      <w:pPr>
        <w:pStyle w:val="Text1"/>
        <w:keepLines w:val="0"/>
        <w:spacing w:after="120" w:line="240" w:lineRule="atLeast"/>
        <w:contextualSpacing/>
        <w:rPr>
          <w:rFonts w:eastAsia="SimSun" w:cs="Arial"/>
          <w:b/>
          <w:sz w:val="22"/>
          <w:szCs w:val="22"/>
          <w:lang w:val="es-CO" w:eastAsia="zh-CN" w:bidi="hi-IN"/>
        </w:rPr>
      </w:pPr>
      <w:r w:rsidRPr="00104F4B">
        <w:rPr>
          <w:rFonts w:eastAsia="SimSun" w:cs="Arial"/>
          <w:b/>
          <w:sz w:val="22"/>
          <w:szCs w:val="22"/>
          <w:lang w:val="es-CO" w:eastAsia="zh-CN" w:bidi="hi-IN"/>
        </w:rPr>
        <w:t>Gestión ambiental</w:t>
      </w:r>
    </w:p>
    <w:p w:rsidR="004524F6" w:rsidRPr="00104F4B" w:rsidRDefault="004524F6" w:rsidP="004524F6">
      <w:pPr>
        <w:pStyle w:val="Text1"/>
        <w:keepLines w:val="0"/>
        <w:spacing w:line="240" w:lineRule="auto"/>
        <w:rPr>
          <w:rFonts w:cs="Arial"/>
          <w:b/>
          <w:smallCaps/>
          <w:sz w:val="22"/>
          <w:szCs w:val="22"/>
        </w:rPr>
      </w:pPr>
    </w:p>
    <w:p w:rsidR="004524F6" w:rsidRPr="00104F4B" w:rsidRDefault="004524F6" w:rsidP="004524F6">
      <w:pPr>
        <w:pStyle w:val="Text1"/>
        <w:keepLines w:val="0"/>
        <w:spacing w:line="240" w:lineRule="auto"/>
        <w:rPr>
          <w:rFonts w:cs="Arial"/>
          <w:sz w:val="22"/>
          <w:szCs w:val="22"/>
        </w:rPr>
      </w:pPr>
      <w:r w:rsidRPr="00104F4B">
        <w:rPr>
          <w:rFonts w:cs="Arial"/>
          <w:sz w:val="22"/>
          <w:szCs w:val="22"/>
        </w:rPr>
        <w:t>Según el Acuerdo 002 de 2009, corresponde a la Subdirección General de Desarrollo Urbano “</w:t>
      </w:r>
      <w:r w:rsidRPr="00104F4B">
        <w:rPr>
          <w:rFonts w:cs="Arial"/>
          <w:i/>
          <w:sz w:val="22"/>
          <w:szCs w:val="22"/>
        </w:rPr>
        <w:t xml:space="preserve">Participar en la formulación y definición de las políticas y estrategias en materia de gestión predial, social, </w:t>
      </w:r>
      <w:r w:rsidRPr="00104F4B">
        <w:rPr>
          <w:rFonts w:cs="Arial"/>
          <w:b/>
          <w:i/>
          <w:sz w:val="22"/>
          <w:szCs w:val="22"/>
        </w:rPr>
        <w:t>ambiental</w:t>
      </w:r>
      <w:r w:rsidRPr="00104F4B">
        <w:rPr>
          <w:rFonts w:cs="Arial"/>
          <w:i/>
          <w:sz w:val="22"/>
          <w:szCs w:val="22"/>
        </w:rPr>
        <w:t xml:space="preserve"> y de seguridad integral para los proyectos a cargo de la entidad, así como, en aquellas encaminadas a lograr los objetivos institucionales.”</w:t>
      </w:r>
      <w:r w:rsidRPr="00104F4B">
        <w:rPr>
          <w:rFonts w:cs="Arial"/>
          <w:sz w:val="22"/>
          <w:szCs w:val="22"/>
        </w:rPr>
        <w:t xml:space="preserve"> (Artículo 9, numeral 2).  En este sentido, la SGDU apoyó y participó la gestión y coordinación ambiental a nivel interno y externo con el acompañamiento de la OAP y la DTP, a través de las siguientes actividades:</w:t>
      </w:r>
    </w:p>
    <w:p w:rsidR="004524F6" w:rsidRPr="00104F4B" w:rsidRDefault="004524F6" w:rsidP="004524F6">
      <w:pPr>
        <w:pStyle w:val="Text1"/>
        <w:keepLines w:val="0"/>
        <w:spacing w:line="240" w:lineRule="auto"/>
        <w:rPr>
          <w:rFonts w:cs="Arial"/>
          <w:sz w:val="22"/>
          <w:szCs w:val="22"/>
        </w:rPr>
      </w:pPr>
    </w:p>
    <w:p w:rsidR="004524F6" w:rsidRPr="00104F4B" w:rsidRDefault="004524F6" w:rsidP="004524F6">
      <w:pPr>
        <w:pStyle w:val="Text1"/>
        <w:keepLines w:val="0"/>
        <w:spacing w:line="240" w:lineRule="atLeast"/>
        <w:contextualSpacing/>
        <w:rPr>
          <w:rFonts w:cs="Arial"/>
          <w:sz w:val="22"/>
          <w:szCs w:val="22"/>
        </w:rPr>
      </w:pPr>
      <w:r w:rsidRPr="00104F4B">
        <w:rPr>
          <w:rFonts w:cs="Arial"/>
          <w:smallCaps/>
          <w:sz w:val="22"/>
          <w:szCs w:val="22"/>
          <w:u w:val="single"/>
        </w:rPr>
        <w:t>Participación de Instancias de Coordinación Ambiental</w:t>
      </w:r>
      <w:r w:rsidRPr="00104F4B">
        <w:rPr>
          <w:rFonts w:cs="Arial"/>
          <w:smallCaps/>
          <w:sz w:val="22"/>
          <w:szCs w:val="22"/>
        </w:rPr>
        <w:t>:</w:t>
      </w:r>
      <w:r w:rsidRPr="00104F4B">
        <w:rPr>
          <w:rFonts w:cs="Arial"/>
          <w:sz w:val="22"/>
          <w:szCs w:val="22"/>
        </w:rPr>
        <w:t xml:space="preserve"> Se asistió a las sesiones ordinarias y extraordinarias de la Comisión Intersectorial para la Sostenibilidad, la Protección Ambiental, el Ecourbanismo y la Ruralidad del D.C.- CISPAER, Mesa Distrital de Salud Ambiental, Consejo Consultivo de Desarrollo Rural y Mesa Rural de la CISPAER y Alianza Intersectorial por la Madera Legal, entre otras.</w:t>
      </w:r>
    </w:p>
    <w:p w:rsidR="004524F6" w:rsidRPr="00104F4B" w:rsidRDefault="004524F6" w:rsidP="004524F6">
      <w:pPr>
        <w:pStyle w:val="Text1"/>
        <w:keepLines w:val="0"/>
        <w:spacing w:line="240" w:lineRule="auto"/>
        <w:contextualSpacing/>
        <w:rPr>
          <w:rFonts w:cs="Arial"/>
          <w:smallCaps/>
          <w:sz w:val="22"/>
          <w:szCs w:val="22"/>
          <w:u w:val="single"/>
        </w:rPr>
      </w:pPr>
    </w:p>
    <w:p w:rsidR="004524F6" w:rsidRPr="00104F4B" w:rsidRDefault="004524F6" w:rsidP="004524F6">
      <w:pPr>
        <w:pStyle w:val="Text1"/>
        <w:keepLines w:val="0"/>
        <w:spacing w:line="240" w:lineRule="auto"/>
        <w:contextualSpacing/>
        <w:rPr>
          <w:rFonts w:cs="Arial"/>
          <w:b/>
          <w:color w:val="FF0000"/>
          <w:sz w:val="22"/>
          <w:szCs w:val="22"/>
        </w:rPr>
      </w:pPr>
      <w:r w:rsidRPr="00104F4B">
        <w:rPr>
          <w:rFonts w:cs="Arial"/>
          <w:smallCaps/>
          <w:sz w:val="22"/>
          <w:szCs w:val="22"/>
          <w:u w:val="single"/>
        </w:rPr>
        <w:t>Apéndices y/o Capítulos Ambientales de los Procesos Licitatorios y de los Concursos de Méritos</w:t>
      </w:r>
      <w:r w:rsidRPr="00104F4B">
        <w:rPr>
          <w:rFonts w:cs="Arial"/>
          <w:smallCaps/>
          <w:sz w:val="22"/>
          <w:szCs w:val="22"/>
        </w:rPr>
        <w:t>:</w:t>
      </w:r>
      <w:r w:rsidRPr="00104F4B">
        <w:rPr>
          <w:rFonts w:cs="Arial"/>
          <w:sz w:val="22"/>
          <w:szCs w:val="22"/>
        </w:rPr>
        <w:t xml:space="preserve"> Se apoyó la elaboración del componente ambiental de los siguientes proyectos: </w:t>
      </w:r>
      <w:bookmarkStart w:id="71" w:name="OLE_LINK1"/>
      <w:r w:rsidRPr="00104F4B">
        <w:rPr>
          <w:rFonts w:cs="Arial"/>
          <w:sz w:val="22"/>
          <w:szCs w:val="22"/>
        </w:rPr>
        <w:t xml:space="preserve">Construcción para la Adecuación al Sistema Transmilenio de la Carrera 7 desde la Calle 32 hasta la Calle 200, Ramal de la Calle 72 entre Cra. 7ª. y Av. Caracas, Patio Portal, Conexiones Operacionales y demás obras complementarias, en Bogotá D.C. y Ajustes de Diseños y Construcción, Segmentos Calle 11 entre Carreras 4ª y 5 ª, y 6 ª y 7 ª (Apoyo A La Alcaldía Local De La Candelaria).  </w:t>
      </w:r>
    </w:p>
    <w:p w:rsidR="004524F6" w:rsidRPr="00104F4B" w:rsidRDefault="004524F6" w:rsidP="004524F6">
      <w:pPr>
        <w:pStyle w:val="Text1"/>
        <w:keepLines w:val="0"/>
        <w:spacing w:line="240" w:lineRule="auto"/>
        <w:contextualSpacing/>
        <w:rPr>
          <w:rFonts w:cs="Arial"/>
          <w:smallCaps/>
          <w:sz w:val="22"/>
          <w:szCs w:val="22"/>
          <w:u w:val="single"/>
        </w:rPr>
      </w:pPr>
    </w:p>
    <w:p w:rsidR="004524F6" w:rsidRPr="00104F4B" w:rsidRDefault="004524F6" w:rsidP="004524F6">
      <w:pPr>
        <w:pStyle w:val="Text1"/>
        <w:keepLines w:val="0"/>
        <w:spacing w:line="240" w:lineRule="auto"/>
        <w:contextualSpacing/>
        <w:rPr>
          <w:rFonts w:cs="Arial"/>
          <w:b/>
          <w:color w:val="FF0000"/>
          <w:sz w:val="22"/>
          <w:szCs w:val="22"/>
        </w:rPr>
      </w:pPr>
      <w:r w:rsidRPr="00104F4B">
        <w:rPr>
          <w:rFonts w:cs="Arial"/>
          <w:smallCaps/>
          <w:sz w:val="22"/>
          <w:szCs w:val="22"/>
          <w:u w:val="single"/>
        </w:rPr>
        <w:t>Proceso de Gestión Ambiental, Calidad y Seguridad y Salud en el Trabajo</w:t>
      </w:r>
      <w:r w:rsidRPr="00104F4B">
        <w:rPr>
          <w:rFonts w:cs="Arial"/>
          <w:sz w:val="22"/>
          <w:szCs w:val="22"/>
          <w:u w:val="single"/>
        </w:rPr>
        <w:t>:</w:t>
      </w:r>
      <w:r w:rsidRPr="00104F4B">
        <w:rPr>
          <w:rFonts w:cs="Arial"/>
          <w:sz w:val="22"/>
          <w:szCs w:val="22"/>
        </w:rPr>
        <w:t xml:space="preserve"> La SGDU como representante del SGA y líder operativo del  componente ambiental dentro</w:t>
      </w:r>
      <w:r w:rsidRPr="00104F4B">
        <w:rPr>
          <w:rFonts w:cs="Arial"/>
          <w:color w:val="FF0000"/>
          <w:sz w:val="22"/>
          <w:szCs w:val="22"/>
        </w:rPr>
        <w:t xml:space="preserve"> </w:t>
      </w:r>
      <w:r w:rsidRPr="00104F4B">
        <w:rPr>
          <w:rFonts w:cs="Arial"/>
          <w:sz w:val="22"/>
          <w:szCs w:val="22"/>
        </w:rPr>
        <w:t xml:space="preserve">del proceso de Gestión Ambiental, Calidad y SST, participó y dio cumplimiento de las actividades planteadas en el plan de acción del SGA de la vigencia 2018. </w:t>
      </w:r>
    </w:p>
    <w:p w:rsidR="004524F6" w:rsidRPr="00104F4B" w:rsidRDefault="004524F6" w:rsidP="004524F6">
      <w:pPr>
        <w:pStyle w:val="Text1"/>
        <w:keepLines w:val="0"/>
        <w:spacing w:line="240" w:lineRule="auto"/>
        <w:contextualSpacing/>
        <w:rPr>
          <w:rFonts w:cs="Arial"/>
          <w:smallCaps/>
          <w:sz w:val="22"/>
          <w:szCs w:val="22"/>
          <w:u w:val="single"/>
        </w:rPr>
      </w:pPr>
    </w:p>
    <w:p w:rsidR="004524F6" w:rsidRPr="00104F4B" w:rsidRDefault="004524F6" w:rsidP="004524F6">
      <w:pPr>
        <w:pStyle w:val="Text1"/>
        <w:keepLines w:val="0"/>
        <w:spacing w:line="240" w:lineRule="auto"/>
        <w:contextualSpacing/>
        <w:rPr>
          <w:rFonts w:cs="Arial"/>
          <w:sz w:val="22"/>
          <w:szCs w:val="22"/>
          <w:lang w:eastAsia="es-ES"/>
        </w:rPr>
      </w:pPr>
      <w:r w:rsidRPr="00104F4B">
        <w:rPr>
          <w:rFonts w:cs="Arial"/>
          <w:smallCaps/>
          <w:sz w:val="22"/>
          <w:szCs w:val="22"/>
          <w:u w:val="single"/>
        </w:rPr>
        <w:t>Conceptos en Materia Ambiental:</w:t>
      </w:r>
      <w:r w:rsidRPr="00104F4B">
        <w:rPr>
          <w:rFonts w:cs="Arial"/>
          <w:sz w:val="22"/>
          <w:szCs w:val="22"/>
        </w:rPr>
        <w:t xml:space="preserve"> Se proyectó ante las Empresas Privadas, Entidades Distritales como la Secretaría Distrital de Ambiente, el Jardín Botánico y el IDRD, y ante la ciudadanía en general, diversos conceptos ambientales en temas como manejo del arbolado urbano, manejo de recursos hídricos, trámites ambientales, planes de manejo de los parques ecológicos de humedal, entre otros.</w:t>
      </w:r>
    </w:p>
    <w:p w:rsidR="004524F6" w:rsidRPr="00104F4B" w:rsidRDefault="004524F6" w:rsidP="004524F6">
      <w:pPr>
        <w:pStyle w:val="Text1"/>
        <w:keepLines w:val="0"/>
        <w:spacing w:line="240" w:lineRule="auto"/>
        <w:contextualSpacing/>
        <w:rPr>
          <w:rFonts w:cs="Arial"/>
          <w:smallCaps/>
          <w:sz w:val="22"/>
          <w:szCs w:val="22"/>
          <w:u w:val="single"/>
        </w:rPr>
      </w:pPr>
    </w:p>
    <w:p w:rsidR="004524F6" w:rsidRPr="00104F4B" w:rsidRDefault="004524F6" w:rsidP="004524F6">
      <w:pPr>
        <w:pStyle w:val="Text1"/>
        <w:keepLines w:val="0"/>
        <w:spacing w:line="240" w:lineRule="auto"/>
        <w:contextualSpacing/>
        <w:rPr>
          <w:rFonts w:cs="Arial"/>
          <w:b/>
          <w:smallCaps/>
          <w:sz w:val="22"/>
          <w:szCs w:val="22"/>
        </w:rPr>
      </w:pPr>
      <w:r w:rsidRPr="00104F4B">
        <w:rPr>
          <w:rFonts w:cs="Arial"/>
          <w:smallCaps/>
          <w:sz w:val="22"/>
          <w:szCs w:val="22"/>
          <w:u w:val="single"/>
        </w:rPr>
        <w:lastRenderedPageBreak/>
        <w:t>Conceptos y Recomendaciones de Viabilidad Ambiental</w:t>
      </w:r>
      <w:r w:rsidRPr="00104F4B">
        <w:rPr>
          <w:rFonts w:cs="Arial"/>
          <w:sz w:val="22"/>
          <w:szCs w:val="22"/>
        </w:rPr>
        <w:t xml:space="preserve">: Se efectuó gestión y control ambiental de diversos proyectos a cargo de la DTP con el propósito de verificar el cumplimiento normativo y los requerimientos de la entidad y el resultado fue la emisión de ciento cincuenta y cinco (155) recomendaciones ambientales de los proyectos misionales </w:t>
      </w:r>
      <w:bookmarkEnd w:id="71"/>
      <w:r w:rsidRPr="00104F4B">
        <w:rPr>
          <w:rFonts w:cs="Arial"/>
          <w:sz w:val="22"/>
          <w:szCs w:val="22"/>
        </w:rPr>
        <w:t>requeridos.</w:t>
      </w:r>
    </w:p>
    <w:p w:rsidR="004524F6" w:rsidRPr="00104F4B" w:rsidRDefault="004524F6" w:rsidP="004524F6">
      <w:pPr>
        <w:pStyle w:val="Text1"/>
        <w:keepLines w:val="0"/>
        <w:spacing w:line="240" w:lineRule="auto"/>
        <w:ind w:left="360"/>
        <w:contextualSpacing/>
        <w:rPr>
          <w:rFonts w:cs="Arial"/>
          <w:b/>
          <w:smallCaps/>
          <w:sz w:val="22"/>
          <w:szCs w:val="22"/>
        </w:rPr>
      </w:pPr>
    </w:p>
    <w:p w:rsidR="004524F6" w:rsidRPr="00104F4B" w:rsidRDefault="004524F6" w:rsidP="004524F6">
      <w:pPr>
        <w:pStyle w:val="Text1"/>
        <w:keepLines w:val="0"/>
        <w:spacing w:after="120" w:line="240" w:lineRule="atLeast"/>
        <w:contextualSpacing/>
        <w:rPr>
          <w:rFonts w:eastAsia="SimSun" w:cs="Arial"/>
          <w:b/>
          <w:sz w:val="22"/>
          <w:szCs w:val="22"/>
          <w:lang w:val="es-CO" w:eastAsia="zh-CN" w:bidi="hi-IN"/>
        </w:rPr>
      </w:pPr>
      <w:r w:rsidRPr="00104F4B">
        <w:rPr>
          <w:rFonts w:eastAsia="SimSun" w:cs="Arial"/>
          <w:b/>
          <w:sz w:val="22"/>
          <w:szCs w:val="22"/>
          <w:lang w:val="es-CO" w:eastAsia="zh-CN" w:bidi="hi-IN"/>
        </w:rPr>
        <w:t>Coordinación Interinstitucional</w:t>
      </w:r>
    </w:p>
    <w:p w:rsidR="004524F6" w:rsidRPr="00104F4B" w:rsidRDefault="004524F6" w:rsidP="004524F6">
      <w:pPr>
        <w:pStyle w:val="Contenidodelatabla"/>
        <w:jc w:val="both"/>
        <w:rPr>
          <w:rFonts w:ascii="Arial" w:hAnsi="Arial" w:cs="Arial"/>
          <w:sz w:val="22"/>
          <w:szCs w:val="22"/>
        </w:rPr>
      </w:pPr>
      <w:r w:rsidRPr="00104F4B">
        <w:rPr>
          <w:rFonts w:ascii="Arial" w:hAnsi="Arial" w:cs="Arial"/>
          <w:sz w:val="22"/>
          <w:szCs w:val="22"/>
        </w:rPr>
        <w:t xml:space="preserve">Participación en Comités Sectoriales, Comisiones Intersectoriales  y otras reuniones: </w:t>
      </w:r>
    </w:p>
    <w:p w:rsidR="004524F6" w:rsidRPr="00104F4B" w:rsidRDefault="004524F6" w:rsidP="004524F6">
      <w:pPr>
        <w:pStyle w:val="Contenidodelatabla"/>
        <w:jc w:val="both"/>
        <w:rPr>
          <w:rFonts w:ascii="Arial" w:eastAsia="Batang" w:hAnsi="Arial" w:cs="Arial"/>
          <w:kern w:val="1"/>
          <w:sz w:val="22"/>
          <w:szCs w:val="22"/>
          <w:lang w:eastAsia="ar-SA"/>
        </w:rPr>
      </w:pPr>
    </w:p>
    <w:p w:rsidR="004524F6" w:rsidRPr="00104F4B" w:rsidRDefault="004524F6" w:rsidP="004524F6">
      <w:pPr>
        <w:pStyle w:val="Text1"/>
        <w:keepLines w:val="0"/>
        <w:spacing w:line="240" w:lineRule="auto"/>
        <w:rPr>
          <w:rFonts w:cs="Arial"/>
          <w:sz w:val="22"/>
          <w:szCs w:val="22"/>
        </w:rPr>
      </w:pPr>
      <w:r w:rsidRPr="00104F4B">
        <w:rPr>
          <w:rFonts w:eastAsia="Calibri" w:cs="Arial"/>
          <w:sz w:val="22"/>
          <w:szCs w:val="22"/>
          <w:lang w:val="es-CO" w:eastAsia="ar-SA"/>
        </w:rPr>
        <w:t xml:space="preserve">Durante la vigencia 2018, </w:t>
      </w:r>
      <w:r w:rsidRPr="00104F4B">
        <w:rPr>
          <w:rFonts w:cs="Arial"/>
          <w:sz w:val="22"/>
          <w:szCs w:val="22"/>
        </w:rPr>
        <w:t>la SGDU y sus dependencias adscritas han participado y asistido en representación del IDU a las Instancias de Coordinación del Distrito Capital a través de l</w:t>
      </w:r>
      <w:r w:rsidRPr="00104F4B">
        <w:rPr>
          <w:rFonts w:cs="Arial"/>
          <w:color w:val="333333"/>
          <w:sz w:val="22"/>
          <w:szCs w:val="22"/>
          <w:shd w:val="clear" w:color="auto" w:fill="FFFFFF"/>
        </w:rPr>
        <w:t xml:space="preserve">os Comités Sectoriales de Desarrollo Administrativo y </w:t>
      </w:r>
      <w:r w:rsidRPr="00104F4B">
        <w:rPr>
          <w:rFonts w:cs="Arial"/>
          <w:sz w:val="22"/>
          <w:szCs w:val="22"/>
        </w:rPr>
        <w:t xml:space="preserve">las Comisiones Intersectoriales de las cuales hace parte o de las que la Secretaría Distrital de Movilidad haga parte y solicite la participación del IDU o delegue su asistencia. En este sentido, se asistió a las sesiones ordinarias y/o extraordinarias del Comité Sectorial de Desarrollo Administrativo, Comité Técnico Interinstitucional de Movilidad, Comisión Intersectorial de Servicios Públicos, Comité de Alumbrado Público, Comisión Intersectorial de Operaciones Estratégicas y Macroproyectos – CIOEM, Comité Técnico de Planes Parciales, Comisión Intersectorial de Seguridad Vial, Comité Distrital de Renovación Urbana, Comisión Intersectorial para la Sostenibilidad, la Protección Ambiental, el Ecourbanismo y la Ruralidad del D.C.- CISPAER, Mesa Distrital de Salud Ambiental, Consejo Consultivo de Desarrollo Rural y Mesa Rural de la CISPAER y Alianza Intersectorial por la Madera Legal, </w:t>
      </w:r>
      <w:r w:rsidRPr="00104F4B">
        <w:rPr>
          <w:rFonts w:cs="Arial"/>
          <w:bCs/>
          <w:color w:val="000000"/>
          <w:sz w:val="22"/>
          <w:szCs w:val="22"/>
          <w:shd w:val="clear" w:color="auto" w:fill="FFFFFF"/>
        </w:rPr>
        <w:t>Mesa de Mejoramiento Integral de Asentamientos Humanos, entre otras.</w:t>
      </w:r>
    </w:p>
    <w:p w:rsidR="004524F6" w:rsidRPr="00104F4B" w:rsidRDefault="004524F6" w:rsidP="004524F6">
      <w:pPr>
        <w:rPr>
          <w:rFonts w:cs="Arial"/>
          <w:color w:val="000000"/>
          <w:szCs w:val="22"/>
        </w:rPr>
      </w:pPr>
      <w:r w:rsidRPr="00104F4B">
        <w:rPr>
          <w:rFonts w:cs="Arial"/>
          <w:color w:val="000000"/>
          <w:szCs w:val="22"/>
        </w:rPr>
        <w:t xml:space="preserve"> </w:t>
      </w:r>
    </w:p>
    <w:p w:rsidR="004524F6" w:rsidRPr="00104F4B" w:rsidRDefault="004524F6" w:rsidP="004524F6">
      <w:pPr>
        <w:pStyle w:val="Text1"/>
        <w:keepLines w:val="0"/>
        <w:spacing w:after="120" w:line="240" w:lineRule="atLeast"/>
        <w:contextualSpacing/>
        <w:rPr>
          <w:rFonts w:eastAsia="SimSun" w:cs="Arial"/>
          <w:b/>
          <w:sz w:val="22"/>
          <w:szCs w:val="22"/>
          <w:lang w:val="es-CO" w:eastAsia="zh-CN" w:bidi="hi-IN"/>
        </w:rPr>
      </w:pPr>
      <w:r w:rsidRPr="00104F4B">
        <w:rPr>
          <w:rFonts w:eastAsia="SimSun" w:cs="Arial"/>
          <w:b/>
          <w:sz w:val="22"/>
          <w:szCs w:val="22"/>
          <w:lang w:val="es-CO" w:eastAsia="zh-CN" w:bidi="hi-IN"/>
        </w:rPr>
        <w:t>Proyectos de Asociación Público Privadas - APP</w:t>
      </w:r>
    </w:p>
    <w:p w:rsidR="004524F6" w:rsidRPr="00104F4B" w:rsidRDefault="004524F6" w:rsidP="004524F6">
      <w:pPr>
        <w:rPr>
          <w:rFonts w:cs="Arial"/>
          <w:color w:val="000000"/>
          <w:szCs w:val="22"/>
        </w:rPr>
      </w:pPr>
      <w:r w:rsidRPr="00104F4B">
        <w:rPr>
          <w:rFonts w:cs="Arial"/>
          <w:color w:val="000000"/>
          <w:szCs w:val="22"/>
        </w:rPr>
        <w:t xml:space="preserve">Durante el 2018 se realizó el estudio de </w:t>
      </w:r>
      <w:r w:rsidRPr="00104F4B">
        <w:rPr>
          <w:rFonts w:cs="Arial"/>
          <w:szCs w:val="22"/>
        </w:rPr>
        <w:t xml:space="preserve">cinco (5) propuestas de APP, de las cuales una (1) propuesta se encuentra en etapa de factibilidad, una (1) propuesta se encuentran en etapa de prefactibilidad, una (1) propuesta en etapa prefactibilidad en espera de revisión, la cual está inscrita en segundo lugar en el RUAPP, dos (2) propuestas fueron rechazas y </w:t>
      </w:r>
      <w:r w:rsidRPr="00104F4B">
        <w:rPr>
          <w:rFonts w:cs="Arial"/>
          <w:color w:val="000000"/>
          <w:szCs w:val="22"/>
        </w:rPr>
        <w:t xml:space="preserve">seis (6) propuestas fueron evaluadas de otras Entidades del Distrito. </w:t>
      </w:r>
    </w:p>
    <w:p w:rsidR="004524F6" w:rsidRPr="00104F4B" w:rsidRDefault="00762102" w:rsidP="004524F6">
      <w:pPr>
        <w:rPr>
          <w:rFonts w:cs="Arial"/>
          <w:color w:val="000000"/>
        </w:rPr>
      </w:pPr>
      <w:r w:rsidRPr="00104F4B">
        <w:rPr>
          <w:rFonts w:cs="Arial"/>
          <w:noProof/>
          <w:lang w:val="es-CO" w:eastAsia="es-CO"/>
        </w:rPr>
        <w:drawing>
          <wp:inline distT="0" distB="0" distL="0" distR="0">
            <wp:extent cx="6188900" cy="2647785"/>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190635" cy="2648527"/>
                    </a:xfrm>
                    <a:prstGeom prst="rect">
                      <a:avLst/>
                    </a:prstGeom>
                    <a:noFill/>
                    <a:ln>
                      <a:noFill/>
                    </a:ln>
                  </pic:spPr>
                </pic:pic>
              </a:graphicData>
            </a:graphic>
          </wp:inline>
        </w:drawing>
      </w:r>
    </w:p>
    <w:p w:rsidR="00762102" w:rsidRPr="00104F4B" w:rsidRDefault="00762102" w:rsidP="004524F6">
      <w:pPr>
        <w:contextualSpacing/>
        <w:jc w:val="center"/>
        <w:rPr>
          <w:rFonts w:cs="Arial"/>
          <w:sz w:val="16"/>
          <w:szCs w:val="16"/>
        </w:rPr>
      </w:pPr>
    </w:p>
    <w:p w:rsidR="004524F6" w:rsidRPr="00104F4B" w:rsidRDefault="004524F6" w:rsidP="004524F6">
      <w:pPr>
        <w:contextualSpacing/>
        <w:jc w:val="center"/>
        <w:rPr>
          <w:rFonts w:cs="Arial"/>
          <w:sz w:val="16"/>
          <w:szCs w:val="16"/>
        </w:rPr>
      </w:pPr>
      <w:r w:rsidRPr="00104F4B">
        <w:rPr>
          <w:rFonts w:cs="Arial"/>
          <w:sz w:val="16"/>
          <w:szCs w:val="16"/>
        </w:rPr>
        <w:t>SGDU – PROPUESTAS DE APP EN ESTUDIO – ETAPA DE FACTIBILIDAD</w:t>
      </w:r>
    </w:p>
    <w:p w:rsidR="004524F6" w:rsidRPr="00104F4B" w:rsidRDefault="004524F6" w:rsidP="004524F6">
      <w:pPr>
        <w:contextualSpacing/>
        <w:rPr>
          <w:rFonts w:cs="Arial"/>
        </w:rPr>
      </w:pPr>
    </w:p>
    <w:p w:rsidR="004524F6" w:rsidRPr="00104F4B" w:rsidRDefault="004524F6" w:rsidP="004524F6">
      <w:pPr>
        <w:contextualSpacing/>
        <w:rPr>
          <w:rFonts w:cs="Arial"/>
        </w:rPr>
      </w:pPr>
      <w:r w:rsidRPr="00104F4B">
        <w:rPr>
          <w:rFonts w:cs="Arial"/>
        </w:rPr>
        <w:t>A continuación, se relacionan el estado de las propuestas mencionadas:</w:t>
      </w:r>
    </w:p>
    <w:p w:rsidR="004524F6" w:rsidRPr="00104F4B" w:rsidRDefault="004524F6" w:rsidP="004524F6">
      <w:pPr>
        <w:pStyle w:val="Contenidodelatabla"/>
        <w:rPr>
          <w:rFonts w:ascii="Arial" w:hAnsi="Arial" w:cs="Arial"/>
        </w:rPr>
      </w:pPr>
    </w:p>
    <w:p w:rsidR="004524F6" w:rsidRPr="00104F4B" w:rsidRDefault="004524F6" w:rsidP="002625A5">
      <w:pPr>
        <w:pStyle w:val="Contenidodelatabla"/>
        <w:numPr>
          <w:ilvl w:val="0"/>
          <w:numId w:val="62"/>
        </w:numPr>
        <w:rPr>
          <w:rFonts w:ascii="Arial" w:hAnsi="Arial" w:cs="Arial"/>
          <w:sz w:val="22"/>
          <w:szCs w:val="22"/>
        </w:rPr>
      </w:pPr>
      <w:r w:rsidRPr="00104F4B">
        <w:rPr>
          <w:rFonts w:ascii="Arial" w:hAnsi="Arial" w:cs="Arial"/>
          <w:sz w:val="22"/>
          <w:szCs w:val="22"/>
        </w:rPr>
        <w:t>Propuestas en estudio - etapa de factibilidad:</w:t>
      </w:r>
    </w:p>
    <w:p w:rsidR="004524F6" w:rsidRPr="00104F4B" w:rsidRDefault="004524F6" w:rsidP="004524F6">
      <w:pPr>
        <w:contextualSpacing/>
        <w:rPr>
          <w:rFonts w:cs="Arial"/>
          <w:szCs w:val="22"/>
        </w:rPr>
      </w:pPr>
      <w:r w:rsidRPr="00104F4B">
        <w:rPr>
          <w:rFonts w:cs="Arial"/>
          <w:szCs w:val="22"/>
        </w:rPr>
        <w:t>En esta etapa se amplían los estudios técnicos, jurídicos económicos y financieros, de manera que se pueda aportar información confiable que permita determinar si el proyecto puede llegar a ser viable.</w:t>
      </w:r>
    </w:p>
    <w:p w:rsidR="004524F6" w:rsidRPr="00104F4B" w:rsidRDefault="004524F6" w:rsidP="004524F6">
      <w:pPr>
        <w:contextualSpacing/>
        <w:rPr>
          <w:rFonts w:cs="Arial"/>
          <w:b/>
        </w:rPr>
      </w:pPr>
    </w:p>
    <w:tbl>
      <w:tblPr>
        <w:tblW w:w="10207"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4"/>
        <w:gridCol w:w="8363"/>
      </w:tblGrid>
      <w:tr w:rsidR="004524F6" w:rsidRPr="00104F4B" w:rsidTr="00FC0A3C">
        <w:trPr>
          <w:cantSplit/>
          <w:trHeight w:val="127"/>
          <w:tblHeader/>
        </w:trPr>
        <w:tc>
          <w:tcPr>
            <w:tcW w:w="1844" w:type="dxa"/>
            <w:shd w:val="clear" w:color="auto" w:fill="auto"/>
            <w:noWrap/>
            <w:hideMark/>
          </w:tcPr>
          <w:p w:rsidR="004524F6" w:rsidRPr="00104F4B" w:rsidRDefault="004524F6" w:rsidP="00FC0A3C">
            <w:pPr>
              <w:rPr>
                <w:rFonts w:cs="Arial"/>
                <w:b/>
                <w:sz w:val="16"/>
                <w:szCs w:val="16"/>
              </w:rPr>
            </w:pPr>
            <w:r w:rsidRPr="00104F4B">
              <w:rPr>
                <w:rFonts w:cs="Arial"/>
                <w:b/>
                <w:sz w:val="16"/>
                <w:szCs w:val="16"/>
              </w:rPr>
              <w:t>Nombre Del Proyecto</w:t>
            </w:r>
          </w:p>
        </w:tc>
        <w:tc>
          <w:tcPr>
            <w:tcW w:w="8363" w:type="dxa"/>
            <w:shd w:val="clear" w:color="auto" w:fill="auto"/>
            <w:noWrap/>
            <w:hideMark/>
          </w:tcPr>
          <w:p w:rsidR="004524F6" w:rsidRPr="00104F4B" w:rsidRDefault="004524F6" w:rsidP="00FC0A3C">
            <w:pPr>
              <w:rPr>
                <w:rFonts w:cs="Arial"/>
                <w:b/>
                <w:sz w:val="16"/>
                <w:szCs w:val="16"/>
              </w:rPr>
            </w:pPr>
            <w:r w:rsidRPr="00104F4B">
              <w:rPr>
                <w:rFonts w:cs="Arial"/>
                <w:b/>
                <w:sz w:val="16"/>
                <w:szCs w:val="16"/>
              </w:rPr>
              <w:t>Alcance</w:t>
            </w:r>
          </w:p>
        </w:tc>
      </w:tr>
      <w:tr w:rsidR="004524F6" w:rsidRPr="00104F4B" w:rsidTr="00FC0A3C">
        <w:trPr>
          <w:cantSplit/>
          <w:trHeight w:val="1303"/>
          <w:tblHeader/>
        </w:trPr>
        <w:tc>
          <w:tcPr>
            <w:tcW w:w="1844" w:type="dxa"/>
            <w:shd w:val="clear" w:color="auto" w:fill="auto"/>
            <w:hideMark/>
          </w:tcPr>
          <w:p w:rsidR="004524F6" w:rsidRPr="00104F4B" w:rsidRDefault="004524F6" w:rsidP="00FC0A3C">
            <w:pPr>
              <w:rPr>
                <w:rFonts w:cs="Arial"/>
                <w:b/>
                <w:color w:val="000000"/>
                <w:sz w:val="16"/>
                <w:szCs w:val="16"/>
              </w:rPr>
            </w:pPr>
            <w:r w:rsidRPr="00104F4B">
              <w:rPr>
                <w:rFonts w:cs="Arial"/>
                <w:b/>
                <w:color w:val="000000"/>
                <w:sz w:val="16"/>
                <w:szCs w:val="16"/>
              </w:rPr>
              <w:t>Proyecto vial Chusacá  - Calle 13</w:t>
            </w:r>
          </w:p>
          <w:p w:rsidR="004524F6" w:rsidRPr="00104F4B" w:rsidRDefault="004524F6" w:rsidP="00FC0A3C">
            <w:pPr>
              <w:rPr>
                <w:rFonts w:cs="Arial"/>
                <w:color w:val="000000"/>
                <w:sz w:val="16"/>
                <w:szCs w:val="16"/>
              </w:rPr>
            </w:pPr>
            <w:r w:rsidRPr="00104F4B">
              <w:rPr>
                <w:rFonts w:cs="Arial"/>
                <w:color w:val="000000"/>
                <w:sz w:val="16"/>
                <w:szCs w:val="16"/>
              </w:rPr>
              <w:t>Originador:</w:t>
            </w:r>
          </w:p>
          <w:p w:rsidR="004524F6" w:rsidRPr="00104F4B" w:rsidRDefault="004524F6" w:rsidP="00FC0A3C">
            <w:pPr>
              <w:rPr>
                <w:rFonts w:cs="Arial"/>
                <w:color w:val="000000"/>
                <w:sz w:val="16"/>
                <w:szCs w:val="16"/>
              </w:rPr>
            </w:pPr>
            <w:r w:rsidRPr="00104F4B">
              <w:rPr>
                <w:rFonts w:cs="Arial"/>
                <w:color w:val="000000"/>
                <w:sz w:val="16"/>
                <w:szCs w:val="16"/>
              </w:rPr>
              <w:t>PROMESA DE SOCIEDAD FUTURA ALO SUR S.A.S (CONCAY S.A.  ICEIN SAS y  PAVIMENTOS COLOMBIA SAS y  Mario Alberto Huertas Cotes)</w:t>
            </w:r>
          </w:p>
          <w:p w:rsidR="004524F6" w:rsidRPr="00104F4B" w:rsidRDefault="004524F6" w:rsidP="00FC0A3C">
            <w:pPr>
              <w:rPr>
                <w:rFonts w:cs="Arial"/>
                <w:color w:val="000000"/>
                <w:sz w:val="16"/>
                <w:szCs w:val="16"/>
              </w:rPr>
            </w:pPr>
            <w:r w:rsidRPr="00104F4B">
              <w:rPr>
                <w:rFonts w:cs="Arial"/>
                <w:color w:val="000000"/>
                <w:sz w:val="16"/>
                <w:szCs w:val="16"/>
              </w:rPr>
              <w:t>Fecha Radicación</w:t>
            </w:r>
          </w:p>
          <w:p w:rsidR="004524F6" w:rsidRPr="00104F4B" w:rsidRDefault="004524F6" w:rsidP="00FC0A3C">
            <w:pPr>
              <w:rPr>
                <w:rFonts w:cs="Arial"/>
                <w:color w:val="000000"/>
                <w:sz w:val="16"/>
                <w:szCs w:val="16"/>
              </w:rPr>
            </w:pPr>
            <w:r w:rsidRPr="00104F4B">
              <w:rPr>
                <w:rFonts w:cs="Arial"/>
                <w:color w:val="000000"/>
                <w:sz w:val="16"/>
                <w:szCs w:val="16"/>
              </w:rPr>
              <w:t>24/02/2016</w:t>
            </w:r>
          </w:p>
        </w:tc>
        <w:tc>
          <w:tcPr>
            <w:tcW w:w="8363" w:type="dxa"/>
            <w:shd w:val="clear" w:color="auto" w:fill="auto"/>
            <w:hideMark/>
          </w:tcPr>
          <w:p w:rsidR="004524F6" w:rsidRPr="00104F4B" w:rsidRDefault="004524F6" w:rsidP="00FC0A3C">
            <w:pPr>
              <w:pStyle w:val="Default"/>
              <w:jc w:val="both"/>
              <w:rPr>
                <w:rFonts w:ascii="Arial" w:hAnsi="Arial" w:cs="Arial"/>
                <w:sz w:val="16"/>
                <w:szCs w:val="16"/>
              </w:rPr>
            </w:pPr>
            <w:r w:rsidRPr="00104F4B">
              <w:rPr>
                <w:rFonts w:ascii="Arial" w:hAnsi="Arial" w:cs="Arial"/>
                <w:sz w:val="16"/>
                <w:szCs w:val="16"/>
              </w:rPr>
              <w:t>Diseño, Financiación, Construcción, operación y Mantenimiento de la Avenida Longitudinal de Occidente entre Chusacá y la Av. Calle 13.</w:t>
            </w:r>
          </w:p>
          <w:p w:rsidR="004524F6" w:rsidRPr="00104F4B" w:rsidRDefault="004524F6" w:rsidP="00FC0A3C">
            <w:pPr>
              <w:pStyle w:val="Default"/>
              <w:jc w:val="both"/>
              <w:rPr>
                <w:rFonts w:ascii="Arial" w:hAnsi="Arial" w:cs="Arial"/>
                <w:sz w:val="16"/>
                <w:szCs w:val="16"/>
              </w:rPr>
            </w:pPr>
            <w:r w:rsidRPr="00104F4B">
              <w:rPr>
                <w:rFonts w:ascii="Arial" w:hAnsi="Arial" w:cs="Arial"/>
                <w:sz w:val="16"/>
                <w:szCs w:val="16"/>
              </w:rPr>
              <w:t xml:space="preserve">SUB-TRAMO CHUSACÁ - CANOAS; 4,8 km construcción de la segunda calzada de dos carriles al occidente de la calzada existente. SUB-TRAMO CANOAS – RIO BOGOTÁ; 9,6 km en el cual se hará la construcción de la segunda calzada de dos carriles al occidente de la calzada existente.  SUB TRAMO CANOAS RIO BOGOTA: 9,45 km La configuración de sección vial prevé la vía expresa con dos carriles y el espacio público. </w:t>
            </w:r>
          </w:p>
          <w:p w:rsidR="004524F6" w:rsidRPr="00104F4B" w:rsidRDefault="004524F6" w:rsidP="00FC0A3C">
            <w:pPr>
              <w:pStyle w:val="Default"/>
              <w:jc w:val="both"/>
              <w:rPr>
                <w:rFonts w:ascii="Arial" w:hAnsi="Arial" w:cs="Arial"/>
                <w:sz w:val="16"/>
                <w:szCs w:val="16"/>
              </w:rPr>
            </w:pPr>
            <w:r w:rsidRPr="00104F4B">
              <w:rPr>
                <w:rFonts w:ascii="Arial" w:hAnsi="Arial" w:cs="Arial"/>
                <w:b/>
                <w:sz w:val="16"/>
                <w:szCs w:val="16"/>
              </w:rPr>
              <w:t xml:space="preserve">Actividades Realizadas: a). </w:t>
            </w:r>
            <w:r w:rsidRPr="00104F4B">
              <w:rPr>
                <w:rFonts w:ascii="Arial" w:hAnsi="Arial" w:cs="Arial"/>
                <w:sz w:val="16"/>
                <w:szCs w:val="16"/>
              </w:rPr>
              <w:t xml:space="preserve">Se radico ante el Ministerio de Transporte los estudios de justificación de la creación de peajes   para la expedición de la resolución de peajes por parte del Misterio de Transporte, y la solicitud de concepto de asignación de riesgos del proyecto ALO SUR, </w:t>
            </w:r>
            <w:r w:rsidRPr="00104F4B">
              <w:rPr>
                <w:rFonts w:ascii="Arial" w:hAnsi="Arial" w:cs="Arial"/>
                <w:b/>
                <w:sz w:val="16"/>
                <w:szCs w:val="16"/>
              </w:rPr>
              <w:t>b)</w:t>
            </w:r>
            <w:r w:rsidRPr="00104F4B">
              <w:rPr>
                <w:rFonts w:ascii="Arial" w:hAnsi="Arial" w:cs="Arial"/>
                <w:sz w:val="16"/>
                <w:szCs w:val="16"/>
              </w:rPr>
              <w:t xml:space="preserve">. ANI radico ante el Ministerio de Hacienda y crédito público la solicitud de aprobación de análisis de riesgos y pasivos contingentes de la APP ALO SUR, </w:t>
            </w:r>
            <w:r w:rsidRPr="00104F4B">
              <w:rPr>
                <w:rFonts w:ascii="Arial" w:hAnsi="Arial" w:cs="Arial"/>
                <w:b/>
                <w:sz w:val="16"/>
                <w:szCs w:val="16"/>
              </w:rPr>
              <w:t xml:space="preserve">c). </w:t>
            </w:r>
            <w:r w:rsidRPr="00104F4B">
              <w:rPr>
                <w:rFonts w:ascii="Arial" w:hAnsi="Arial" w:cs="Arial"/>
                <w:sz w:val="16"/>
                <w:szCs w:val="16"/>
              </w:rPr>
              <w:t>Se firmó un convenio entre la Agencia Nacional de Infraestructura y el Instituto de Desarrollo Urbano en el cual acordaron a través de un convenio de cooperación y coordinación, cuyo objeto es “Aunar esfuerzos técnicos, administrativos, jurídicos y financieros orientados a la articulación de acciones para la adecuada aprobación de factibilidad, adjudicación, ejecución y liquidación del contrato de concesión que se derive de la estructuración técnica, financiera y legal bajo el esquema de Asociación Público Privada de Iniciativa Privada, del proyecto denominado “AVENIDA LONGITUDINAL DE OCCIDENTE -ALO-TRAMO SUR DESDE CHUSACA HASTA LA CALLE 13”.</w:t>
            </w:r>
          </w:p>
        </w:tc>
      </w:tr>
    </w:tbl>
    <w:p w:rsidR="004524F6" w:rsidRPr="00104F4B" w:rsidRDefault="004524F6" w:rsidP="004524F6">
      <w:pPr>
        <w:rPr>
          <w:rFonts w:cs="Arial"/>
          <w:sz w:val="16"/>
          <w:szCs w:val="16"/>
        </w:rPr>
      </w:pPr>
      <w:r w:rsidRPr="00104F4B">
        <w:rPr>
          <w:rFonts w:cs="Arial"/>
          <w:sz w:val="16"/>
          <w:szCs w:val="16"/>
        </w:rPr>
        <w:t>Fuente: SGDU</w:t>
      </w:r>
    </w:p>
    <w:p w:rsidR="004524F6" w:rsidRPr="00104F4B" w:rsidRDefault="004524F6" w:rsidP="004524F6">
      <w:pPr>
        <w:rPr>
          <w:rFonts w:cs="Arial"/>
          <w:sz w:val="16"/>
          <w:szCs w:val="16"/>
        </w:rPr>
      </w:pPr>
    </w:p>
    <w:p w:rsidR="004524F6" w:rsidRPr="00104F4B" w:rsidRDefault="004524F6" w:rsidP="002625A5">
      <w:pPr>
        <w:pStyle w:val="Contenidodelatabla"/>
        <w:numPr>
          <w:ilvl w:val="0"/>
          <w:numId w:val="62"/>
        </w:numPr>
        <w:rPr>
          <w:rFonts w:ascii="Arial" w:hAnsi="Arial" w:cs="Arial"/>
          <w:sz w:val="22"/>
          <w:szCs w:val="22"/>
        </w:rPr>
      </w:pPr>
      <w:r w:rsidRPr="00104F4B">
        <w:rPr>
          <w:rFonts w:ascii="Arial" w:hAnsi="Arial" w:cs="Arial"/>
          <w:sz w:val="22"/>
          <w:szCs w:val="22"/>
        </w:rPr>
        <w:t>Propuestas en estudio - etapa de prefactibilidad:</w:t>
      </w:r>
    </w:p>
    <w:p w:rsidR="004524F6" w:rsidRPr="00104F4B" w:rsidRDefault="004524F6" w:rsidP="004524F6">
      <w:pPr>
        <w:contextualSpacing/>
        <w:rPr>
          <w:rFonts w:cs="Arial"/>
        </w:rPr>
      </w:pPr>
      <w:r w:rsidRPr="00104F4B">
        <w:rPr>
          <w:rFonts w:cs="Arial"/>
        </w:rPr>
        <w:t xml:space="preserve">En esta etapa el originador debe, a partir de información secundaria, aportar elementos suficientes para el estudio técnico, jurídico, económico y financiero del proyecto, a partir de los cuales la entidad determina si el proyecto es de interés para el Distrito. </w:t>
      </w:r>
    </w:p>
    <w:p w:rsidR="004524F6" w:rsidRPr="00104F4B" w:rsidRDefault="004524F6" w:rsidP="004524F6">
      <w:pPr>
        <w:contextualSpacing/>
        <w:rPr>
          <w:rFonts w:cs="Arial"/>
        </w:rPr>
      </w:pPr>
    </w:p>
    <w:p w:rsidR="004524F6" w:rsidRPr="00104F4B" w:rsidRDefault="004524F6" w:rsidP="004524F6">
      <w:pPr>
        <w:contextualSpacing/>
        <w:rPr>
          <w:rFonts w:cs="Arial"/>
          <w:sz w:val="16"/>
          <w:szCs w:val="16"/>
        </w:rPr>
      </w:pPr>
      <w:r w:rsidRPr="00104F4B">
        <w:rPr>
          <w:rFonts w:cs="Arial"/>
          <w:sz w:val="16"/>
          <w:szCs w:val="16"/>
        </w:rPr>
        <w:t>SGDU – PROPUESTAS DE APP EN ESTUDIO – ETAPA DE PREFACTIBILIDAD</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9"/>
        <w:gridCol w:w="8377"/>
      </w:tblGrid>
      <w:tr w:rsidR="004524F6" w:rsidRPr="00104F4B" w:rsidTr="00FC0A3C">
        <w:trPr>
          <w:trHeight w:val="248"/>
          <w:tblHeader/>
        </w:trPr>
        <w:tc>
          <w:tcPr>
            <w:tcW w:w="1399" w:type="dxa"/>
            <w:shd w:val="clear" w:color="auto" w:fill="auto"/>
            <w:hideMark/>
          </w:tcPr>
          <w:p w:rsidR="004524F6" w:rsidRPr="00104F4B" w:rsidRDefault="004524F6" w:rsidP="00FC0A3C">
            <w:pPr>
              <w:contextualSpacing/>
              <w:rPr>
                <w:rFonts w:cs="Arial"/>
                <w:b/>
                <w:sz w:val="16"/>
                <w:szCs w:val="16"/>
              </w:rPr>
            </w:pPr>
            <w:r w:rsidRPr="00104F4B">
              <w:rPr>
                <w:rFonts w:cs="Arial"/>
                <w:b/>
                <w:sz w:val="16"/>
                <w:szCs w:val="16"/>
              </w:rPr>
              <w:t>Nombre del proyecto</w:t>
            </w:r>
          </w:p>
        </w:tc>
        <w:tc>
          <w:tcPr>
            <w:tcW w:w="8377" w:type="dxa"/>
            <w:shd w:val="clear" w:color="auto" w:fill="auto"/>
            <w:noWrap/>
            <w:hideMark/>
          </w:tcPr>
          <w:p w:rsidR="004524F6" w:rsidRPr="00104F4B" w:rsidRDefault="004524F6" w:rsidP="00FC0A3C">
            <w:pPr>
              <w:contextualSpacing/>
              <w:rPr>
                <w:rFonts w:cs="Arial"/>
                <w:b/>
                <w:sz w:val="16"/>
                <w:szCs w:val="16"/>
              </w:rPr>
            </w:pPr>
            <w:r w:rsidRPr="00104F4B">
              <w:rPr>
                <w:rFonts w:cs="Arial"/>
                <w:b/>
                <w:sz w:val="16"/>
                <w:szCs w:val="16"/>
              </w:rPr>
              <w:t>Alcance</w:t>
            </w:r>
          </w:p>
        </w:tc>
      </w:tr>
      <w:tr w:rsidR="004524F6" w:rsidRPr="00104F4B" w:rsidTr="00FC0A3C">
        <w:trPr>
          <w:trHeight w:val="568"/>
        </w:trPr>
        <w:tc>
          <w:tcPr>
            <w:tcW w:w="1399" w:type="dxa"/>
            <w:shd w:val="clear" w:color="auto" w:fill="auto"/>
            <w:hideMark/>
          </w:tcPr>
          <w:p w:rsidR="004524F6" w:rsidRPr="00104F4B" w:rsidRDefault="004524F6" w:rsidP="00FC0A3C">
            <w:pPr>
              <w:contextualSpacing/>
              <w:rPr>
                <w:rFonts w:cs="Arial"/>
                <w:color w:val="000000"/>
                <w:sz w:val="16"/>
                <w:szCs w:val="16"/>
              </w:rPr>
            </w:pPr>
            <w:r w:rsidRPr="00104F4B">
              <w:rPr>
                <w:rFonts w:cs="Arial"/>
                <w:color w:val="000000"/>
                <w:sz w:val="16"/>
                <w:szCs w:val="16"/>
              </w:rPr>
              <w:t xml:space="preserve">Autopista Urbana Norte de Bogotá </w:t>
            </w:r>
          </w:p>
          <w:p w:rsidR="004524F6" w:rsidRPr="00104F4B" w:rsidRDefault="004524F6" w:rsidP="00FC0A3C">
            <w:pPr>
              <w:contextualSpacing/>
              <w:rPr>
                <w:rFonts w:cs="Arial"/>
                <w:color w:val="000000"/>
                <w:sz w:val="16"/>
                <w:szCs w:val="16"/>
              </w:rPr>
            </w:pPr>
          </w:p>
          <w:p w:rsidR="004524F6" w:rsidRPr="00104F4B" w:rsidRDefault="004524F6" w:rsidP="00FC0A3C">
            <w:pPr>
              <w:contextualSpacing/>
              <w:rPr>
                <w:rFonts w:cs="Arial"/>
                <w:color w:val="000000"/>
                <w:sz w:val="16"/>
                <w:szCs w:val="16"/>
              </w:rPr>
            </w:pPr>
            <w:r w:rsidRPr="00104F4B">
              <w:rPr>
                <w:rFonts w:cs="Arial"/>
                <w:color w:val="000000"/>
                <w:sz w:val="16"/>
                <w:szCs w:val="16"/>
              </w:rPr>
              <w:t>Fecha Radicación</w:t>
            </w:r>
          </w:p>
          <w:p w:rsidR="004524F6" w:rsidRPr="00104F4B" w:rsidRDefault="004524F6" w:rsidP="00FC0A3C">
            <w:pPr>
              <w:contextualSpacing/>
              <w:rPr>
                <w:rFonts w:cs="Arial"/>
                <w:color w:val="000000"/>
                <w:sz w:val="16"/>
                <w:szCs w:val="16"/>
              </w:rPr>
            </w:pPr>
            <w:r w:rsidRPr="00104F4B">
              <w:rPr>
                <w:rFonts w:cs="Arial"/>
                <w:color w:val="000000"/>
                <w:sz w:val="16"/>
                <w:szCs w:val="16"/>
              </w:rPr>
              <w:t>16/06/2017</w:t>
            </w:r>
          </w:p>
        </w:tc>
        <w:tc>
          <w:tcPr>
            <w:tcW w:w="8377" w:type="dxa"/>
            <w:shd w:val="clear" w:color="auto" w:fill="auto"/>
            <w:hideMark/>
          </w:tcPr>
          <w:p w:rsidR="004524F6" w:rsidRPr="00104F4B" w:rsidRDefault="004524F6" w:rsidP="00FC0A3C">
            <w:pPr>
              <w:contextualSpacing/>
              <w:rPr>
                <w:rFonts w:cs="Arial"/>
                <w:color w:val="000000"/>
                <w:sz w:val="16"/>
                <w:szCs w:val="16"/>
              </w:rPr>
            </w:pPr>
            <w:r w:rsidRPr="00104F4B">
              <w:rPr>
                <w:rFonts w:cs="Arial"/>
                <w:color w:val="000000"/>
                <w:sz w:val="16"/>
                <w:szCs w:val="16"/>
              </w:rPr>
              <w:t>Consistente en los Estudios, diseños, construcción. Rehabilitación, mantenimiento y operación del corredor vial ubicado en la autopista Norte entre la Calle 80 y la Calle 193 de la ciudad de Bogotá. Con un total de 11km.(i) Construcción de tres carriles en la calzada central de la vía, para la circulación de todas las tipologías vehiculares.(ii) Construcción de accesos a la calzada expresa desde los carriles de servicio con carriles de aceleración y desaceleración.(6.5KM)(iii) Construcción de un segundo carril en la calzada exclusiva del sistema Transmilenio para la mayoría del tramo en estudio.(iv) Generar continuidad de la Calzada Lateral de No Pago en los tramos existentes y su construcción en las secciones faltantes.(v) Construcción y mejoramiento de intersecciones a desnivel en la Calle 83, Calle 92(NQS), Calle 116.(vi) Adecuación de los andenes y ciclorrutas a lo largo de todo el corredor del Proyecto.</w:t>
            </w:r>
          </w:p>
          <w:p w:rsidR="004524F6" w:rsidRPr="00104F4B" w:rsidRDefault="004524F6" w:rsidP="00FC0A3C">
            <w:pPr>
              <w:contextualSpacing/>
              <w:rPr>
                <w:rFonts w:cs="Arial"/>
                <w:color w:val="000000"/>
                <w:sz w:val="16"/>
                <w:szCs w:val="16"/>
              </w:rPr>
            </w:pPr>
            <w:r w:rsidRPr="00104F4B">
              <w:rPr>
                <w:rFonts w:cs="Arial"/>
                <w:b/>
                <w:color w:val="000000"/>
                <w:sz w:val="16"/>
                <w:szCs w:val="16"/>
              </w:rPr>
              <w:t xml:space="preserve">Actividades Realizadas: </w:t>
            </w:r>
            <w:r w:rsidRPr="00104F4B">
              <w:rPr>
                <w:rFonts w:cs="Arial"/>
                <w:color w:val="000000"/>
                <w:sz w:val="16"/>
                <w:szCs w:val="16"/>
              </w:rPr>
              <w:t>Se realizó reunión con el originador de la APP en la cual presenta el proyecto “AUTOPISTA URBANA NORTE DE BOGOTÁ”  que comprende la Autopista Norte desde los héroes hasta la calle 183, en una calzada expresa con 3 carriles por sentido que serían pagos y una calzada de servicio con 3 carriles que serían no pagos, el  originador plantea la demolición y construcción de un nuevo puente en la 134 con autopista norte y demolición y construcción de un nuevo  puente y solución de conexión de la calle 170 con Autopista Norte.  El originador dio alcance a la propuesta involucrando la construcción del puente de la calle 134 con autopista.</w:t>
            </w:r>
          </w:p>
        </w:tc>
      </w:tr>
    </w:tbl>
    <w:p w:rsidR="004524F6" w:rsidRPr="00104F4B" w:rsidRDefault="004524F6" w:rsidP="004524F6">
      <w:pPr>
        <w:contextualSpacing/>
        <w:rPr>
          <w:rFonts w:cs="Arial"/>
          <w:sz w:val="16"/>
          <w:szCs w:val="16"/>
        </w:rPr>
      </w:pPr>
      <w:r w:rsidRPr="00104F4B">
        <w:rPr>
          <w:rFonts w:cs="Arial"/>
          <w:sz w:val="16"/>
          <w:szCs w:val="16"/>
        </w:rPr>
        <w:t>Fuente: SGDU</w:t>
      </w:r>
    </w:p>
    <w:p w:rsidR="004524F6" w:rsidRPr="00104F4B" w:rsidRDefault="004524F6" w:rsidP="004524F6">
      <w:pPr>
        <w:contextualSpacing/>
        <w:rPr>
          <w:rFonts w:cs="Arial"/>
        </w:rPr>
      </w:pPr>
    </w:p>
    <w:p w:rsidR="004524F6" w:rsidRPr="00104F4B" w:rsidRDefault="004524F6" w:rsidP="002625A5">
      <w:pPr>
        <w:pStyle w:val="Contenidodelatabla"/>
        <w:numPr>
          <w:ilvl w:val="0"/>
          <w:numId w:val="62"/>
        </w:numPr>
        <w:rPr>
          <w:rFonts w:ascii="Arial" w:hAnsi="Arial" w:cs="Arial"/>
          <w:sz w:val="22"/>
          <w:szCs w:val="22"/>
        </w:rPr>
      </w:pPr>
      <w:r w:rsidRPr="00104F4B">
        <w:rPr>
          <w:rFonts w:ascii="Arial" w:hAnsi="Arial" w:cs="Arial"/>
          <w:sz w:val="22"/>
          <w:szCs w:val="22"/>
        </w:rPr>
        <w:t>Propuestas de app en espera de evaluación:</w:t>
      </w:r>
    </w:p>
    <w:p w:rsidR="004524F6" w:rsidRPr="00104F4B" w:rsidRDefault="004524F6" w:rsidP="004524F6">
      <w:pPr>
        <w:shd w:val="clear" w:color="auto" w:fill="FFFFFF"/>
        <w:ind w:right="-221"/>
        <w:rPr>
          <w:rFonts w:cs="Arial"/>
        </w:rPr>
      </w:pPr>
      <w:r w:rsidRPr="00104F4B">
        <w:rPr>
          <w:rFonts w:cs="Arial"/>
        </w:rPr>
        <w:lastRenderedPageBreak/>
        <w:t>Corresponde a aquellas iniciativas de origen privadas que se encuentran inscritas en segundo lugar o subsiguientes en el RUAPP y que tienen objetos similares o iguales a la iniciativa inscrita en primer lugar.</w:t>
      </w:r>
    </w:p>
    <w:p w:rsidR="004524F6" w:rsidRPr="00104F4B" w:rsidRDefault="004524F6" w:rsidP="004524F6">
      <w:pPr>
        <w:shd w:val="clear" w:color="auto" w:fill="FFFFFF"/>
        <w:ind w:left="360" w:right="-221"/>
        <w:rPr>
          <w:rFonts w:cs="Arial"/>
          <w:b/>
          <w:sz w:val="16"/>
          <w:szCs w:val="16"/>
        </w:rPr>
      </w:pPr>
      <w:r w:rsidRPr="00104F4B">
        <w:rPr>
          <w:rFonts w:cs="Arial"/>
          <w:b/>
          <w:sz w:val="16"/>
          <w:szCs w:val="16"/>
        </w:rPr>
        <w:t>SGDU – PROPUESTAS DE APP EN ESPERA DE EVALUACIÓN</w:t>
      </w:r>
    </w:p>
    <w:tbl>
      <w:tblPr>
        <w:tblW w:w="100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3"/>
        <w:gridCol w:w="1701"/>
        <w:gridCol w:w="6100"/>
      </w:tblGrid>
      <w:tr w:rsidR="004524F6" w:rsidRPr="00104F4B" w:rsidTr="00FC0A3C">
        <w:trPr>
          <w:trHeight w:val="216"/>
          <w:tblHeader/>
          <w:jc w:val="center"/>
        </w:trPr>
        <w:tc>
          <w:tcPr>
            <w:tcW w:w="2263" w:type="dxa"/>
            <w:vAlign w:val="center"/>
          </w:tcPr>
          <w:p w:rsidR="004524F6" w:rsidRPr="00104F4B" w:rsidRDefault="004524F6" w:rsidP="00FC0A3C">
            <w:pPr>
              <w:rPr>
                <w:rFonts w:cs="Arial"/>
                <w:b/>
                <w:sz w:val="16"/>
                <w:szCs w:val="16"/>
              </w:rPr>
            </w:pPr>
            <w:r w:rsidRPr="00104F4B">
              <w:rPr>
                <w:rFonts w:cs="Arial"/>
                <w:b/>
                <w:sz w:val="16"/>
                <w:szCs w:val="16"/>
              </w:rPr>
              <w:t>Nombre del originador</w:t>
            </w:r>
          </w:p>
        </w:tc>
        <w:tc>
          <w:tcPr>
            <w:tcW w:w="1701" w:type="dxa"/>
            <w:vAlign w:val="center"/>
          </w:tcPr>
          <w:p w:rsidR="004524F6" w:rsidRPr="00104F4B" w:rsidRDefault="004524F6" w:rsidP="00FC0A3C">
            <w:pPr>
              <w:rPr>
                <w:rFonts w:cs="Arial"/>
                <w:b/>
                <w:sz w:val="16"/>
                <w:szCs w:val="16"/>
              </w:rPr>
            </w:pPr>
            <w:r w:rsidRPr="00104F4B">
              <w:rPr>
                <w:rFonts w:cs="Arial"/>
                <w:b/>
                <w:sz w:val="16"/>
                <w:szCs w:val="16"/>
              </w:rPr>
              <w:t>Nombre del Proyecto</w:t>
            </w:r>
          </w:p>
        </w:tc>
        <w:tc>
          <w:tcPr>
            <w:tcW w:w="6100" w:type="dxa"/>
            <w:vAlign w:val="center"/>
          </w:tcPr>
          <w:p w:rsidR="004524F6" w:rsidRPr="00104F4B" w:rsidRDefault="004524F6" w:rsidP="00FC0A3C">
            <w:pPr>
              <w:rPr>
                <w:rFonts w:cs="Arial"/>
                <w:b/>
                <w:sz w:val="16"/>
                <w:szCs w:val="16"/>
              </w:rPr>
            </w:pPr>
            <w:r w:rsidRPr="00104F4B">
              <w:rPr>
                <w:rFonts w:cs="Arial"/>
                <w:b/>
                <w:sz w:val="16"/>
                <w:szCs w:val="16"/>
              </w:rPr>
              <w:t>Objeto</w:t>
            </w:r>
          </w:p>
        </w:tc>
      </w:tr>
      <w:tr w:rsidR="004524F6" w:rsidRPr="00104F4B" w:rsidTr="00FC0A3C">
        <w:trPr>
          <w:trHeight w:val="499"/>
          <w:jc w:val="center"/>
        </w:trPr>
        <w:tc>
          <w:tcPr>
            <w:tcW w:w="2263" w:type="dxa"/>
            <w:tcBorders>
              <w:top w:val="single" w:sz="4" w:space="0" w:color="auto"/>
              <w:left w:val="single" w:sz="4" w:space="0" w:color="auto"/>
              <w:bottom w:val="single" w:sz="4" w:space="0" w:color="auto"/>
              <w:right w:val="single" w:sz="4" w:space="0" w:color="auto"/>
            </w:tcBorders>
            <w:shd w:val="clear" w:color="auto" w:fill="auto"/>
            <w:vAlign w:val="center"/>
          </w:tcPr>
          <w:p w:rsidR="004524F6" w:rsidRPr="00104F4B" w:rsidRDefault="004524F6" w:rsidP="00FC0A3C">
            <w:pPr>
              <w:snapToGrid w:val="0"/>
              <w:rPr>
                <w:rFonts w:cs="Arial"/>
                <w:color w:val="000000"/>
                <w:sz w:val="16"/>
                <w:szCs w:val="16"/>
              </w:rPr>
            </w:pPr>
            <w:r w:rsidRPr="00104F4B">
              <w:rPr>
                <w:rFonts w:cs="Arial"/>
                <w:color w:val="000000"/>
                <w:sz w:val="16"/>
                <w:szCs w:val="16"/>
              </w:rPr>
              <w:t>UC CONSULT, S.A.S. – ARCS, S.L. Termotecnica Coindustrial S.A., HB Estructuras Metálicas</w:t>
            </w:r>
          </w:p>
          <w:p w:rsidR="004524F6" w:rsidRPr="00104F4B" w:rsidRDefault="004524F6" w:rsidP="00FC0A3C">
            <w:pPr>
              <w:snapToGrid w:val="0"/>
              <w:rPr>
                <w:rFonts w:cs="Arial"/>
                <w:color w:val="000000"/>
                <w:sz w:val="16"/>
                <w:szCs w:val="16"/>
              </w:rPr>
            </w:pPr>
            <w:r w:rsidRPr="00104F4B">
              <w:rPr>
                <w:rFonts w:cs="Arial"/>
                <w:color w:val="000000"/>
                <w:sz w:val="16"/>
                <w:szCs w:val="16"/>
              </w:rPr>
              <w:t>Fecha de Radicación 29/02/2016</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4524F6" w:rsidRPr="00104F4B" w:rsidRDefault="004524F6" w:rsidP="00FC0A3C">
            <w:pPr>
              <w:snapToGrid w:val="0"/>
              <w:rPr>
                <w:rFonts w:cs="Arial"/>
                <w:color w:val="000000"/>
                <w:sz w:val="16"/>
                <w:szCs w:val="16"/>
              </w:rPr>
            </w:pPr>
            <w:r w:rsidRPr="00104F4B">
              <w:rPr>
                <w:rFonts w:cs="Arial"/>
                <w:color w:val="000000"/>
                <w:sz w:val="16"/>
                <w:szCs w:val="16"/>
              </w:rPr>
              <w:t>Avenida Longitudinal de Occidente ALO  Calle 13 - Autopista Sur</w:t>
            </w:r>
          </w:p>
        </w:tc>
        <w:tc>
          <w:tcPr>
            <w:tcW w:w="6100" w:type="dxa"/>
            <w:tcBorders>
              <w:top w:val="single" w:sz="4" w:space="0" w:color="auto"/>
              <w:left w:val="single" w:sz="4" w:space="0" w:color="auto"/>
              <w:bottom w:val="single" w:sz="4" w:space="0" w:color="auto"/>
              <w:right w:val="single" w:sz="4" w:space="0" w:color="auto"/>
            </w:tcBorders>
            <w:shd w:val="clear" w:color="auto" w:fill="auto"/>
            <w:vAlign w:val="center"/>
          </w:tcPr>
          <w:p w:rsidR="004524F6" w:rsidRPr="00104F4B" w:rsidRDefault="004524F6" w:rsidP="00FC0A3C">
            <w:pPr>
              <w:snapToGrid w:val="0"/>
              <w:rPr>
                <w:rFonts w:cs="Arial"/>
                <w:color w:val="000000"/>
                <w:sz w:val="16"/>
                <w:szCs w:val="16"/>
              </w:rPr>
            </w:pPr>
            <w:r w:rsidRPr="00104F4B">
              <w:rPr>
                <w:rFonts w:cs="Arial"/>
                <w:color w:val="000000"/>
                <w:sz w:val="16"/>
                <w:szCs w:val="16"/>
              </w:rPr>
              <w:t>Diseño, construcción, operación, mantenimiento, liquidación y reversión de la Avenida Longitudinal de Occidente, Tramo: Calle 13 – Autopista Sur,  La propuesta consiste en la ejecución de una  avenida urbana de 24 Kilómetros de longitud, con doble calzada y 2-3 carriles por sentido,  incluye 4 puentes con unos 0,4 Km. de longitud conjunta. Segundo orden de inscripción en el RUAPP</w:t>
            </w:r>
          </w:p>
        </w:tc>
      </w:tr>
    </w:tbl>
    <w:p w:rsidR="004524F6" w:rsidRPr="00104F4B" w:rsidRDefault="004524F6" w:rsidP="004524F6">
      <w:pPr>
        <w:rPr>
          <w:rFonts w:cs="Arial"/>
          <w:sz w:val="16"/>
          <w:szCs w:val="16"/>
        </w:rPr>
      </w:pPr>
      <w:r w:rsidRPr="00104F4B">
        <w:rPr>
          <w:rFonts w:cs="Arial"/>
          <w:sz w:val="16"/>
          <w:szCs w:val="16"/>
        </w:rPr>
        <w:t>Fuente: SGDU</w:t>
      </w:r>
    </w:p>
    <w:p w:rsidR="00FC0A3C" w:rsidRPr="00104F4B" w:rsidRDefault="00FC0A3C" w:rsidP="004524F6">
      <w:pPr>
        <w:rPr>
          <w:rFonts w:cs="Arial"/>
          <w:sz w:val="16"/>
          <w:szCs w:val="16"/>
        </w:rPr>
      </w:pPr>
    </w:p>
    <w:p w:rsidR="004524F6" w:rsidRPr="00104F4B" w:rsidRDefault="004524F6" w:rsidP="002625A5">
      <w:pPr>
        <w:pStyle w:val="Contenidodelatabla"/>
        <w:numPr>
          <w:ilvl w:val="0"/>
          <w:numId w:val="62"/>
        </w:numPr>
        <w:rPr>
          <w:rFonts w:ascii="Arial" w:hAnsi="Arial" w:cs="Arial"/>
          <w:sz w:val="22"/>
          <w:szCs w:val="22"/>
        </w:rPr>
      </w:pPr>
      <w:r w:rsidRPr="00104F4B">
        <w:rPr>
          <w:rFonts w:ascii="Arial" w:hAnsi="Arial" w:cs="Arial"/>
          <w:sz w:val="22"/>
          <w:szCs w:val="22"/>
        </w:rPr>
        <w:t>Propuestas rechazadas</w:t>
      </w:r>
    </w:p>
    <w:p w:rsidR="004524F6" w:rsidRPr="00104F4B" w:rsidRDefault="004524F6" w:rsidP="004524F6">
      <w:pPr>
        <w:contextualSpacing/>
        <w:rPr>
          <w:rFonts w:cs="Arial"/>
          <w:szCs w:val="22"/>
        </w:rPr>
      </w:pPr>
      <w:r w:rsidRPr="00104F4B">
        <w:rPr>
          <w:rFonts w:cs="Arial"/>
          <w:szCs w:val="22"/>
        </w:rPr>
        <w:t xml:space="preserve">El rechazo de una APP puede originarse en las etapas de Prefactibilidad cuando la entidad competente del estudio, encuentra que las consideraciones técnicas, jurídicas, prediales, socioeconómicas, ambientales y financieras sobre el proyecto de APP, arrojan como resultado la no declaratoria de interés público por no encontrarse las mismas de conformidad con las políticas sectoriales y priorización de proyectos a ser desarrollados.  </w:t>
      </w:r>
    </w:p>
    <w:p w:rsidR="004524F6" w:rsidRPr="00104F4B" w:rsidRDefault="004524F6" w:rsidP="004524F6">
      <w:pPr>
        <w:contextualSpacing/>
        <w:rPr>
          <w:rFonts w:cs="Arial"/>
          <w:szCs w:val="22"/>
        </w:rPr>
      </w:pPr>
      <w:r w:rsidRPr="00104F4B">
        <w:rPr>
          <w:rFonts w:cs="Arial"/>
          <w:szCs w:val="22"/>
        </w:rPr>
        <w:t>En el siguiente cuadro se detallan las propuestas rechazadas:</w:t>
      </w:r>
    </w:p>
    <w:p w:rsidR="004524F6" w:rsidRPr="00104F4B" w:rsidRDefault="004524F6" w:rsidP="004524F6">
      <w:pPr>
        <w:rPr>
          <w:rFonts w:cs="Arial"/>
          <w:b/>
          <w:sz w:val="16"/>
          <w:szCs w:val="16"/>
        </w:rPr>
      </w:pPr>
      <w:r w:rsidRPr="00104F4B">
        <w:rPr>
          <w:rFonts w:cs="Arial"/>
          <w:b/>
          <w:sz w:val="16"/>
          <w:szCs w:val="16"/>
        </w:rPr>
        <w:t>SGDU – PROPUESTAS DE APP RECHAZADAS</w:t>
      </w:r>
    </w:p>
    <w:tbl>
      <w:tblPr>
        <w:tblW w:w="10065" w:type="dxa"/>
        <w:tblInd w:w="-289" w:type="dxa"/>
        <w:tblLayout w:type="fixed"/>
        <w:tblCellMar>
          <w:left w:w="70" w:type="dxa"/>
          <w:right w:w="70" w:type="dxa"/>
        </w:tblCellMar>
        <w:tblLook w:val="04A0" w:firstRow="1" w:lastRow="0" w:firstColumn="1" w:lastColumn="0" w:noHBand="0" w:noVBand="1"/>
      </w:tblPr>
      <w:tblGrid>
        <w:gridCol w:w="1135"/>
        <w:gridCol w:w="1134"/>
        <w:gridCol w:w="1559"/>
        <w:gridCol w:w="4678"/>
        <w:gridCol w:w="1559"/>
      </w:tblGrid>
      <w:tr w:rsidR="004524F6" w:rsidRPr="00104F4B" w:rsidTr="00FC0A3C">
        <w:trPr>
          <w:cantSplit/>
          <w:trHeight w:val="313"/>
          <w:tblHeader/>
        </w:trPr>
        <w:tc>
          <w:tcPr>
            <w:tcW w:w="1135" w:type="dxa"/>
            <w:tcBorders>
              <w:top w:val="single" w:sz="4" w:space="0" w:color="auto"/>
              <w:left w:val="single" w:sz="4" w:space="0" w:color="auto"/>
              <w:bottom w:val="single" w:sz="4" w:space="0" w:color="auto"/>
              <w:right w:val="single" w:sz="4" w:space="0" w:color="auto"/>
            </w:tcBorders>
            <w:shd w:val="clear" w:color="auto" w:fill="auto"/>
            <w:vAlign w:val="center"/>
          </w:tcPr>
          <w:p w:rsidR="004524F6" w:rsidRPr="00104F4B" w:rsidRDefault="004524F6" w:rsidP="00FC0A3C">
            <w:pPr>
              <w:rPr>
                <w:rFonts w:cs="Arial"/>
                <w:b/>
                <w:sz w:val="16"/>
                <w:szCs w:val="16"/>
              </w:rPr>
            </w:pPr>
            <w:r w:rsidRPr="00104F4B">
              <w:rPr>
                <w:rFonts w:cs="Arial"/>
                <w:b/>
                <w:sz w:val="16"/>
                <w:szCs w:val="16"/>
              </w:rPr>
              <w:t>Fecha Radicación</w:t>
            </w:r>
          </w:p>
        </w:tc>
        <w:tc>
          <w:tcPr>
            <w:tcW w:w="1134" w:type="dxa"/>
            <w:tcBorders>
              <w:top w:val="single" w:sz="4" w:space="0" w:color="auto"/>
              <w:left w:val="nil"/>
              <w:bottom w:val="single" w:sz="4" w:space="0" w:color="auto"/>
              <w:right w:val="single" w:sz="4" w:space="0" w:color="auto"/>
            </w:tcBorders>
            <w:shd w:val="clear" w:color="auto" w:fill="auto"/>
            <w:vAlign w:val="center"/>
          </w:tcPr>
          <w:p w:rsidR="004524F6" w:rsidRPr="00104F4B" w:rsidRDefault="004524F6" w:rsidP="00FC0A3C">
            <w:pPr>
              <w:rPr>
                <w:rFonts w:cs="Arial"/>
                <w:b/>
                <w:sz w:val="16"/>
                <w:szCs w:val="16"/>
              </w:rPr>
            </w:pPr>
            <w:r w:rsidRPr="00104F4B">
              <w:rPr>
                <w:rFonts w:cs="Arial"/>
                <w:b/>
                <w:sz w:val="16"/>
                <w:szCs w:val="16"/>
              </w:rPr>
              <w:t>Nombre del originador</w:t>
            </w:r>
          </w:p>
        </w:tc>
        <w:tc>
          <w:tcPr>
            <w:tcW w:w="1559" w:type="dxa"/>
            <w:tcBorders>
              <w:top w:val="single" w:sz="4" w:space="0" w:color="auto"/>
              <w:left w:val="nil"/>
              <w:bottom w:val="single" w:sz="4" w:space="0" w:color="auto"/>
              <w:right w:val="single" w:sz="4" w:space="0" w:color="auto"/>
            </w:tcBorders>
            <w:shd w:val="clear" w:color="auto" w:fill="auto"/>
            <w:vAlign w:val="center"/>
          </w:tcPr>
          <w:p w:rsidR="004524F6" w:rsidRPr="00104F4B" w:rsidRDefault="004524F6" w:rsidP="00FC0A3C">
            <w:pPr>
              <w:rPr>
                <w:rFonts w:cs="Arial"/>
                <w:b/>
                <w:sz w:val="16"/>
                <w:szCs w:val="16"/>
              </w:rPr>
            </w:pPr>
            <w:r w:rsidRPr="00104F4B">
              <w:rPr>
                <w:rFonts w:cs="Arial"/>
                <w:b/>
                <w:sz w:val="16"/>
                <w:szCs w:val="16"/>
              </w:rPr>
              <w:t>Nombre del Proyecto</w:t>
            </w:r>
          </w:p>
        </w:tc>
        <w:tc>
          <w:tcPr>
            <w:tcW w:w="4678" w:type="dxa"/>
            <w:tcBorders>
              <w:top w:val="single" w:sz="4" w:space="0" w:color="auto"/>
              <w:left w:val="nil"/>
              <w:bottom w:val="single" w:sz="4" w:space="0" w:color="auto"/>
              <w:right w:val="single" w:sz="4" w:space="0" w:color="auto"/>
            </w:tcBorders>
            <w:shd w:val="clear" w:color="auto" w:fill="auto"/>
            <w:vAlign w:val="center"/>
          </w:tcPr>
          <w:p w:rsidR="004524F6" w:rsidRPr="00104F4B" w:rsidRDefault="004524F6" w:rsidP="00FC0A3C">
            <w:pPr>
              <w:rPr>
                <w:rFonts w:cs="Arial"/>
                <w:b/>
                <w:sz w:val="16"/>
                <w:szCs w:val="16"/>
              </w:rPr>
            </w:pPr>
            <w:r w:rsidRPr="00104F4B">
              <w:rPr>
                <w:rFonts w:cs="Arial"/>
                <w:b/>
                <w:sz w:val="16"/>
                <w:szCs w:val="16"/>
              </w:rPr>
              <w:t>Objeto</w:t>
            </w:r>
          </w:p>
        </w:tc>
        <w:tc>
          <w:tcPr>
            <w:tcW w:w="1559" w:type="dxa"/>
            <w:tcBorders>
              <w:top w:val="single" w:sz="4" w:space="0" w:color="auto"/>
              <w:left w:val="nil"/>
              <w:bottom w:val="single" w:sz="4" w:space="0" w:color="auto"/>
              <w:right w:val="single" w:sz="4" w:space="0" w:color="auto"/>
            </w:tcBorders>
            <w:shd w:val="clear" w:color="auto" w:fill="auto"/>
            <w:vAlign w:val="center"/>
          </w:tcPr>
          <w:p w:rsidR="004524F6" w:rsidRPr="00104F4B" w:rsidRDefault="004524F6" w:rsidP="00FC0A3C">
            <w:pPr>
              <w:rPr>
                <w:rFonts w:cs="Arial"/>
                <w:b/>
                <w:sz w:val="16"/>
                <w:szCs w:val="16"/>
              </w:rPr>
            </w:pPr>
            <w:r w:rsidRPr="00104F4B">
              <w:rPr>
                <w:rFonts w:cs="Arial"/>
                <w:b/>
                <w:sz w:val="16"/>
                <w:szCs w:val="16"/>
              </w:rPr>
              <w:t>Observación</w:t>
            </w:r>
          </w:p>
        </w:tc>
      </w:tr>
      <w:tr w:rsidR="004524F6" w:rsidRPr="00104F4B" w:rsidTr="00FC0A3C">
        <w:trPr>
          <w:cantSplit/>
          <w:trHeight w:val="766"/>
        </w:trPr>
        <w:tc>
          <w:tcPr>
            <w:tcW w:w="11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4524F6" w:rsidRPr="00104F4B" w:rsidRDefault="004524F6" w:rsidP="00FC0A3C">
            <w:pPr>
              <w:rPr>
                <w:rFonts w:cs="Arial"/>
                <w:color w:val="000000"/>
                <w:sz w:val="16"/>
                <w:szCs w:val="16"/>
              </w:rPr>
            </w:pPr>
            <w:r w:rsidRPr="00104F4B">
              <w:rPr>
                <w:rFonts w:cs="Arial"/>
                <w:color w:val="000000"/>
                <w:sz w:val="16"/>
                <w:szCs w:val="16"/>
              </w:rPr>
              <w:t>27/01/2016</w:t>
            </w:r>
          </w:p>
        </w:tc>
        <w:tc>
          <w:tcPr>
            <w:tcW w:w="1134" w:type="dxa"/>
            <w:tcBorders>
              <w:top w:val="single" w:sz="4" w:space="0" w:color="auto"/>
              <w:left w:val="nil"/>
              <w:bottom w:val="single" w:sz="4" w:space="0" w:color="auto"/>
              <w:right w:val="single" w:sz="4" w:space="0" w:color="auto"/>
            </w:tcBorders>
            <w:shd w:val="clear" w:color="auto" w:fill="auto"/>
            <w:vAlign w:val="center"/>
          </w:tcPr>
          <w:p w:rsidR="004524F6" w:rsidRPr="00104F4B" w:rsidRDefault="004524F6" w:rsidP="00FC0A3C">
            <w:pPr>
              <w:rPr>
                <w:rFonts w:cs="Arial"/>
                <w:sz w:val="16"/>
                <w:szCs w:val="16"/>
              </w:rPr>
            </w:pPr>
            <w:r w:rsidRPr="00104F4B">
              <w:rPr>
                <w:rFonts w:cs="Arial"/>
                <w:sz w:val="16"/>
                <w:szCs w:val="16"/>
              </w:rPr>
              <w:t>Accesos al Norte de Bogotá S.A. - Accenorte y Apoderado.</w:t>
            </w:r>
          </w:p>
        </w:tc>
        <w:tc>
          <w:tcPr>
            <w:tcW w:w="1559" w:type="dxa"/>
            <w:tcBorders>
              <w:top w:val="single" w:sz="4" w:space="0" w:color="auto"/>
              <w:left w:val="nil"/>
              <w:bottom w:val="single" w:sz="4" w:space="0" w:color="auto"/>
              <w:right w:val="single" w:sz="4" w:space="0" w:color="auto"/>
            </w:tcBorders>
            <w:shd w:val="clear" w:color="auto" w:fill="auto"/>
            <w:vAlign w:val="center"/>
          </w:tcPr>
          <w:p w:rsidR="004524F6" w:rsidRPr="00104F4B" w:rsidRDefault="004524F6" w:rsidP="00FC0A3C">
            <w:pPr>
              <w:rPr>
                <w:rFonts w:cs="Arial"/>
                <w:sz w:val="16"/>
                <w:szCs w:val="16"/>
              </w:rPr>
            </w:pPr>
            <w:r w:rsidRPr="00104F4B">
              <w:rPr>
                <w:rFonts w:cs="Arial"/>
                <w:sz w:val="16"/>
                <w:szCs w:val="16"/>
              </w:rPr>
              <w:t>Accesos Norte de Bogotá Fase 2</w:t>
            </w:r>
          </w:p>
        </w:tc>
        <w:tc>
          <w:tcPr>
            <w:tcW w:w="4678" w:type="dxa"/>
            <w:tcBorders>
              <w:top w:val="single" w:sz="4" w:space="0" w:color="auto"/>
              <w:left w:val="nil"/>
              <w:bottom w:val="single" w:sz="4" w:space="0" w:color="auto"/>
              <w:right w:val="single" w:sz="4" w:space="0" w:color="auto"/>
            </w:tcBorders>
            <w:shd w:val="clear" w:color="auto" w:fill="auto"/>
            <w:vAlign w:val="center"/>
          </w:tcPr>
          <w:p w:rsidR="004524F6" w:rsidRPr="00104F4B" w:rsidRDefault="004524F6" w:rsidP="00FC0A3C">
            <w:pPr>
              <w:rPr>
                <w:rFonts w:cs="Arial"/>
                <w:color w:val="000000"/>
                <w:sz w:val="16"/>
                <w:szCs w:val="16"/>
              </w:rPr>
            </w:pPr>
            <w:r w:rsidRPr="00104F4B">
              <w:rPr>
                <w:rFonts w:cs="Arial"/>
                <w:color w:val="000000"/>
                <w:sz w:val="16"/>
                <w:szCs w:val="16"/>
              </w:rPr>
              <w:t>Desarrollar estudios, diseños, construcción, mejoramiento, rehabilitación, gestión social, ambiental y predial, administración, operación y mantenimiento de la Autopista Norte entre la Calle 192 y la Calle 245 (en los dos sentidos) y la carrera Séptima o carretera central del Norte a partir de la Calle 186 hasta la Calle 245; ….</w:t>
            </w:r>
          </w:p>
        </w:tc>
        <w:tc>
          <w:tcPr>
            <w:tcW w:w="1559" w:type="dxa"/>
            <w:tcBorders>
              <w:top w:val="single" w:sz="4" w:space="0" w:color="auto"/>
              <w:left w:val="nil"/>
              <w:bottom w:val="single" w:sz="4" w:space="0" w:color="auto"/>
              <w:right w:val="single" w:sz="4" w:space="0" w:color="auto"/>
            </w:tcBorders>
            <w:shd w:val="clear" w:color="auto" w:fill="auto"/>
            <w:vAlign w:val="center"/>
          </w:tcPr>
          <w:p w:rsidR="004524F6" w:rsidRPr="00104F4B" w:rsidRDefault="004524F6" w:rsidP="00FC0A3C">
            <w:pPr>
              <w:rPr>
                <w:rFonts w:cs="Arial"/>
                <w:color w:val="000000"/>
                <w:sz w:val="16"/>
                <w:szCs w:val="16"/>
                <w:lang w:eastAsia="es-CO"/>
              </w:rPr>
            </w:pPr>
            <w:r w:rsidRPr="00104F4B">
              <w:rPr>
                <w:rFonts w:cs="Arial"/>
                <w:color w:val="000000"/>
                <w:sz w:val="16"/>
                <w:szCs w:val="16"/>
                <w:lang w:eastAsia="es-CO"/>
              </w:rPr>
              <w:t xml:space="preserve">Propuesta rechazada mediante resolución ANI No  0888 de 2018 con fecha de 25 de mayo de 2018, </w:t>
            </w:r>
          </w:p>
        </w:tc>
      </w:tr>
      <w:tr w:rsidR="004524F6" w:rsidRPr="00104F4B" w:rsidTr="00FC0A3C">
        <w:trPr>
          <w:cantSplit/>
          <w:trHeight w:val="709"/>
        </w:trPr>
        <w:tc>
          <w:tcPr>
            <w:tcW w:w="11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4524F6" w:rsidRPr="00104F4B" w:rsidRDefault="004524F6" w:rsidP="00FC0A3C">
            <w:pPr>
              <w:rPr>
                <w:rFonts w:cs="Arial"/>
                <w:color w:val="000000"/>
                <w:sz w:val="16"/>
                <w:szCs w:val="16"/>
              </w:rPr>
            </w:pPr>
            <w:r w:rsidRPr="00104F4B">
              <w:rPr>
                <w:rFonts w:cs="Arial"/>
                <w:color w:val="000000"/>
                <w:sz w:val="16"/>
                <w:szCs w:val="16"/>
              </w:rPr>
              <w:t>20/12/2017</w:t>
            </w:r>
          </w:p>
        </w:tc>
        <w:tc>
          <w:tcPr>
            <w:tcW w:w="1134" w:type="dxa"/>
            <w:tcBorders>
              <w:top w:val="single" w:sz="4" w:space="0" w:color="auto"/>
              <w:left w:val="nil"/>
              <w:bottom w:val="single" w:sz="4" w:space="0" w:color="auto"/>
              <w:right w:val="single" w:sz="4" w:space="0" w:color="auto"/>
            </w:tcBorders>
            <w:shd w:val="clear" w:color="auto" w:fill="auto"/>
            <w:vAlign w:val="center"/>
          </w:tcPr>
          <w:p w:rsidR="004524F6" w:rsidRPr="00104F4B" w:rsidRDefault="004524F6" w:rsidP="00FC0A3C">
            <w:pPr>
              <w:rPr>
                <w:rFonts w:cs="Arial"/>
                <w:color w:val="000000"/>
                <w:sz w:val="16"/>
                <w:szCs w:val="16"/>
              </w:rPr>
            </w:pPr>
            <w:r w:rsidRPr="00104F4B">
              <w:rPr>
                <w:rFonts w:cs="Arial"/>
                <w:color w:val="000000"/>
                <w:sz w:val="16"/>
                <w:szCs w:val="16"/>
              </w:rPr>
              <w:t>Megaterra Colombia</w:t>
            </w:r>
          </w:p>
        </w:tc>
        <w:tc>
          <w:tcPr>
            <w:tcW w:w="1559" w:type="dxa"/>
            <w:tcBorders>
              <w:top w:val="single" w:sz="4" w:space="0" w:color="auto"/>
              <w:left w:val="nil"/>
              <w:bottom w:val="single" w:sz="4" w:space="0" w:color="auto"/>
              <w:right w:val="single" w:sz="4" w:space="0" w:color="auto"/>
            </w:tcBorders>
            <w:shd w:val="clear" w:color="auto" w:fill="auto"/>
            <w:vAlign w:val="center"/>
          </w:tcPr>
          <w:p w:rsidR="004524F6" w:rsidRPr="00104F4B" w:rsidRDefault="004524F6" w:rsidP="00FC0A3C">
            <w:pPr>
              <w:rPr>
                <w:rFonts w:cs="Arial"/>
                <w:color w:val="000000"/>
                <w:sz w:val="16"/>
                <w:szCs w:val="16"/>
              </w:rPr>
            </w:pPr>
            <w:r w:rsidRPr="00104F4B">
              <w:rPr>
                <w:rFonts w:cs="Arial"/>
                <w:color w:val="000000"/>
                <w:sz w:val="16"/>
                <w:szCs w:val="16"/>
              </w:rPr>
              <w:t>Vía nueva construcción entre la Carrera 7ª a la altura de la calle 100 y  carretera C50 (La Calera)</w:t>
            </w:r>
          </w:p>
        </w:tc>
        <w:tc>
          <w:tcPr>
            <w:tcW w:w="4678" w:type="dxa"/>
            <w:tcBorders>
              <w:top w:val="single" w:sz="4" w:space="0" w:color="auto"/>
              <w:left w:val="nil"/>
              <w:bottom w:val="single" w:sz="4" w:space="0" w:color="auto"/>
              <w:right w:val="single" w:sz="4" w:space="0" w:color="auto"/>
            </w:tcBorders>
            <w:shd w:val="clear" w:color="auto" w:fill="auto"/>
            <w:vAlign w:val="center"/>
          </w:tcPr>
          <w:p w:rsidR="004524F6" w:rsidRPr="00104F4B" w:rsidRDefault="004524F6" w:rsidP="00FC0A3C">
            <w:pPr>
              <w:rPr>
                <w:rFonts w:cs="Arial"/>
                <w:color w:val="000000"/>
                <w:sz w:val="16"/>
                <w:szCs w:val="16"/>
              </w:rPr>
            </w:pPr>
            <w:r w:rsidRPr="00104F4B">
              <w:rPr>
                <w:rFonts w:cs="Arial"/>
                <w:color w:val="000000"/>
                <w:sz w:val="16"/>
                <w:szCs w:val="16"/>
              </w:rPr>
              <w:t>La iniciativa propuesta propone la construcción de una nueva vía  desde la Calle 100 con Carrera 7ª  de Bogotá y mediante un túnel llegaría hasta el actual embalse de San Rafael y desde ese punto a la carretera C50 nacional que atraviesa el municipio de la Calera.</w:t>
            </w:r>
          </w:p>
        </w:tc>
        <w:tc>
          <w:tcPr>
            <w:tcW w:w="1559" w:type="dxa"/>
            <w:tcBorders>
              <w:top w:val="single" w:sz="4" w:space="0" w:color="auto"/>
              <w:left w:val="nil"/>
              <w:bottom w:val="single" w:sz="4" w:space="0" w:color="auto"/>
              <w:right w:val="single" w:sz="4" w:space="0" w:color="auto"/>
            </w:tcBorders>
            <w:shd w:val="clear" w:color="auto" w:fill="auto"/>
            <w:vAlign w:val="center"/>
          </w:tcPr>
          <w:p w:rsidR="004524F6" w:rsidRPr="00104F4B" w:rsidRDefault="004524F6" w:rsidP="00FC0A3C">
            <w:pPr>
              <w:rPr>
                <w:rFonts w:cs="Arial"/>
                <w:color w:val="000000"/>
                <w:sz w:val="16"/>
                <w:szCs w:val="16"/>
                <w:lang w:eastAsia="es-CO"/>
              </w:rPr>
            </w:pPr>
            <w:r w:rsidRPr="00104F4B">
              <w:rPr>
                <w:rFonts w:cs="Arial"/>
                <w:color w:val="000000"/>
                <w:sz w:val="16"/>
                <w:szCs w:val="16"/>
                <w:lang w:eastAsia="es-CO"/>
              </w:rPr>
              <w:t>Propuesta rechazada mediante resolución No. 006282 del 20 de diciembre 2018.</w:t>
            </w:r>
            <w:r w:rsidRPr="00104F4B">
              <w:rPr>
                <w:rFonts w:cs="Arial"/>
                <w:sz w:val="16"/>
                <w:szCs w:val="16"/>
              </w:rPr>
              <w:t xml:space="preserve"> </w:t>
            </w:r>
          </w:p>
        </w:tc>
      </w:tr>
    </w:tbl>
    <w:p w:rsidR="00FC0A3C" w:rsidRPr="00104F4B" w:rsidRDefault="00FC0A3C" w:rsidP="004524F6">
      <w:pPr>
        <w:rPr>
          <w:rFonts w:cs="Arial"/>
          <w:lang w:val="es-ES_tradnl"/>
        </w:rPr>
      </w:pPr>
    </w:p>
    <w:p w:rsidR="004524F6" w:rsidRPr="00104F4B" w:rsidRDefault="004524F6" w:rsidP="004524F6">
      <w:pPr>
        <w:rPr>
          <w:rFonts w:cs="Arial"/>
          <w:szCs w:val="22"/>
        </w:rPr>
      </w:pPr>
      <w:r w:rsidRPr="00104F4B">
        <w:rPr>
          <w:rFonts w:cs="Arial"/>
          <w:szCs w:val="22"/>
          <w:lang w:val="es-ES_tradnl"/>
        </w:rPr>
        <w:t xml:space="preserve">A continuación </w:t>
      </w:r>
      <w:r w:rsidRPr="00104F4B">
        <w:rPr>
          <w:rFonts w:cs="Arial"/>
          <w:szCs w:val="22"/>
        </w:rPr>
        <w:t xml:space="preserve">se relacionan las propuestas de Asociación Público Privada de Iniciativa Privada enviadas por entidades del Distrito solicitando concepto, en lo que compete al IDU: </w:t>
      </w:r>
    </w:p>
    <w:p w:rsidR="004524F6" w:rsidRPr="00104F4B" w:rsidRDefault="004524F6" w:rsidP="004524F6">
      <w:pPr>
        <w:rPr>
          <w:rFonts w:cs="Arial"/>
          <w:szCs w:val="22"/>
        </w:rPr>
      </w:pPr>
    </w:p>
    <w:p w:rsidR="004524F6" w:rsidRPr="00104F4B" w:rsidRDefault="004524F6" w:rsidP="00FC0A3C">
      <w:pPr>
        <w:spacing w:before="0"/>
        <w:contextualSpacing/>
        <w:rPr>
          <w:rFonts w:cs="Arial"/>
          <w:smallCaps/>
          <w:color w:val="000000"/>
          <w:szCs w:val="22"/>
          <w:u w:val="single"/>
        </w:rPr>
      </w:pPr>
      <w:r w:rsidRPr="00104F4B">
        <w:rPr>
          <w:rFonts w:cs="Arial"/>
          <w:smallCaps/>
          <w:color w:val="000000"/>
          <w:szCs w:val="22"/>
          <w:u w:val="single"/>
        </w:rPr>
        <w:t>Propuestas de app en prefactibilidad estudiadas por idu – enviadas por  Dadep:</w:t>
      </w:r>
    </w:p>
    <w:p w:rsidR="004524F6" w:rsidRPr="00104F4B" w:rsidRDefault="004524F6" w:rsidP="002625A5">
      <w:pPr>
        <w:pStyle w:val="Prrafodelista"/>
        <w:numPr>
          <w:ilvl w:val="0"/>
          <w:numId w:val="57"/>
        </w:numPr>
        <w:spacing w:before="0"/>
        <w:contextualSpacing/>
        <w:rPr>
          <w:rFonts w:ascii="Arial" w:hAnsi="Arial" w:cs="Arial"/>
        </w:rPr>
      </w:pPr>
      <w:r w:rsidRPr="00104F4B">
        <w:rPr>
          <w:rFonts w:ascii="Arial" w:hAnsi="Arial" w:cs="Arial"/>
          <w:i/>
        </w:rPr>
        <w:t>“kios.co”</w:t>
      </w:r>
      <w:r w:rsidRPr="00104F4B">
        <w:rPr>
          <w:rFonts w:ascii="Arial" w:hAnsi="Arial" w:cs="Arial"/>
        </w:rPr>
        <w:t xml:space="preserve"> presentado por el originador Kios.co. S.A.S</w:t>
      </w:r>
    </w:p>
    <w:p w:rsidR="004524F6" w:rsidRPr="00104F4B" w:rsidRDefault="004524F6" w:rsidP="002625A5">
      <w:pPr>
        <w:pStyle w:val="Prrafodelista"/>
        <w:numPr>
          <w:ilvl w:val="0"/>
          <w:numId w:val="57"/>
        </w:numPr>
        <w:spacing w:before="0"/>
        <w:contextualSpacing/>
        <w:rPr>
          <w:rFonts w:ascii="Arial" w:hAnsi="Arial" w:cs="Arial"/>
        </w:rPr>
      </w:pPr>
      <w:r w:rsidRPr="00104F4B">
        <w:rPr>
          <w:rFonts w:ascii="Arial" w:hAnsi="Arial" w:cs="Arial"/>
        </w:rPr>
        <w:t xml:space="preserve">Recuperación de 4700 m2 de espacio público de la plazoleta del Teatro Nacional la Castellana y su área de influencia: Espacio Público, movilidad, comercio y estacionamientos, presentada por el originador “Área Cuadrada Constructures SAS”. </w:t>
      </w:r>
    </w:p>
    <w:p w:rsidR="004524F6" w:rsidRPr="00104F4B" w:rsidRDefault="004524F6" w:rsidP="002625A5">
      <w:pPr>
        <w:pStyle w:val="Prrafodelista"/>
        <w:numPr>
          <w:ilvl w:val="0"/>
          <w:numId w:val="57"/>
        </w:numPr>
        <w:spacing w:before="0"/>
        <w:contextualSpacing/>
        <w:rPr>
          <w:rFonts w:ascii="Arial" w:hAnsi="Arial" w:cs="Arial"/>
        </w:rPr>
      </w:pPr>
      <w:r w:rsidRPr="00104F4B">
        <w:rPr>
          <w:rFonts w:ascii="Arial" w:hAnsi="Arial" w:cs="Arial"/>
        </w:rPr>
        <w:lastRenderedPageBreak/>
        <w:t xml:space="preserve">Recuperación de 5600 m2 de espacio público de las bahías de las calles 96 y 97 entre carreras 10 y 11: Espacio público, movilidad, comercio y estacionamientos, presentada por el originador AREA CUADRADA CONSTRUCTURES SAS. </w:t>
      </w:r>
    </w:p>
    <w:p w:rsidR="004524F6" w:rsidRPr="00104F4B" w:rsidRDefault="004524F6" w:rsidP="002625A5">
      <w:pPr>
        <w:pStyle w:val="Prrafodelista"/>
        <w:numPr>
          <w:ilvl w:val="0"/>
          <w:numId w:val="57"/>
        </w:numPr>
        <w:spacing w:before="0"/>
        <w:contextualSpacing/>
        <w:rPr>
          <w:rFonts w:ascii="Arial" w:hAnsi="Arial" w:cs="Arial"/>
        </w:rPr>
      </w:pPr>
      <w:r w:rsidRPr="00104F4B">
        <w:rPr>
          <w:rFonts w:ascii="Arial" w:hAnsi="Arial" w:cs="Arial"/>
        </w:rPr>
        <w:t>BPM Baños Públicos Modernos, que consiste en diseñar y montar un servicio de Baños Públicos Modernos BPM en el espacio público de Bogotá, presentada por el originador Diego Luis Arango Osorio.</w:t>
      </w:r>
    </w:p>
    <w:p w:rsidR="00FC0A3C" w:rsidRPr="00104F4B" w:rsidRDefault="00FC0A3C" w:rsidP="00FC0A3C">
      <w:pPr>
        <w:pStyle w:val="Prrafodelista"/>
        <w:spacing w:before="0"/>
        <w:contextualSpacing/>
        <w:rPr>
          <w:rFonts w:ascii="Arial" w:hAnsi="Arial" w:cs="Arial"/>
        </w:rPr>
      </w:pPr>
    </w:p>
    <w:p w:rsidR="004524F6" w:rsidRPr="00104F4B" w:rsidRDefault="004524F6" w:rsidP="00FC0A3C">
      <w:pPr>
        <w:spacing w:before="0"/>
        <w:contextualSpacing/>
        <w:rPr>
          <w:rFonts w:cs="Arial"/>
          <w:smallCaps/>
          <w:color w:val="000000"/>
          <w:szCs w:val="22"/>
        </w:rPr>
      </w:pPr>
      <w:r w:rsidRPr="00104F4B">
        <w:rPr>
          <w:rFonts w:cs="Arial"/>
          <w:smallCaps/>
          <w:color w:val="000000"/>
          <w:szCs w:val="22"/>
          <w:u w:val="single"/>
        </w:rPr>
        <w:t>Propuestas de app en prefactibilidad estudiadas por idu – enviadas por  la uaesp</w:t>
      </w:r>
      <w:r w:rsidRPr="00104F4B">
        <w:rPr>
          <w:rFonts w:cs="Arial"/>
          <w:smallCaps/>
          <w:color w:val="000000"/>
          <w:szCs w:val="22"/>
        </w:rPr>
        <w:t>:</w:t>
      </w:r>
    </w:p>
    <w:p w:rsidR="004524F6" w:rsidRPr="00104F4B" w:rsidRDefault="004524F6" w:rsidP="00FC0A3C">
      <w:pPr>
        <w:contextualSpacing/>
        <w:rPr>
          <w:rFonts w:cs="Arial"/>
        </w:rPr>
      </w:pPr>
      <w:r w:rsidRPr="00104F4B">
        <w:rPr>
          <w:rFonts w:cs="Arial"/>
        </w:rPr>
        <w:t>Servicios Funerarios Integrales Distrito Capital, para la Gestión Ambiental y Social, el Saneamiento Básico, la Modernización, Administración, Operación de Servicios Funerarios Integrales, Mantenimiento y Explotación Comercial de los Cementerios, presentada por el originador PARQUES Y FUNERARIAS S.A.S.</w:t>
      </w:r>
    </w:p>
    <w:p w:rsidR="00FC0A3C" w:rsidRPr="00104F4B" w:rsidRDefault="00FC0A3C" w:rsidP="00FC0A3C">
      <w:pPr>
        <w:spacing w:before="0"/>
        <w:contextualSpacing/>
        <w:rPr>
          <w:rFonts w:cs="Arial"/>
          <w:smallCaps/>
          <w:color w:val="000000"/>
          <w:szCs w:val="22"/>
          <w:u w:val="single"/>
        </w:rPr>
      </w:pPr>
    </w:p>
    <w:p w:rsidR="004524F6" w:rsidRPr="00104F4B" w:rsidRDefault="004524F6" w:rsidP="00FC0A3C">
      <w:pPr>
        <w:spacing w:before="0"/>
        <w:contextualSpacing/>
        <w:rPr>
          <w:rFonts w:cs="Arial"/>
          <w:smallCaps/>
          <w:color w:val="000000"/>
          <w:szCs w:val="22"/>
          <w:u w:val="single"/>
        </w:rPr>
      </w:pPr>
      <w:r w:rsidRPr="00104F4B">
        <w:rPr>
          <w:rFonts w:cs="Arial"/>
          <w:smallCaps/>
          <w:color w:val="000000"/>
          <w:szCs w:val="22"/>
          <w:u w:val="single"/>
        </w:rPr>
        <w:t>Propuestas de app estudiadas por idu – enviadas por  la sdm:</w:t>
      </w:r>
    </w:p>
    <w:p w:rsidR="004524F6" w:rsidRPr="00104F4B" w:rsidRDefault="004524F6" w:rsidP="00FC0A3C">
      <w:pPr>
        <w:contextualSpacing/>
        <w:rPr>
          <w:rFonts w:cs="Arial"/>
        </w:rPr>
      </w:pPr>
      <w:r w:rsidRPr="00104F4B">
        <w:rPr>
          <w:rFonts w:cs="Arial"/>
        </w:rPr>
        <w:t>Zona cero emisiones centro de Bogotá, para Formulación, diseño, construcción, implementación y operación de un sistema de movilidad de la zona centro en el marco del plan centro de Bogotá y una zona cero emisiones, presentada por la Promesa de Sociedad Futura Zona Cero.</w:t>
      </w:r>
    </w:p>
    <w:p w:rsidR="00FC0A3C" w:rsidRPr="00104F4B" w:rsidRDefault="00FC0A3C" w:rsidP="00FC0A3C">
      <w:pPr>
        <w:spacing w:before="0"/>
        <w:contextualSpacing/>
        <w:rPr>
          <w:rFonts w:cs="Arial"/>
          <w:smallCaps/>
          <w:color w:val="000000"/>
          <w:szCs w:val="22"/>
          <w:u w:val="single"/>
        </w:rPr>
      </w:pPr>
    </w:p>
    <w:p w:rsidR="00FC0A3C" w:rsidRPr="00104F4B" w:rsidRDefault="004524F6" w:rsidP="00FC0A3C">
      <w:pPr>
        <w:spacing w:before="0"/>
        <w:contextualSpacing/>
        <w:rPr>
          <w:rFonts w:cs="Arial"/>
          <w:smallCaps/>
          <w:color w:val="000000"/>
          <w:szCs w:val="22"/>
        </w:rPr>
      </w:pPr>
      <w:r w:rsidRPr="00104F4B">
        <w:rPr>
          <w:rFonts w:cs="Arial"/>
          <w:smallCaps/>
          <w:color w:val="000000"/>
          <w:szCs w:val="22"/>
          <w:u w:val="single"/>
        </w:rPr>
        <w:t>Propuestas de app estudiadas por idu – ani</w:t>
      </w:r>
      <w:r w:rsidRPr="00104F4B">
        <w:rPr>
          <w:rFonts w:cs="Arial"/>
          <w:smallCaps/>
          <w:color w:val="000000"/>
          <w:szCs w:val="22"/>
        </w:rPr>
        <w:t>:</w:t>
      </w:r>
    </w:p>
    <w:p w:rsidR="004524F6" w:rsidRPr="00104F4B" w:rsidRDefault="004524F6" w:rsidP="00FC0A3C">
      <w:pPr>
        <w:spacing w:before="0"/>
        <w:contextualSpacing/>
        <w:rPr>
          <w:rFonts w:cs="Arial"/>
          <w:smallCaps/>
          <w:color w:val="000000"/>
          <w:szCs w:val="22"/>
        </w:rPr>
      </w:pPr>
      <w:r w:rsidRPr="00104F4B">
        <w:rPr>
          <w:rFonts w:cs="Arial"/>
        </w:rPr>
        <w:t>Con el fin de adelantar el proceso de Estructuración, Revisión y Evaluación en las etapas de Prefactibilidad y Factibilidad de la iniciativa privada y/o estructuración de la Propuestas de Asociación Publico Privada que intervengan infraestructura de accesos al Distrito Capital, se realizó un Convenio Interadministrativo de Colaboración Interinstitucional, entre la ANI y el IDU para los siguientes proyectos:</w:t>
      </w:r>
    </w:p>
    <w:p w:rsidR="004524F6" w:rsidRPr="00104F4B" w:rsidRDefault="004524F6" w:rsidP="004524F6">
      <w:pPr>
        <w:ind w:left="360"/>
        <w:rPr>
          <w:rFonts w:cs="Arial"/>
          <w:bCs/>
          <w:color w:val="000000"/>
          <w:sz w:val="16"/>
          <w:szCs w:val="16"/>
          <w:lang w:eastAsia="es-CO"/>
        </w:rPr>
      </w:pPr>
      <w:r w:rsidRPr="00104F4B">
        <w:rPr>
          <w:rFonts w:cs="Arial"/>
          <w:bCs/>
          <w:color w:val="000000"/>
          <w:sz w:val="16"/>
          <w:szCs w:val="16"/>
          <w:lang w:eastAsia="es-CO"/>
        </w:rPr>
        <w:t>SGDU- PROPUESTAS DE APP ESTUDIADAS POR IDU - ANI</w:t>
      </w:r>
    </w:p>
    <w:tbl>
      <w:tblPr>
        <w:tblStyle w:val="Tablaconcuadrcula"/>
        <w:tblW w:w="10065" w:type="dxa"/>
        <w:tblInd w:w="-289" w:type="dxa"/>
        <w:tblLook w:val="04A0" w:firstRow="1" w:lastRow="0" w:firstColumn="1" w:lastColumn="0" w:noHBand="0" w:noVBand="1"/>
      </w:tblPr>
      <w:tblGrid>
        <w:gridCol w:w="1844"/>
        <w:gridCol w:w="8221"/>
      </w:tblGrid>
      <w:tr w:rsidR="004524F6" w:rsidRPr="00104F4B" w:rsidTr="00FC0A3C">
        <w:tc>
          <w:tcPr>
            <w:tcW w:w="1844" w:type="dxa"/>
          </w:tcPr>
          <w:p w:rsidR="004524F6" w:rsidRPr="00104F4B" w:rsidRDefault="004524F6" w:rsidP="00FC0A3C">
            <w:pPr>
              <w:rPr>
                <w:rFonts w:cs="Arial"/>
                <w:b/>
                <w:sz w:val="16"/>
                <w:szCs w:val="16"/>
              </w:rPr>
            </w:pPr>
            <w:r w:rsidRPr="00104F4B">
              <w:rPr>
                <w:rFonts w:cs="Arial"/>
                <w:b/>
                <w:sz w:val="16"/>
                <w:szCs w:val="16"/>
              </w:rPr>
              <w:t>Nombre del Proyecto</w:t>
            </w:r>
          </w:p>
        </w:tc>
        <w:tc>
          <w:tcPr>
            <w:tcW w:w="8221" w:type="dxa"/>
          </w:tcPr>
          <w:p w:rsidR="004524F6" w:rsidRPr="00104F4B" w:rsidRDefault="004524F6" w:rsidP="00FC0A3C">
            <w:pPr>
              <w:rPr>
                <w:rFonts w:cs="Arial"/>
                <w:b/>
                <w:sz w:val="16"/>
                <w:szCs w:val="16"/>
              </w:rPr>
            </w:pPr>
            <w:r w:rsidRPr="00104F4B">
              <w:rPr>
                <w:rFonts w:cs="Arial"/>
                <w:b/>
                <w:sz w:val="16"/>
                <w:szCs w:val="16"/>
              </w:rPr>
              <w:t>Observación</w:t>
            </w:r>
          </w:p>
        </w:tc>
      </w:tr>
      <w:tr w:rsidR="004524F6" w:rsidRPr="00104F4B" w:rsidTr="00FC0A3C">
        <w:tc>
          <w:tcPr>
            <w:tcW w:w="1844" w:type="dxa"/>
          </w:tcPr>
          <w:p w:rsidR="004524F6" w:rsidRPr="00104F4B" w:rsidRDefault="004524F6" w:rsidP="00FC0A3C">
            <w:pPr>
              <w:rPr>
                <w:rFonts w:cs="Arial"/>
                <w:sz w:val="16"/>
                <w:szCs w:val="16"/>
              </w:rPr>
            </w:pPr>
            <w:r w:rsidRPr="00104F4B">
              <w:rPr>
                <w:rFonts w:cs="Arial"/>
                <w:sz w:val="16"/>
                <w:szCs w:val="16"/>
              </w:rPr>
              <w:t>Accesos Norte de Bogotá Fase 2 Autopista Norte Calle Séptima</w:t>
            </w:r>
          </w:p>
        </w:tc>
        <w:tc>
          <w:tcPr>
            <w:tcW w:w="8221" w:type="dxa"/>
          </w:tcPr>
          <w:p w:rsidR="004524F6" w:rsidRPr="00104F4B" w:rsidRDefault="004524F6" w:rsidP="00FC0A3C">
            <w:pPr>
              <w:snapToGrid w:val="0"/>
              <w:contextualSpacing/>
              <w:rPr>
                <w:rFonts w:cs="Arial"/>
                <w:b/>
                <w:smallCaps/>
                <w:sz w:val="16"/>
                <w:szCs w:val="16"/>
              </w:rPr>
            </w:pPr>
            <w:r w:rsidRPr="00104F4B">
              <w:rPr>
                <w:rFonts w:cs="Arial"/>
                <w:bCs/>
                <w:color w:val="000000"/>
                <w:sz w:val="16"/>
                <w:szCs w:val="16"/>
                <w:lang w:eastAsia="es-CO"/>
              </w:rPr>
              <w:t xml:space="preserve">Durante la vigencia de 2018 se evaluó y rechazo la iniciativa privada mediante la resolución 888 del 25 de mayo de 2018, lo anterior en virtud del convenio No. 04 de 2016 suscrito entre el Instituto de Desarrollo Urbano- IDU y la Agencia Nacional de Infraestructura – ANI, para la estructuración y evaluación del proyecto denominado “Acceso Norte Fase II, firmado el día 16 de mayo de 2016. Actualmente, el IDU y Agencia Nacional de Infraestructura – ANI, de manera mancomunada han venido trabajando en la estructuración de un proyecto APP de iniciativa pública denominada “ACCENORTE FASE II”, la cual pretende desarrollar estudios, diseños, construcción, mejoramiento, rehabilitación, gestión social, ambiental y predial, administración, operación y mantenimiento de la Autopista Norte entre la Calle 192 y la Calle 245 (en los dos sentidos) y la carrera Séptima o carretera central del Norte a partir de la Calle 200 hasta la Calle 245, tiene una longitud de 5.8 km en la Autopista Norte  y 4.93 Km en la Carrera Séptima, por lo que se está gestionando un convenio de colaboración y cooperación. </w:t>
            </w:r>
          </w:p>
        </w:tc>
      </w:tr>
      <w:tr w:rsidR="004524F6" w:rsidRPr="00104F4B" w:rsidTr="00FC0A3C">
        <w:tc>
          <w:tcPr>
            <w:tcW w:w="1844" w:type="dxa"/>
          </w:tcPr>
          <w:p w:rsidR="004524F6" w:rsidRPr="00104F4B" w:rsidRDefault="004524F6" w:rsidP="00FC0A3C">
            <w:pPr>
              <w:rPr>
                <w:rFonts w:cs="Arial"/>
                <w:sz w:val="16"/>
                <w:szCs w:val="16"/>
              </w:rPr>
            </w:pPr>
            <w:r w:rsidRPr="00104F4B">
              <w:rPr>
                <w:rFonts w:cs="Arial"/>
                <w:sz w:val="16"/>
                <w:szCs w:val="16"/>
              </w:rPr>
              <w:t>Accesos Norte de Bogotá Fase 2 Autopista Norte Calle Séptima: APP ALO Sur (Chusacá - Calle 13):</w:t>
            </w:r>
          </w:p>
        </w:tc>
        <w:tc>
          <w:tcPr>
            <w:tcW w:w="8221" w:type="dxa"/>
          </w:tcPr>
          <w:p w:rsidR="004524F6" w:rsidRPr="00104F4B" w:rsidRDefault="004524F6" w:rsidP="00FC0A3C">
            <w:pPr>
              <w:snapToGrid w:val="0"/>
              <w:contextualSpacing/>
              <w:rPr>
                <w:rFonts w:cs="Arial"/>
                <w:bCs/>
                <w:color w:val="000000"/>
                <w:sz w:val="16"/>
                <w:szCs w:val="16"/>
                <w:lang w:eastAsia="es-CO"/>
              </w:rPr>
            </w:pPr>
            <w:r w:rsidRPr="00104F4B">
              <w:rPr>
                <w:rFonts w:cs="Arial"/>
                <w:bCs/>
                <w:color w:val="000000"/>
                <w:sz w:val="16"/>
                <w:szCs w:val="16"/>
                <w:lang w:eastAsia="es-CO"/>
              </w:rPr>
              <w:t>Durante la vigencia de 2018 se está ejecutando, el convenio No. 018 de 2016 – ANI, para la estructuración y evaluación del proyecto denominado “Proyecto vial Chusacá – Calle 13 – ALO SUR”, firmado el día 30 de septiembre de 2016. El 16 de octubre de 2018, se firmó un convenio de cooperación coordinación entre la ANI y el Instituto de Desarrollo Urbano, cuyo objeto es “Aunar esfuerzos técnicos, administrativos, jurídicos y financieros orientados a la articulación de acciones para la adecuada aprobación de factibilidad, adjudicación, ejecución y liquidación del contrato de concesión que se derive de la estructuración técnica, financiera y legal bajo el esquema de Asociación Público Privada de Iniciativa Privada, del proyecto denominado “AVENIDA LONGITUDINAL DE OCCIDENTE -ALO- RAMO SUR DESDE CHUSACA HASTA LA CALLE 13”.</w:t>
            </w:r>
          </w:p>
        </w:tc>
      </w:tr>
      <w:tr w:rsidR="004524F6" w:rsidRPr="00104F4B" w:rsidTr="00FC0A3C">
        <w:tc>
          <w:tcPr>
            <w:tcW w:w="1844" w:type="dxa"/>
          </w:tcPr>
          <w:p w:rsidR="004524F6" w:rsidRPr="00104F4B" w:rsidRDefault="004524F6" w:rsidP="00FC0A3C">
            <w:pPr>
              <w:rPr>
                <w:rFonts w:cs="Arial"/>
                <w:sz w:val="16"/>
                <w:szCs w:val="16"/>
              </w:rPr>
            </w:pPr>
            <w:r w:rsidRPr="00104F4B">
              <w:rPr>
                <w:rFonts w:cs="Arial"/>
                <w:sz w:val="16"/>
                <w:szCs w:val="16"/>
              </w:rPr>
              <w:t>Conexión a la Calera:</w:t>
            </w:r>
          </w:p>
        </w:tc>
        <w:tc>
          <w:tcPr>
            <w:tcW w:w="8221" w:type="dxa"/>
          </w:tcPr>
          <w:p w:rsidR="004524F6" w:rsidRPr="00104F4B" w:rsidRDefault="004524F6" w:rsidP="00FC0A3C">
            <w:pPr>
              <w:snapToGrid w:val="0"/>
              <w:contextualSpacing/>
              <w:rPr>
                <w:rFonts w:cs="Arial"/>
                <w:bCs/>
                <w:color w:val="000000"/>
                <w:sz w:val="16"/>
                <w:szCs w:val="16"/>
                <w:lang w:eastAsia="es-CO"/>
              </w:rPr>
            </w:pPr>
            <w:r w:rsidRPr="00104F4B">
              <w:rPr>
                <w:rFonts w:cs="Arial"/>
                <w:bCs/>
                <w:color w:val="000000"/>
                <w:sz w:val="16"/>
                <w:szCs w:val="16"/>
                <w:lang w:eastAsia="es-CO"/>
              </w:rPr>
              <w:t>La ANI a través del Concesionario Perimetral de Oriente está estudiando la conexión con la calera, dado que el contrato de concesión perimetral de oriente debe ser modificado ante la imposibilidad ambiental de ejecutar las unidades funcionales 4 y 5, se exploró la posibilidad de incorporar la conexión con Choachi y desarrollar un trazado de conexión entere el Km 10 vía Choachi y el peaje Patios.</w:t>
            </w:r>
          </w:p>
        </w:tc>
      </w:tr>
    </w:tbl>
    <w:p w:rsidR="004524F6" w:rsidRPr="00104F4B" w:rsidRDefault="004524F6" w:rsidP="004524F6">
      <w:pPr>
        <w:pStyle w:val="Text1"/>
        <w:keepLines w:val="0"/>
        <w:spacing w:line="240" w:lineRule="auto"/>
        <w:contextualSpacing/>
        <w:rPr>
          <w:rFonts w:cs="Arial"/>
          <w:b/>
          <w:smallCaps/>
          <w:sz w:val="22"/>
          <w:szCs w:val="22"/>
        </w:rPr>
      </w:pPr>
    </w:p>
    <w:p w:rsidR="00FC0A3C" w:rsidRPr="00104F4B" w:rsidRDefault="004524F6" w:rsidP="00FC0A3C">
      <w:pPr>
        <w:pStyle w:val="Text1"/>
        <w:keepLines w:val="0"/>
        <w:spacing w:after="120" w:line="240" w:lineRule="atLeast"/>
        <w:contextualSpacing/>
        <w:rPr>
          <w:rFonts w:eastAsia="SimSun" w:cs="Arial"/>
          <w:b/>
          <w:sz w:val="22"/>
          <w:szCs w:val="22"/>
          <w:lang w:val="es-CO" w:eastAsia="zh-CN" w:bidi="hi-IN"/>
        </w:rPr>
      </w:pPr>
      <w:r w:rsidRPr="00104F4B">
        <w:rPr>
          <w:rFonts w:eastAsia="SimSun" w:cs="Arial"/>
          <w:b/>
          <w:sz w:val="22"/>
          <w:szCs w:val="22"/>
          <w:lang w:val="es-CO" w:eastAsia="zh-CN" w:bidi="hi-IN"/>
        </w:rPr>
        <w:t>Proyectos de Regalías</w:t>
      </w:r>
    </w:p>
    <w:p w:rsidR="00FC0A3C" w:rsidRPr="00104F4B" w:rsidRDefault="00FC0A3C" w:rsidP="00FC0A3C">
      <w:pPr>
        <w:pStyle w:val="Text1"/>
        <w:keepLines w:val="0"/>
        <w:spacing w:after="120" w:line="240" w:lineRule="atLeast"/>
        <w:contextualSpacing/>
        <w:rPr>
          <w:rFonts w:eastAsia="SimSun" w:cs="Arial"/>
          <w:b/>
          <w:sz w:val="22"/>
          <w:szCs w:val="22"/>
          <w:lang w:val="es-CO" w:eastAsia="zh-CN" w:bidi="hi-IN"/>
        </w:rPr>
      </w:pPr>
    </w:p>
    <w:p w:rsidR="004524F6" w:rsidRPr="00104F4B" w:rsidRDefault="004524F6" w:rsidP="00DE42C8">
      <w:pPr>
        <w:pStyle w:val="Text1"/>
        <w:keepLines w:val="0"/>
        <w:spacing w:after="120" w:line="240" w:lineRule="atLeast"/>
        <w:contextualSpacing/>
        <w:rPr>
          <w:rFonts w:cs="Arial"/>
          <w:sz w:val="22"/>
          <w:szCs w:val="22"/>
        </w:rPr>
      </w:pPr>
      <w:r w:rsidRPr="00104F4B">
        <w:rPr>
          <w:rFonts w:cs="Arial"/>
          <w:smallCaps/>
          <w:sz w:val="22"/>
          <w:szCs w:val="22"/>
          <w:u w:val="single"/>
        </w:rPr>
        <w:lastRenderedPageBreak/>
        <w:t>Seguimiento Proyectos Regalías en Ejecución</w:t>
      </w:r>
      <w:r w:rsidRPr="00104F4B">
        <w:rPr>
          <w:rFonts w:cs="Arial"/>
          <w:sz w:val="22"/>
          <w:szCs w:val="22"/>
          <w:u w:val="single"/>
        </w:rPr>
        <w:t>:</w:t>
      </w:r>
      <w:r w:rsidRPr="00104F4B">
        <w:rPr>
          <w:rFonts w:cs="Arial"/>
          <w:sz w:val="22"/>
          <w:szCs w:val="22"/>
        </w:rPr>
        <w:t xml:space="preserve"> Durante la vigencia 2018, se realizó seguimiento al avance de los proyectos financiados con recursos del Sistema General de Regalías. A continuación, se detallan los proyectos en ejecución con el avance físico y financiero:</w:t>
      </w:r>
    </w:p>
    <w:p w:rsidR="004524F6" w:rsidRPr="005C3D90" w:rsidRDefault="00DE42C8" w:rsidP="005C3D90">
      <w:pPr>
        <w:pStyle w:val="Text1"/>
        <w:keepLines w:val="0"/>
        <w:spacing w:after="120" w:line="240" w:lineRule="atLeast"/>
        <w:contextualSpacing/>
        <w:rPr>
          <w:rFonts w:cs="Arial"/>
          <w:sz w:val="16"/>
          <w:szCs w:val="16"/>
        </w:rPr>
      </w:pPr>
      <w:r w:rsidRPr="00104F4B">
        <w:rPr>
          <w:rFonts w:cs="Arial"/>
          <w:noProof/>
          <w:sz w:val="22"/>
          <w:szCs w:val="22"/>
          <w:lang w:val="es-CO" w:eastAsia="es-CO"/>
        </w:rPr>
        <w:drawing>
          <wp:anchor distT="0" distB="0" distL="114300" distR="114300" simplePos="0" relativeHeight="251662336" behindDoc="0" locked="0" layoutInCell="1" allowOverlap="1" wp14:anchorId="0E0EE8AD" wp14:editId="6D00FA27">
            <wp:simplePos x="0" y="0"/>
            <wp:positionH relativeFrom="margin">
              <wp:posOffset>0</wp:posOffset>
            </wp:positionH>
            <wp:positionV relativeFrom="paragraph">
              <wp:posOffset>238760</wp:posOffset>
            </wp:positionV>
            <wp:extent cx="6015990" cy="3562350"/>
            <wp:effectExtent l="0" t="0" r="3810" b="0"/>
            <wp:wrapTopAndBottom/>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017316" cy="3563382"/>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62102" w:rsidRPr="005C3D90" w:rsidRDefault="004524F6" w:rsidP="009A4DDD">
      <w:pPr>
        <w:pStyle w:val="Prrafodelista"/>
        <w:ind w:left="357"/>
        <w:contextualSpacing/>
        <w:rPr>
          <w:rFonts w:ascii="Arial" w:hAnsi="Arial" w:cs="Arial"/>
          <w:sz w:val="16"/>
          <w:szCs w:val="16"/>
        </w:rPr>
      </w:pPr>
      <w:r w:rsidRPr="005C3D90">
        <w:rPr>
          <w:rFonts w:ascii="Arial" w:hAnsi="Arial" w:cs="Arial"/>
          <w:sz w:val="16"/>
          <w:szCs w:val="16"/>
        </w:rPr>
        <w:t>*TIPO DE CONTRATO:</w:t>
      </w:r>
      <w:r w:rsidR="005C3D90">
        <w:rPr>
          <w:rFonts w:ascii="Arial" w:hAnsi="Arial" w:cs="Arial"/>
          <w:sz w:val="16"/>
          <w:szCs w:val="16"/>
        </w:rPr>
        <w:t xml:space="preserve"> </w:t>
      </w:r>
      <w:r w:rsidRPr="005C3D90">
        <w:rPr>
          <w:rFonts w:ascii="Arial" w:hAnsi="Arial" w:cs="Arial"/>
          <w:sz w:val="16"/>
          <w:szCs w:val="16"/>
        </w:rPr>
        <w:t xml:space="preserve">  CONS= Contrato de Consultoría,  INT= Contrato de Interventoría</w:t>
      </w:r>
    </w:p>
    <w:p w:rsidR="009A4DDD" w:rsidRPr="00104F4B" w:rsidRDefault="009A4DDD" w:rsidP="009A4DDD">
      <w:pPr>
        <w:pStyle w:val="Prrafodelista"/>
        <w:ind w:left="357"/>
        <w:contextualSpacing/>
        <w:rPr>
          <w:rFonts w:ascii="Arial" w:hAnsi="Arial" w:cs="Arial"/>
          <w:b/>
        </w:rPr>
      </w:pPr>
    </w:p>
    <w:p w:rsidR="004524F6" w:rsidRPr="00104F4B" w:rsidRDefault="004524F6" w:rsidP="00762102">
      <w:pPr>
        <w:pStyle w:val="Contenidodelatabla"/>
        <w:jc w:val="both"/>
        <w:rPr>
          <w:rFonts w:ascii="Arial" w:hAnsi="Arial" w:cs="Arial"/>
          <w:sz w:val="22"/>
          <w:szCs w:val="22"/>
        </w:rPr>
      </w:pPr>
      <w:r w:rsidRPr="00104F4B">
        <w:rPr>
          <w:rFonts w:ascii="Arial" w:hAnsi="Arial" w:cs="Arial"/>
          <w:smallCaps/>
          <w:sz w:val="22"/>
          <w:szCs w:val="22"/>
          <w:u w:val="single"/>
        </w:rPr>
        <w:t>Seguimiento estructuración nuevas iniciativas de proyectos a presentar al OCAD</w:t>
      </w:r>
      <w:r w:rsidRPr="00104F4B">
        <w:rPr>
          <w:rFonts w:ascii="Arial" w:hAnsi="Arial" w:cs="Arial"/>
          <w:sz w:val="22"/>
          <w:szCs w:val="22"/>
          <w:u w:val="single"/>
        </w:rPr>
        <w:t>:</w:t>
      </w:r>
      <w:r w:rsidRPr="00104F4B">
        <w:rPr>
          <w:rFonts w:ascii="Arial" w:hAnsi="Arial" w:cs="Arial"/>
          <w:sz w:val="22"/>
          <w:szCs w:val="22"/>
        </w:rPr>
        <w:t xml:space="preserve"> En la actualidad, la Dirección Técnica de Proyectos se encuentra estructurando dos (2) prefactibilidades de proyectos, los cuales serán presentados a consideración del Órgano Colegiado de Administración y Decisión – OCAD para el financiamiento de los mismos en su etapa de Estudios y Diseños. Adicionalmente, existe una tercera iniciativa originada por parte de la Constructora Amarilo y la Fiduciaria Banco de Bogotá, la cual financia los Estudios y Diseños requeridos para la construcción de un intercambiador vial de Transmilenio a la altura de la prolongación del tramo metro de la Avenida Cali, a conectarse con el Municipio de Soacha, y Regalías financiaría su fase de construcción:</w:t>
      </w:r>
    </w:p>
    <w:p w:rsidR="00762102" w:rsidRPr="00104F4B" w:rsidRDefault="00762102" w:rsidP="00762102">
      <w:pPr>
        <w:pStyle w:val="Contenidodelatabla"/>
        <w:jc w:val="both"/>
        <w:rPr>
          <w:rFonts w:ascii="Arial" w:hAnsi="Arial" w:cs="Arial"/>
          <w:sz w:val="22"/>
          <w:szCs w:val="22"/>
        </w:rPr>
      </w:pPr>
    </w:p>
    <w:p w:rsidR="004524F6" w:rsidRPr="00104F4B" w:rsidRDefault="004524F6" w:rsidP="002625A5">
      <w:pPr>
        <w:pStyle w:val="Prrafodelista"/>
        <w:numPr>
          <w:ilvl w:val="0"/>
          <w:numId w:val="61"/>
        </w:numPr>
        <w:spacing w:before="0" w:after="200"/>
        <w:contextualSpacing/>
        <w:rPr>
          <w:rFonts w:ascii="Arial" w:hAnsi="Arial" w:cs="Arial"/>
        </w:rPr>
      </w:pPr>
      <w:r w:rsidRPr="00104F4B">
        <w:rPr>
          <w:rFonts w:ascii="Arial" w:hAnsi="Arial" w:cs="Arial"/>
        </w:rPr>
        <w:t>Actualización y Complementación de Estudios y Diseños para los Tramos Faltantes de la Alameda El Porvenir y Su Prolongación por la Av. Terreros, Bogotá, Soacha.</w:t>
      </w:r>
    </w:p>
    <w:p w:rsidR="004524F6" w:rsidRPr="00104F4B" w:rsidRDefault="004524F6" w:rsidP="002625A5">
      <w:pPr>
        <w:pStyle w:val="Prrafodelista"/>
        <w:numPr>
          <w:ilvl w:val="0"/>
          <w:numId w:val="61"/>
        </w:numPr>
        <w:spacing w:before="0" w:after="200"/>
        <w:contextualSpacing/>
        <w:rPr>
          <w:rFonts w:ascii="Arial" w:hAnsi="Arial" w:cs="Arial"/>
        </w:rPr>
      </w:pPr>
      <w:r w:rsidRPr="00104F4B">
        <w:rPr>
          <w:rFonts w:ascii="Arial" w:hAnsi="Arial" w:cs="Arial"/>
        </w:rPr>
        <w:t>Estudios y Diseños Para tres (3) Intersecciones de la Calle 80, en Cra. 69h, Av. Constitución y Cra. 76, Bogotá D.C.</w:t>
      </w:r>
    </w:p>
    <w:p w:rsidR="004524F6" w:rsidRPr="00104F4B" w:rsidRDefault="004524F6" w:rsidP="002625A5">
      <w:pPr>
        <w:pStyle w:val="Prrafodelista"/>
        <w:numPr>
          <w:ilvl w:val="0"/>
          <w:numId w:val="61"/>
        </w:numPr>
        <w:spacing w:before="0" w:after="200"/>
        <w:contextualSpacing/>
        <w:rPr>
          <w:rFonts w:ascii="Arial" w:hAnsi="Arial" w:cs="Arial"/>
        </w:rPr>
      </w:pPr>
      <w:r w:rsidRPr="00104F4B">
        <w:rPr>
          <w:rFonts w:ascii="Arial" w:hAnsi="Arial" w:cs="Arial"/>
        </w:rPr>
        <w:t>Intercambiador Vial Transmilenio Av. Cali, Bogotá – Soacha.</w:t>
      </w:r>
    </w:p>
    <w:p w:rsidR="004524F6" w:rsidRPr="00104F4B" w:rsidRDefault="004524F6" w:rsidP="00DE42C8">
      <w:pPr>
        <w:pStyle w:val="Text1"/>
        <w:keepLines w:val="0"/>
        <w:spacing w:after="120" w:line="240" w:lineRule="atLeast"/>
        <w:contextualSpacing/>
        <w:rPr>
          <w:rFonts w:eastAsia="SimSun" w:cs="Arial"/>
          <w:b/>
          <w:sz w:val="22"/>
          <w:szCs w:val="22"/>
          <w:lang w:val="es-CO" w:eastAsia="zh-CN" w:bidi="hi-IN"/>
        </w:rPr>
      </w:pPr>
      <w:r w:rsidRPr="00104F4B">
        <w:rPr>
          <w:rFonts w:eastAsia="SimSun" w:cs="Arial"/>
          <w:b/>
          <w:sz w:val="22"/>
          <w:szCs w:val="22"/>
          <w:lang w:val="es-CO" w:eastAsia="zh-CN" w:bidi="hi-IN"/>
        </w:rPr>
        <w:t>Proyectos DNP – Calle 63 y Calle 127</w:t>
      </w:r>
    </w:p>
    <w:p w:rsidR="004524F6" w:rsidRPr="00104F4B" w:rsidRDefault="004524F6" w:rsidP="004524F6">
      <w:pPr>
        <w:pStyle w:val="Prrafodelista"/>
        <w:ind w:left="0"/>
        <w:contextualSpacing/>
        <w:rPr>
          <w:rFonts w:ascii="Arial" w:hAnsi="Arial" w:cs="Arial"/>
        </w:rPr>
      </w:pPr>
      <w:r w:rsidRPr="00104F4B">
        <w:rPr>
          <w:rFonts w:ascii="Arial" w:hAnsi="Arial" w:cs="Arial"/>
        </w:rPr>
        <w:t xml:space="preserve">Se realizó acompañamiento por parte del IDU al proyecto de consultoría del Departamento Nacional de Planeación - DNP No. DNP-OR-054-16 con la Unión Temporal DELOITTE, BIRGARD &amp; </w:t>
      </w:r>
      <w:r w:rsidRPr="00104F4B">
        <w:rPr>
          <w:rFonts w:ascii="Arial" w:hAnsi="Arial" w:cs="Arial"/>
        </w:rPr>
        <w:lastRenderedPageBreak/>
        <w:t xml:space="preserve">URRUTIA – INCOSA, cuyo objeto era la “Estructuración técnica, legal, económica y financieramente bajo el mecanismo de Asociación Publico Privada para el diseño, la construcción, operación y Mantenimiento de la infraestructura vial para tráfico mixto y no motorizado de los corredores: (i) Avenida José Celestino Mutis (Calle 63) y (ii) Avenida Calle 127.” Suscrito por el DNP y del cual IDU ha sido propuesto como Entidad concedente. </w:t>
      </w:r>
    </w:p>
    <w:p w:rsidR="004524F6" w:rsidRPr="00104F4B" w:rsidRDefault="004524F6" w:rsidP="004524F6">
      <w:pPr>
        <w:pStyle w:val="Prrafodelista"/>
        <w:ind w:left="0"/>
        <w:contextualSpacing/>
        <w:rPr>
          <w:rFonts w:ascii="Arial" w:hAnsi="Arial" w:cs="Arial"/>
        </w:rPr>
      </w:pPr>
    </w:p>
    <w:p w:rsidR="004524F6" w:rsidRPr="00104F4B" w:rsidRDefault="004524F6" w:rsidP="004524F6">
      <w:pPr>
        <w:pStyle w:val="Prrafodelista"/>
        <w:ind w:left="0"/>
        <w:contextualSpacing/>
        <w:rPr>
          <w:rFonts w:ascii="Arial" w:hAnsi="Arial" w:cs="Arial"/>
        </w:rPr>
      </w:pPr>
      <w:r w:rsidRPr="00104F4B">
        <w:rPr>
          <w:rFonts w:ascii="Arial" w:hAnsi="Arial" w:cs="Arial"/>
        </w:rPr>
        <w:t>El DNP en su calidad de supervisor del contrato y el contratista, la Unión Temporal Deloitte – Brigard &amp;Urrutia-Incosa, suscribieron acta de cierre y balance financiero del contrato de consultoría, el 21 de mayo de 2018. Posteriormente, el DNP firmó el contrato No. DNP-OR-047-18 con la Unión Temporal DELOITTE, BRIGARD &amp; URRUTIA-INCOSA, cuyo objeto era la: “Evaluar la alternativa definida por el Distrito Capital para el diseño, construcción, operación y mantenimiento de la infraestructura vial para tráfico mixto y no motorizado del corredor Avenida José Celestino Mutis (calle 63), y de ser procedente, realizar su estructuración técnica, legal/comercial y financiera bajo el mecanismo de Asociación Público Privada”, con fecha de terminación 31 de diciembre de 2018; se estima  que este resultado será remitida al IDU a inicios del 2019.  </w:t>
      </w:r>
    </w:p>
    <w:p w:rsidR="00DE42C8" w:rsidRPr="00104F4B" w:rsidRDefault="00DE42C8" w:rsidP="004524F6">
      <w:pPr>
        <w:pStyle w:val="Prrafodelista"/>
        <w:ind w:left="0"/>
        <w:contextualSpacing/>
        <w:rPr>
          <w:rFonts w:ascii="Arial" w:hAnsi="Arial" w:cs="Arial"/>
        </w:rPr>
      </w:pPr>
    </w:p>
    <w:p w:rsidR="004524F6" w:rsidRPr="00104F4B" w:rsidRDefault="004524F6" w:rsidP="00DE42C8">
      <w:pPr>
        <w:pStyle w:val="Text1"/>
        <w:keepLines w:val="0"/>
        <w:spacing w:after="120" w:line="240" w:lineRule="atLeast"/>
        <w:contextualSpacing/>
        <w:rPr>
          <w:rFonts w:eastAsia="SimSun" w:cs="Arial"/>
          <w:b/>
          <w:sz w:val="22"/>
          <w:szCs w:val="22"/>
          <w:lang w:val="es-CO" w:eastAsia="zh-CN" w:bidi="hi-IN"/>
        </w:rPr>
      </w:pPr>
      <w:r w:rsidRPr="00104F4B">
        <w:rPr>
          <w:rFonts w:eastAsia="SimSun" w:cs="Arial"/>
          <w:b/>
          <w:sz w:val="22"/>
          <w:szCs w:val="22"/>
          <w:lang w:val="es-CO" w:eastAsia="zh-CN" w:bidi="hi-IN"/>
        </w:rPr>
        <w:t>Gestión predial</w:t>
      </w:r>
    </w:p>
    <w:p w:rsidR="00DE42C8" w:rsidRPr="00104F4B" w:rsidRDefault="00DE42C8" w:rsidP="004524F6">
      <w:pPr>
        <w:pStyle w:val="Text1"/>
        <w:keepLines w:val="0"/>
        <w:spacing w:after="120" w:line="240" w:lineRule="auto"/>
        <w:contextualSpacing/>
        <w:rPr>
          <w:rFonts w:cs="Arial"/>
          <w:sz w:val="22"/>
          <w:szCs w:val="22"/>
        </w:rPr>
      </w:pPr>
    </w:p>
    <w:p w:rsidR="004524F6" w:rsidRPr="00104F4B" w:rsidRDefault="004524F6" w:rsidP="004524F6">
      <w:pPr>
        <w:pStyle w:val="Text1"/>
        <w:keepLines w:val="0"/>
        <w:spacing w:after="120" w:line="240" w:lineRule="auto"/>
        <w:contextualSpacing/>
        <w:rPr>
          <w:rFonts w:cs="Arial"/>
          <w:sz w:val="22"/>
          <w:szCs w:val="22"/>
        </w:rPr>
      </w:pPr>
      <w:r w:rsidRPr="00104F4B">
        <w:rPr>
          <w:rFonts w:cs="Arial"/>
          <w:sz w:val="22"/>
          <w:szCs w:val="22"/>
        </w:rPr>
        <w:t xml:space="preserve">La Dirección Técnica de Predios DTDP, durante la vigencia 2018, en coherencia con sus funciones y los compromisos adquiridos para la ejecución de los proyectos en materia de infraestructura vial y movilidad establecidos en el Plan de Desarrollo Distrital vigente, orientó sus esfuerzos al desarrollo de las siguientes actividades estratégicas: </w:t>
      </w:r>
    </w:p>
    <w:p w:rsidR="004524F6" w:rsidRPr="00104F4B" w:rsidRDefault="004524F6" w:rsidP="00DE42C8">
      <w:pPr>
        <w:spacing w:before="0"/>
        <w:contextualSpacing/>
        <w:rPr>
          <w:rFonts w:cs="Arial"/>
          <w:smallCaps/>
          <w:u w:val="single"/>
        </w:rPr>
      </w:pPr>
      <w:r w:rsidRPr="00104F4B">
        <w:rPr>
          <w:rFonts w:cs="Arial"/>
          <w:smallCaps/>
          <w:u w:val="single"/>
        </w:rPr>
        <w:t>Consolidación del componente predial en las etapas de prefactibilidad y factibilidad de los proyectos de infraestructura vial y movilidad</w:t>
      </w:r>
    </w:p>
    <w:p w:rsidR="004524F6" w:rsidRPr="00104F4B" w:rsidRDefault="004524F6" w:rsidP="004524F6">
      <w:pPr>
        <w:rPr>
          <w:rFonts w:cs="Arial"/>
          <w:szCs w:val="22"/>
          <w:u w:val="single"/>
        </w:rPr>
      </w:pPr>
      <w:r w:rsidRPr="00104F4B">
        <w:rPr>
          <w:rFonts w:cs="Arial"/>
          <w:szCs w:val="22"/>
        </w:rPr>
        <w:t xml:space="preserve">Durante el periodo la DTDP participó y acompañó los procesos de consolidación de las factibilidades de los proyectos, elaborando 49 alternativas de prefactibilidad del componente predial, treinta y seis (36) prefactibilidades y veintinueve (29) factibilidades de ese mismo componente. </w:t>
      </w:r>
    </w:p>
    <w:p w:rsidR="004524F6" w:rsidRPr="00104F4B" w:rsidRDefault="004524F6" w:rsidP="004524F6">
      <w:pPr>
        <w:rPr>
          <w:rFonts w:cs="Arial"/>
          <w:szCs w:val="22"/>
        </w:rPr>
      </w:pPr>
      <w:r w:rsidRPr="00104F4B">
        <w:rPr>
          <w:rFonts w:cs="Arial"/>
          <w:szCs w:val="22"/>
        </w:rPr>
        <w:t xml:space="preserve">En relación con la gestión predial, la DTDP adelanta la adquisición de cinco mil trescientos ochenta y nueve (5.389) predios requeridos (no incluye cesiones) para el desarrollo de cuarenta y un (41) proyectos vigentes dentro del periodo 2016-2018, de los cuales se presentan los siguientes avances: </w:t>
      </w:r>
    </w:p>
    <w:p w:rsidR="004524F6" w:rsidRPr="00104F4B" w:rsidRDefault="004524F6" w:rsidP="004524F6">
      <w:pPr>
        <w:jc w:val="center"/>
        <w:rPr>
          <w:rFonts w:cs="Arial"/>
          <w:szCs w:val="22"/>
        </w:rPr>
      </w:pPr>
      <w:r w:rsidRPr="00104F4B">
        <w:rPr>
          <w:rFonts w:cs="Arial"/>
          <w:noProof/>
          <w:szCs w:val="22"/>
          <w:lang w:val="es-CO" w:eastAsia="es-CO"/>
        </w:rPr>
        <w:drawing>
          <wp:inline distT="0" distB="0" distL="0" distR="0" wp14:anchorId="3E2F3BD3" wp14:editId="3516E372">
            <wp:extent cx="4045250" cy="2240673"/>
            <wp:effectExtent l="0" t="0" r="0" b="762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t="5888" b="3806"/>
                    <a:stretch/>
                  </pic:blipFill>
                  <pic:spPr bwMode="auto">
                    <a:xfrm>
                      <a:off x="0" y="0"/>
                      <a:ext cx="4178407" cy="2314429"/>
                    </a:xfrm>
                    <a:prstGeom prst="rect">
                      <a:avLst/>
                    </a:prstGeom>
                    <a:noFill/>
                    <a:ln>
                      <a:noFill/>
                    </a:ln>
                    <a:extLst>
                      <a:ext uri="{53640926-AAD7-44D8-BBD7-CCE9431645EC}">
                        <a14:shadowObscured xmlns:a14="http://schemas.microsoft.com/office/drawing/2010/main"/>
                      </a:ext>
                    </a:extLst>
                  </pic:spPr>
                </pic:pic>
              </a:graphicData>
            </a:graphic>
          </wp:inline>
        </w:drawing>
      </w:r>
    </w:p>
    <w:p w:rsidR="004524F6" w:rsidRPr="00104F4B" w:rsidRDefault="004524F6" w:rsidP="004524F6">
      <w:pPr>
        <w:rPr>
          <w:rFonts w:cs="Arial"/>
          <w:sz w:val="16"/>
          <w:szCs w:val="16"/>
        </w:rPr>
      </w:pPr>
      <w:r w:rsidRPr="00104F4B">
        <w:rPr>
          <w:rFonts w:cs="Arial"/>
          <w:sz w:val="16"/>
          <w:szCs w:val="16"/>
        </w:rPr>
        <w:t>Gráfico 1. Resultados Gestión Predial – Fuente: Base de datos seguimiento DTDP - 31/12/2018</w:t>
      </w:r>
    </w:p>
    <w:p w:rsidR="004524F6" w:rsidRPr="00104F4B" w:rsidRDefault="004524F6" w:rsidP="004524F6">
      <w:pPr>
        <w:rPr>
          <w:rFonts w:cs="Arial"/>
          <w:szCs w:val="22"/>
        </w:rPr>
      </w:pPr>
      <w:r w:rsidRPr="00104F4B">
        <w:rPr>
          <w:rFonts w:cs="Arial"/>
          <w:szCs w:val="22"/>
        </w:rPr>
        <w:lastRenderedPageBreak/>
        <w:t xml:space="preserve">Conforme lo muestra el gráfico 1, la DTDP durante la vigencia 2018, ofertó 2.736 predios para consolidar 3.405 predios en lo corrido de las vigencias 2016-2018 (63% del total de predios de propiedad privada requeridos).  Al corte del 31 de diciembre de 2018, suscribió también 1.542 promesas (consolidando la suscripción de 1.631 promesas de compraventa para el periodo 2016-2018), así como notificó 971 resoluciones de expropiación administrativa, alcanzando 1.487 expropiaciones para el periodo 2016-2018. La DTDP en la vigencia 2018 recibió 2.007 predios, los cuales se suman a los 618 recibidos en vigencias anteriores.  </w:t>
      </w:r>
    </w:p>
    <w:p w:rsidR="004524F6" w:rsidRPr="00104F4B" w:rsidRDefault="004524F6" w:rsidP="004524F6">
      <w:pPr>
        <w:contextualSpacing/>
        <w:outlineLvl w:val="0"/>
        <w:rPr>
          <w:rFonts w:cs="Arial"/>
          <w:b/>
          <w:smallCaps/>
          <w:szCs w:val="22"/>
          <w:lang w:eastAsia="en-US"/>
        </w:rPr>
      </w:pPr>
    </w:p>
    <w:p w:rsidR="004524F6" w:rsidRPr="00104F4B" w:rsidRDefault="004524F6" w:rsidP="00DE42C8">
      <w:pPr>
        <w:spacing w:before="0"/>
        <w:contextualSpacing/>
        <w:rPr>
          <w:rFonts w:cs="Arial"/>
          <w:smallCaps/>
          <w:u w:val="single"/>
        </w:rPr>
      </w:pPr>
      <w:r w:rsidRPr="00104F4B">
        <w:rPr>
          <w:rFonts w:cs="Arial"/>
          <w:smallCaps/>
          <w:u w:val="single"/>
        </w:rPr>
        <w:t>Viabilidades prediales para inicio de obras</w:t>
      </w:r>
    </w:p>
    <w:p w:rsidR="004524F6" w:rsidRPr="00104F4B" w:rsidRDefault="004524F6" w:rsidP="004524F6">
      <w:pPr>
        <w:rPr>
          <w:rFonts w:cs="Arial"/>
          <w:szCs w:val="22"/>
        </w:rPr>
      </w:pPr>
      <w:r w:rsidRPr="00104F4B">
        <w:rPr>
          <w:rFonts w:cs="Arial"/>
          <w:szCs w:val="22"/>
        </w:rPr>
        <w:t xml:space="preserve">Para la vigencia 2018, la DTDP viabilizó el inicio de obras en ocho (8) proyectos mediante los conceptos que se relacionan a continuación: </w:t>
      </w:r>
    </w:p>
    <w:p w:rsidR="004524F6" w:rsidRPr="00104F4B" w:rsidRDefault="004524F6" w:rsidP="004524F6">
      <w:pPr>
        <w:rPr>
          <w:rFonts w:cs="Arial"/>
          <w:sz w:val="16"/>
          <w:szCs w:val="16"/>
        </w:rPr>
      </w:pPr>
      <w:r w:rsidRPr="00104F4B">
        <w:rPr>
          <w:rFonts w:cs="Arial"/>
          <w:sz w:val="16"/>
          <w:szCs w:val="16"/>
        </w:rPr>
        <w:t>SGDU – VIABILIDADES PREDIALES PARA INICIO DE OBRAS</w:t>
      </w:r>
    </w:p>
    <w:tbl>
      <w:tblPr>
        <w:tblStyle w:val="Tablaconcuadrcula"/>
        <w:tblW w:w="0" w:type="auto"/>
        <w:tblLook w:val="04A0" w:firstRow="1" w:lastRow="0" w:firstColumn="1" w:lastColumn="0" w:noHBand="0" w:noVBand="1"/>
      </w:tblPr>
      <w:tblGrid>
        <w:gridCol w:w="562"/>
        <w:gridCol w:w="5245"/>
        <w:gridCol w:w="3544"/>
      </w:tblGrid>
      <w:tr w:rsidR="004524F6" w:rsidRPr="00104F4B" w:rsidTr="00FC0A3C">
        <w:tc>
          <w:tcPr>
            <w:tcW w:w="562" w:type="dxa"/>
            <w:shd w:val="clear" w:color="auto" w:fill="0070C0"/>
          </w:tcPr>
          <w:p w:rsidR="004524F6" w:rsidRPr="00104F4B" w:rsidRDefault="004524F6" w:rsidP="00FC0A3C">
            <w:pPr>
              <w:rPr>
                <w:rFonts w:cs="Arial"/>
                <w:color w:val="FFFFFF" w:themeColor="background1"/>
                <w:sz w:val="16"/>
                <w:szCs w:val="16"/>
              </w:rPr>
            </w:pPr>
          </w:p>
        </w:tc>
        <w:tc>
          <w:tcPr>
            <w:tcW w:w="5245" w:type="dxa"/>
            <w:shd w:val="clear" w:color="auto" w:fill="0070C0"/>
          </w:tcPr>
          <w:p w:rsidR="004524F6" w:rsidRPr="00104F4B" w:rsidRDefault="004524F6" w:rsidP="00FC0A3C">
            <w:pPr>
              <w:rPr>
                <w:rFonts w:cs="Arial"/>
                <w:b/>
                <w:color w:val="FFFFFF" w:themeColor="background1"/>
                <w:sz w:val="16"/>
                <w:szCs w:val="16"/>
              </w:rPr>
            </w:pPr>
            <w:r w:rsidRPr="00104F4B">
              <w:rPr>
                <w:rFonts w:cs="Arial"/>
                <w:b/>
                <w:color w:val="FFFFFF" w:themeColor="background1"/>
                <w:sz w:val="16"/>
                <w:szCs w:val="16"/>
              </w:rPr>
              <w:t>Proyecto</w:t>
            </w:r>
          </w:p>
        </w:tc>
        <w:tc>
          <w:tcPr>
            <w:tcW w:w="3544" w:type="dxa"/>
            <w:shd w:val="clear" w:color="auto" w:fill="0070C0"/>
          </w:tcPr>
          <w:p w:rsidR="004524F6" w:rsidRPr="00104F4B" w:rsidRDefault="004524F6" w:rsidP="00FC0A3C">
            <w:pPr>
              <w:rPr>
                <w:rFonts w:cs="Arial"/>
                <w:b/>
                <w:color w:val="FFFFFF" w:themeColor="background1"/>
                <w:sz w:val="16"/>
                <w:szCs w:val="16"/>
              </w:rPr>
            </w:pPr>
            <w:r w:rsidRPr="00104F4B">
              <w:rPr>
                <w:rFonts w:cs="Arial"/>
                <w:b/>
                <w:color w:val="FFFFFF" w:themeColor="background1"/>
                <w:sz w:val="16"/>
                <w:szCs w:val="16"/>
              </w:rPr>
              <w:t>Soporte viabilidad</w:t>
            </w:r>
          </w:p>
        </w:tc>
      </w:tr>
      <w:tr w:rsidR="004524F6" w:rsidRPr="00104F4B" w:rsidTr="00FC0A3C">
        <w:trPr>
          <w:trHeight w:val="219"/>
        </w:trPr>
        <w:tc>
          <w:tcPr>
            <w:tcW w:w="562" w:type="dxa"/>
            <w:vAlign w:val="center"/>
          </w:tcPr>
          <w:p w:rsidR="004524F6" w:rsidRPr="00104F4B" w:rsidRDefault="004524F6" w:rsidP="00FC0A3C">
            <w:pPr>
              <w:rPr>
                <w:rFonts w:cs="Arial"/>
                <w:sz w:val="16"/>
                <w:szCs w:val="16"/>
                <w:lang w:eastAsia="es-CO"/>
              </w:rPr>
            </w:pPr>
            <w:r w:rsidRPr="00104F4B">
              <w:rPr>
                <w:rFonts w:cs="Arial"/>
                <w:sz w:val="16"/>
                <w:szCs w:val="16"/>
                <w:lang w:eastAsia="es-CO"/>
              </w:rPr>
              <w:t>1</w:t>
            </w:r>
          </w:p>
        </w:tc>
        <w:tc>
          <w:tcPr>
            <w:tcW w:w="5245" w:type="dxa"/>
            <w:vAlign w:val="center"/>
          </w:tcPr>
          <w:p w:rsidR="004524F6" w:rsidRPr="00104F4B" w:rsidRDefault="004524F6" w:rsidP="00FC0A3C">
            <w:pPr>
              <w:spacing w:line="276" w:lineRule="auto"/>
              <w:rPr>
                <w:rFonts w:cs="Arial"/>
                <w:color w:val="000000"/>
                <w:sz w:val="16"/>
                <w:szCs w:val="16"/>
                <w:lang w:val="es-CO" w:eastAsia="es-CO"/>
              </w:rPr>
            </w:pPr>
            <w:r w:rsidRPr="00104F4B">
              <w:rPr>
                <w:rFonts w:cs="Arial"/>
                <w:color w:val="000000"/>
                <w:sz w:val="16"/>
                <w:szCs w:val="16"/>
                <w:lang w:val="es-CO" w:eastAsia="es-CO"/>
              </w:rPr>
              <w:t>Avenida la Sirena (AC 153) desde Avenida Laureano Gómez (AK 9) hasta Avenida Santa Bárbara (AK 19)</w:t>
            </w:r>
          </w:p>
        </w:tc>
        <w:tc>
          <w:tcPr>
            <w:tcW w:w="3544" w:type="dxa"/>
            <w:vAlign w:val="center"/>
          </w:tcPr>
          <w:p w:rsidR="004524F6" w:rsidRPr="00104F4B" w:rsidRDefault="004524F6" w:rsidP="00FC0A3C">
            <w:pPr>
              <w:spacing w:line="276" w:lineRule="auto"/>
              <w:rPr>
                <w:rFonts w:cs="Arial"/>
                <w:color w:val="000000"/>
                <w:sz w:val="16"/>
                <w:szCs w:val="16"/>
                <w:lang w:val="es-CO" w:eastAsia="es-CO"/>
              </w:rPr>
            </w:pPr>
            <w:r w:rsidRPr="00104F4B">
              <w:rPr>
                <w:rFonts w:cs="Arial"/>
                <w:color w:val="000000"/>
                <w:sz w:val="16"/>
                <w:szCs w:val="16"/>
                <w:lang w:val="es-CO" w:eastAsia="es-CO"/>
              </w:rPr>
              <w:t>Memorando  20183250062903 Marzo 14 de 2018</w:t>
            </w:r>
          </w:p>
        </w:tc>
      </w:tr>
      <w:tr w:rsidR="004524F6" w:rsidRPr="00104F4B" w:rsidTr="00FC0A3C">
        <w:trPr>
          <w:trHeight w:val="262"/>
        </w:trPr>
        <w:tc>
          <w:tcPr>
            <w:tcW w:w="562" w:type="dxa"/>
            <w:vAlign w:val="center"/>
          </w:tcPr>
          <w:p w:rsidR="004524F6" w:rsidRPr="00104F4B" w:rsidRDefault="004524F6" w:rsidP="00FC0A3C">
            <w:pPr>
              <w:rPr>
                <w:rFonts w:cs="Arial"/>
                <w:sz w:val="16"/>
                <w:szCs w:val="16"/>
                <w:lang w:eastAsia="es-CO"/>
              </w:rPr>
            </w:pPr>
            <w:r w:rsidRPr="00104F4B">
              <w:rPr>
                <w:rFonts w:cs="Arial"/>
                <w:sz w:val="16"/>
                <w:szCs w:val="16"/>
                <w:lang w:eastAsia="es-CO"/>
              </w:rPr>
              <w:t>2</w:t>
            </w:r>
          </w:p>
        </w:tc>
        <w:tc>
          <w:tcPr>
            <w:tcW w:w="5245" w:type="dxa"/>
            <w:vAlign w:val="center"/>
          </w:tcPr>
          <w:p w:rsidR="004524F6" w:rsidRPr="00104F4B" w:rsidRDefault="004524F6" w:rsidP="00FC0A3C">
            <w:pPr>
              <w:spacing w:line="276" w:lineRule="auto"/>
              <w:rPr>
                <w:rFonts w:cs="Arial"/>
                <w:color w:val="000000"/>
                <w:sz w:val="16"/>
                <w:szCs w:val="16"/>
                <w:lang w:val="es-CO" w:eastAsia="es-CO"/>
              </w:rPr>
            </w:pPr>
            <w:r w:rsidRPr="00104F4B">
              <w:rPr>
                <w:rFonts w:cs="Arial"/>
                <w:color w:val="000000"/>
                <w:sz w:val="16"/>
                <w:szCs w:val="16"/>
                <w:lang w:val="es-CO" w:eastAsia="es-CO"/>
              </w:rPr>
              <w:t>Intersección Av. El Rincón por Av. Boyacá</w:t>
            </w:r>
          </w:p>
        </w:tc>
        <w:tc>
          <w:tcPr>
            <w:tcW w:w="3544" w:type="dxa"/>
            <w:vAlign w:val="center"/>
          </w:tcPr>
          <w:p w:rsidR="004524F6" w:rsidRPr="00104F4B" w:rsidRDefault="004524F6" w:rsidP="00FC0A3C">
            <w:pPr>
              <w:spacing w:line="276" w:lineRule="auto"/>
              <w:rPr>
                <w:rFonts w:cs="Arial"/>
                <w:color w:val="000000"/>
                <w:sz w:val="16"/>
                <w:szCs w:val="16"/>
                <w:lang w:val="es-CO" w:eastAsia="es-CO"/>
              </w:rPr>
            </w:pPr>
            <w:r w:rsidRPr="00104F4B">
              <w:rPr>
                <w:rFonts w:cs="Arial"/>
                <w:color w:val="000000"/>
                <w:sz w:val="16"/>
                <w:szCs w:val="16"/>
                <w:lang w:val="es-CO" w:eastAsia="es-CO"/>
              </w:rPr>
              <w:t>Memorando 20183250315443 Diciembre 13 de 2018</w:t>
            </w:r>
          </w:p>
        </w:tc>
      </w:tr>
      <w:tr w:rsidR="004524F6" w:rsidRPr="00104F4B" w:rsidTr="00FC0A3C">
        <w:trPr>
          <w:trHeight w:val="143"/>
        </w:trPr>
        <w:tc>
          <w:tcPr>
            <w:tcW w:w="562" w:type="dxa"/>
            <w:vAlign w:val="center"/>
          </w:tcPr>
          <w:p w:rsidR="004524F6" w:rsidRPr="00104F4B" w:rsidRDefault="004524F6" w:rsidP="00FC0A3C">
            <w:pPr>
              <w:rPr>
                <w:rFonts w:cs="Arial"/>
                <w:sz w:val="16"/>
                <w:szCs w:val="16"/>
                <w:lang w:eastAsia="es-CO"/>
              </w:rPr>
            </w:pPr>
            <w:r w:rsidRPr="00104F4B">
              <w:rPr>
                <w:rFonts w:cs="Arial"/>
                <w:sz w:val="16"/>
                <w:szCs w:val="16"/>
                <w:lang w:eastAsia="es-CO"/>
              </w:rPr>
              <w:t>3</w:t>
            </w:r>
          </w:p>
        </w:tc>
        <w:tc>
          <w:tcPr>
            <w:tcW w:w="5245" w:type="dxa"/>
            <w:vAlign w:val="center"/>
          </w:tcPr>
          <w:p w:rsidR="004524F6" w:rsidRPr="00104F4B" w:rsidRDefault="004524F6" w:rsidP="00FC0A3C">
            <w:pPr>
              <w:spacing w:line="276" w:lineRule="auto"/>
              <w:rPr>
                <w:rFonts w:cs="Arial"/>
                <w:color w:val="000000"/>
                <w:sz w:val="16"/>
                <w:szCs w:val="16"/>
                <w:lang w:val="es-CO" w:eastAsia="es-CO"/>
              </w:rPr>
            </w:pPr>
            <w:r w:rsidRPr="00104F4B">
              <w:rPr>
                <w:rFonts w:cs="Arial"/>
                <w:color w:val="000000"/>
                <w:sz w:val="16"/>
                <w:szCs w:val="16"/>
                <w:lang w:val="es-CO" w:eastAsia="es-CO"/>
              </w:rPr>
              <w:t>Av Laureano Gómez (AK 9) desde la Av. San Antonio (AC 183) hasta la CL 193</w:t>
            </w:r>
          </w:p>
        </w:tc>
        <w:tc>
          <w:tcPr>
            <w:tcW w:w="3544" w:type="dxa"/>
            <w:vAlign w:val="center"/>
          </w:tcPr>
          <w:p w:rsidR="004524F6" w:rsidRPr="00104F4B" w:rsidRDefault="004524F6" w:rsidP="00FC0A3C">
            <w:pPr>
              <w:spacing w:line="276" w:lineRule="auto"/>
              <w:rPr>
                <w:rFonts w:cs="Arial"/>
                <w:color w:val="000000"/>
                <w:sz w:val="16"/>
                <w:szCs w:val="16"/>
                <w:lang w:val="es-CO" w:eastAsia="es-CO"/>
              </w:rPr>
            </w:pPr>
            <w:r w:rsidRPr="00104F4B">
              <w:rPr>
                <w:rFonts w:cs="Arial"/>
                <w:color w:val="000000"/>
                <w:sz w:val="16"/>
                <w:szCs w:val="16"/>
                <w:lang w:val="es-CO" w:eastAsia="es-CO"/>
              </w:rPr>
              <w:t>Memorando  20183250156093 Junio 29 De 2018</w:t>
            </w:r>
          </w:p>
        </w:tc>
      </w:tr>
      <w:tr w:rsidR="004524F6" w:rsidRPr="00104F4B" w:rsidTr="00FC0A3C">
        <w:tc>
          <w:tcPr>
            <w:tcW w:w="562" w:type="dxa"/>
            <w:vAlign w:val="center"/>
          </w:tcPr>
          <w:p w:rsidR="004524F6" w:rsidRPr="00104F4B" w:rsidRDefault="004524F6" w:rsidP="00FC0A3C">
            <w:pPr>
              <w:rPr>
                <w:rFonts w:cs="Arial"/>
                <w:sz w:val="16"/>
                <w:szCs w:val="16"/>
                <w:lang w:eastAsia="es-CO"/>
              </w:rPr>
            </w:pPr>
            <w:r w:rsidRPr="00104F4B">
              <w:rPr>
                <w:rFonts w:cs="Arial"/>
                <w:sz w:val="16"/>
                <w:szCs w:val="16"/>
                <w:lang w:eastAsia="es-CO"/>
              </w:rPr>
              <w:t>4</w:t>
            </w:r>
          </w:p>
        </w:tc>
        <w:tc>
          <w:tcPr>
            <w:tcW w:w="5245" w:type="dxa"/>
            <w:vAlign w:val="center"/>
          </w:tcPr>
          <w:p w:rsidR="004524F6" w:rsidRPr="00104F4B" w:rsidRDefault="004524F6" w:rsidP="00FC0A3C">
            <w:pPr>
              <w:spacing w:line="276" w:lineRule="auto"/>
              <w:rPr>
                <w:rFonts w:cs="Arial"/>
                <w:color w:val="000000"/>
                <w:sz w:val="16"/>
                <w:szCs w:val="16"/>
                <w:lang w:val="es-CO" w:eastAsia="es-CO"/>
              </w:rPr>
            </w:pPr>
            <w:r w:rsidRPr="00104F4B">
              <w:rPr>
                <w:rFonts w:cs="Arial"/>
                <w:color w:val="000000"/>
                <w:sz w:val="16"/>
                <w:szCs w:val="16"/>
                <w:lang w:val="es-CO" w:eastAsia="es-CO"/>
              </w:rPr>
              <w:t>Av. Tintal (Ak 89) desde Av. Manuel Cepeda Vargas hasta Av. Alsacia (Ac12)</w:t>
            </w:r>
          </w:p>
          <w:p w:rsidR="00DE42C8" w:rsidRPr="00104F4B" w:rsidRDefault="00DE42C8" w:rsidP="00FC0A3C">
            <w:pPr>
              <w:spacing w:line="276" w:lineRule="auto"/>
              <w:rPr>
                <w:rFonts w:cs="Arial"/>
                <w:color w:val="000000"/>
                <w:sz w:val="16"/>
                <w:szCs w:val="16"/>
                <w:lang w:val="es-CO" w:eastAsia="es-CO"/>
              </w:rPr>
            </w:pPr>
          </w:p>
        </w:tc>
        <w:tc>
          <w:tcPr>
            <w:tcW w:w="3544" w:type="dxa"/>
            <w:vAlign w:val="center"/>
          </w:tcPr>
          <w:p w:rsidR="004524F6" w:rsidRPr="00104F4B" w:rsidRDefault="004524F6" w:rsidP="00FC0A3C">
            <w:pPr>
              <w:spacing w:line="276" w:lineRule="auto"/>
              <w:rPr>
                <w:rFonts w:cs="Arial"/>
                <w:color w:val="000000"/>
                <w:sz w:val="16"/>
                <w:szCs w:val="16"/>
                <w:lang w:val="es-CO" w:eastAsia="es-CO"/>
              </w:rPr>
            </w:pPr>
            <w:r w:rsidRPr="00104F4B">
              <w:rPr>
                <w:rFonts w:cs="Arial"/>
                <w:color w:val="000000"/>
                <w:sz w:val="16"/>
                <w:szCs w:val="16"/>
                <w:lang w:val="es-CO" w:eastAsia="es-CO"/>
              </w:rPr>
              <w:t>Memorando 20183250313473 Diciembre 11 de 2018</w:t>
            </w:r>
          </w:p>
        </w:tc>
      </w:tr>
      <w:tr w:rsidR="00221927" w:rsidRPr="00104F4B" w:rsidTr="0039410F">
        <w:trPr>
          <w:trHeight w:val="195"/>
        </w:trPr>
        <w:tc>
          <w:tcPr>
            <w:tcW w:w="562" w:type="dxa"/>
            <w:vAlign w:val="center"/>
          </w:tcPr>
          <w:p w:rsidR="00221927" w:rsidRPr="00104F4B" w:rsidRDefault="00221927" w:rsidP="0039410F">
            <w:pPr>
              <w:rPr>
                <w:rFonts w:cs="Arial"/>
                <w:sz w:val="16"/>
                <w:szCs w:val="16"/>
                <w:lang w:eastAsia="es-CO"/>
              </w:rPr>
            </w:pPr>
            <w:r w:rsidRPr="00104F4B">
              <w:rPr>
                <w:rFonts w:cs="Arial"/>
                <w:sz w:val="16"/>
                <w:szCs w:val="16"/>
                <w:lang w:eastAsia="es-CO"/>
              </w:rPr>
              <w:t>5</w:t>
            </w:r>
          </w:p>
        </w:tc>
        <w:tc>
          <w:tcPr>
            <w:tcW w:w="5245" w:type="dxa"/>
            <w:vAlign w:val="center"/>
          </w:tcPr>
          <w:p w:rsidR="00221927" w:rsidRPr="00104F4B" w:rsidRDefault="00221927" w:rsidP="0039410F">
            <w:pPr>
              <w:spacing w:line="276" w:lineRule="auto"/>
              <w:rPr>
                <w:rFonts w:cs="Arial"/>
                <w:color w:val="000000"/>
                <w:sz w:val="16"/>
                <w:szCs w:val="16"/>
                <w:lang w:val="es-CO" w:eastAsia="es-CO"/>
              </w:rPr>
            </w:pPr>
            <w:r w:rsidRPr="00104F4B">
              <w:rPr>
                <w:rFonts w:cs="Arial"/>
                <w:color w:val="000000"/>
                <w:sz w:val="16"/>
                <w:szCs w:val="16"/>
                <w:lang w:val="es-CO" w:eastAsia="es-CO"/>
              </w:rPr>
              <w:t>Av. Alsacia desde Av. Constitución hasta Av. Boyacá (Ak 72)</w:t>
            </w:r>
          </w:p>
        </w:tc>
        <w:tc>
          <w:tcPr>
            <w:tcW w:w="3544" w:type="dxa"/>
            <w:vAlign w:val="center"/>
          </w:tcPr>
          <w:p w:rsidR="00221927" w:rsidRPr="00104F4B" w:rsidRDefault="00221927" w:rsidP="0039410F">
            <w:pPr>
              <w:spacing w:line="276" w:lineRule="auto"/>
              <w:rPr>
                <w:rFonts w:cs="Arial"/>
                <w:color w:val="000000"/>
                <w:sz w:val="16"/>
                <w:szCs w:val="16"/>
                <w:lang w:val="es-CO" w:eastAsia="es-CO"/>
              </w:rPr>
            </w:pPr>
            <w:r w:rsidRPr="00104F4B">
              <w:rPr>
                <w:rFonts w:cs="Arial"/>
                <w:color w:val="000000"/>
                <w:sz w:val="16"/>
                <w:szCs w:val="16"/>
                <w:lang w:val="es-CO" w:eastAsia="es-CO"/>
              </w:rPr>
              <w:t>Memorando 20183250313463 Diciembre 11 de 2018</w:t>
            </w:r>
          </w:p>
        </w:tc>
      </w:tr>
      <w:tr w:rsidR="00221927" w:rsidRPr="00104F4B" w:rsidTr="0039410F">
        <w:trPr>
          <w:trHeight w:val="256"/>
        </w:trPr>
        <w:tc>
          <w:tcPr>
            <w:tcW w:w="562" w:type="dxa"/>
            <w:vAlign w:val="center"/>
          </w:tcPr>
          <w:p w:rsidR="00221927" w:rsidRPr="00104F4B" w:rsidRDefault="00221927" w:rsidP="0039410F">
            <w:pPr>
              <w:rPr>
                <w:rFonts w:cs="Arial"/>
                <w:sz w:val="16"/>
                <w:szCs w:val="16"/>
                <w:lang w:eastAsia="es-CO"/>
              </w:rPr>
            </w:pPr>
            <w:r w:rsidRPr="00104F4B">
              <w:rPr>
                <w:rFonts w:cs="Arial"/>
                <w:sz w:val="16"/>
                <w:szCs w:val="16"/>
                <w:lang w:eastAsia="es-CO"/>
              </w:rPr>
              <w:t>6</w:t>
            </w:r>
          </w:p>
        </w:tc>
        <w:tc>
          <w:tcPr>
            <w:tcW w:w="5245" w:type="dxa"/>
            <w:vAlign w:val="center"/>
          </w:tcPr>
          <w:p w:rsidR="00221927" w:rsidRPr="00104F4B" w:rsidRDefault="00221927" w:rsidP="0039410F">
            <w:pPr>
              <w:spacing w:line="276" w:lineRule="auto"/>
              <w:rPr>
                <w:rFonts w:cs="Arial"/>
                <w:color w:val="000000"/>
                <w:sz w:val="16"/>
                <w:szCs w:val="16"/>
                <w:lang w:val="es-CO" w:eastAsia="es-CO"/>
              </w:rPr>
            </w:pPr>
            <w:r w:rsidRPr="00104F4B">
              <w:rPr>
                <w:rFonts w:cs="Arial"/>
                <w:color w:val="000000"/>
                <w:sz w:val="16"/>
                <w:szCs w:val="16"/>
                <w:lang w:val="es-CO" w:eastAsia="es-CO"/>
              </w:rPr>
              <w:t>Patio Portal La Reforma</w:t>
            </w:r>
          </w:p>
        </w:tc>
        <w:tc>
          <w:tcPr>
            <w:tcW w:w="3544" w:type="dxa"/>
            <w:vAlign w:val="center"/>
          </w:tcPr>
          <w:p w:rsidR="00221927" w:rsidRPr="00104F4B" w:rsidRDefault="00221927" w:rsidP="0039410F">
            <w:pPr>
              <w:spacing w:line="276" w:lineRule="auto"/>
              <w:rPr>
                <w:rFonts w:cs="Arial"/>
                <w:color w:val="000000"/>
                <w:sz w:val="16"/>
                <w:szCs w:val="16"/>
                <w:lang w:val="es-CO" w:eastAsia="es-CO"/>
              </w:rPr>
            </w:pPr>
            <w:r w:rsidRPr="00104F4B">
              <w:rPr>
                <w:rFonts w:cs="Arial"/>
                <w:color w:val="000000"/>
                <w:sz w:val="16"/>
                <w:szCs w:val="16"/>
                <w:lang w:val="es-CO" w:eastAsia="es-CO"/>
              </w:rPr>
              <w:t>Memorando 20183250315453 Diciembre 13 de 2018</w:t>
            </w:r>
          </w:p>
        </w:tc>
      </w:tr>
      <w:tr w:rsidR="00221927" w:rsidRPr="00104F4B" w:rsidTr="0039410F">
        <w:tc>
          <w:tcPr>
            <w:tcW w:w="562" w:type="dxa"/>
            <w:vAlign w:val="center"/>
          </w:tcPr>
          <w:p w:rsidR="00221927" w:rsidRPr="00104F4B" w:rsidRDefault="00221927" w:rsidP="0039410F">
            <w:pPr>
              <w:rPr>
                <w:rFonts w:cs="Arial"/>
                <w:sz w:val="16"/>
                <w:szCs w:val="16"/>
                <w:lang w:eastAsia="es-CO"/>
              </w:rPr>
            </w:pPr>
            <w:r w:rsidRPr="00104F4B">
              <w:rPr>
                <w:rFonts w:cs="Arial"/>
                <w:sz w:val="16"/>
                <w:szCs w:val="16"/>
                <w:lang w:eastAsia="es-CO"/>
              </w:rPr>
              <w:t>7</w:t>
            </w:r>
          </w:p>
        </w:tc>
        <w:tc>
          <w:tcPr>
            <w:tcW w:w="5245" w:type="dxa"/>
            <w:vAlign w:val="center"/>
          </w:tcPr>
          <w:p w:rsidR="00221927" w:rsidRPr="00104F4B" w:rsidRDefault="00221927" w:rsidP="0039410F">
            <w:pPr>
              <w:spacing w:line="276" w:lineRule="auto"/>
              <w:rPr>
                <w:rFonts w:cs="Arial"/>
                <w:color w:val="000000"/>
                <w:sz w:val="16"/>
                <w:szCs w:val="16"/>
                <w:lang w:val="es-CO" w:eastAsia="es-CO"/>
              </w:rPr>
            </w:pPr>
            <w:r w:rsidRPr="00104F4B">
              <w:rPr>
                <w:rFonts w:cs="Arial"/>
                <w:color w:val="000000"/>
                <w:sz w:val="16"/>
                <w:szCs w:val="16"/>
                <w:lang w:val="es-CO" w:eastAsia="es-CO"/>
              </w:rPr>
              <w:t>Puente Peatonal Toberin para el Sistema de Transmilenio</w:t>
            </w:r>
          </w:p>
        </w:tc>
        <w:tc>
          <w:tcPr>
            <w:tcW w:w="3544" w:type="dxa"/>
            <w:vAlign w:val="center"/>
          </w:tcPr>
          <w:p w:rsidR="00221927" w:rsidRPr="00104F4B" w:rsidRDefault="00221927" w:rsidP="0039410F">
            <w:pPr>
              <w:spacing w:line="276" w:lineRule="auto"/>
              <w:rPr>
                <w:rFonts w:cs="Arial"/>
                <w:color w:val="000000"/>
                <w:sz w:val="16"/>
                <w:szCs w:val="16"/>
                <w:lang w:val="es-CO" w:eastAsia="es-CO"/>
              </w:rPr>
            </w:pPr>
            <w:r w:rsidRPr="00104F4B">
              <w:rPr>
                <w:rFonts w:cs="Arial"/>
                <w:color w:val="000000"/>
                <w:sz w:val="16"/>
                <w:szCs w:val="16"/>
                <w:lang w:val="es-CO" w:eastAsia="es-CO"/>
              </w:rPr>
              <w:t>Memorando 20183250316923 Diciembre 14 de 2018</w:t>
            </w:r>
          </w:p>
        </w:tc>
      </w:tr>
      <w:tr w:rsidR="00221927" w:rsidRPr="00104F4B" w:rsidTr="0039410F">
        <w:tc>
          <w:tcPr>
            <w:tcW w:w="562" w:type="dxa"/>
            <w:vAlign w:val="center"/>
          </w:tcPr>
          <w:p w:rsidR="00221927" w:rsidRPr="00104F4B" w:rsidRDefault="00221927" w:rsidP="0039410F">
            <w:pPr>
              <w:rPr>
                <w:rFonts w:cs="Arial"/>
                <w:sz w:val="16"/>
                <w:szCs w:val="16"/>
                <w:lang w:eastAsia="es-CO"/>
              </w:rPr>
            </w:pPr>
            <w:r w:rsidRPr="00104F4B">
              <w:rPr>
                <w:rFonts w:cs="Arial"/>
                <w:sz w:val="16"/>
                <w:szCs w:val="16"/>
                <w:lang w:eastAsia="es-CO"/>
              </w:rPr>
              <w:t>8</w:t>
            </w:r>
          </w:p>
        </w:tc>
        <w:tc>
          <w:tcPr>
            <w:tcW w:w="5245" w:type="dxa"/>
            <w:vAlign w:val="center"/>
          </w:tcPr>
          <w:p w:rsidR="00221927" w:rsidRPr="00104F4B" w:rsidRDefault="00221927" w:rsidP="0039410F">
            <w:pPr>
              <w:spacing w:line="276" w:lineRule="auto"/>
              <w:rPr>
                <w:rFonts w:cs="Arial"/>
                <w:color w:val="000000"/>
                <w:sz w:val="16"/>
                <w:szCs w:val="16"/>
                <w:lang w:val="es-CO" w:eastAsia="es-CO"/>
              </w:rPr>
            </w:pPr>
            <w:r w:rsidRPr="00104F4B">
              <w:rPr>
                <w:rFonts w:cs="Arial"/>
                <w:color w:val="000000"/>
                <w:sz w:val="16"/>
                <w:szCs w:val="16"/>
                <w:lang w:val="es-CO" w:eastAsia="es-CO"/>
              </w:rPr>
              <w:t>Ampliación viabilidad predial Av. San Antonio desde la Av. Boyacá (AK 72) hasta la Av. Paseo de Los Libertadores (Autopista Norte)</w:t>
            </w:r>
          </w:p>
        </w:tc>
        <w:tc>
          <w:tcPr>
            <w:tcW w:w="3544" w:type="dxa"/>
            <w:vAlign w:val="center"/>
          </w:tcPr>
          <w:p w:rsidR="00221927" w:rsidRPr="00104F4B" w:rsidRDefault="00221927" w:rsidP="0039410F">
            <w:pPr>
              <w:spacing w:line="276" w:lineRule="auto"/>
              <w:rPr>
                <w:rFonts w:cs="Arial"/>
                <w:color w:val="000000"/>
                <w:sz w:val="16"/>
                <w:szCs w:val="16"/>
                <w:lang w:val="es-CO" w:eastAsia="es-CO"/>
              </w:rPr>
            </w:pPr>
            <w:r w:rsidRPr="00104F4B">
              <w:rPr>
                <w:rFonts w:cs="Arial"/>
                <w:color w:val="000000"/>
                <w:sz w:val="16"/>
                <w:szCs w:val="16"/>
                <w:lang w:val="es-CO" w:eastAsia="es-CO"/>
              </w:rPr>
              <w:t>Memorando 20183250331893   Diciembre 31 de 2018</w:t>
            </w:r>
          </w:p>
        </w:tc>
      </w:tr>
    </w:tbl>
    <w:p w:rsidR="00221927" w:rsidRPr="00104F4B" w:rsidRDefault="00221927" w:rsidP="00221927">
      <w:pPr>
        <w:rPr>
          <w:rFonts w:cs="Arial"/>
          <w:sz w:val="16"/>
          <w:szCs w:val="16"/>
        </w:rPr>
      </w:pPr>
      <w:r w:rsidRPr="00104F4B">
        <w:rPr>
          <w:rFonts w:cs="Arial"/>
          <w:sz w:val="16"/>
          <w:szCs w:val="16"/>
        </w:rPr>
        <w:t>Tabla 1. Viabilidades prediales con concepto para inicio de obras en proyectos IDU. Fuente de datos: Seguimiento IDU –  Corte 31-12-2018</w:t>
      </w:r>
    </w:p>
    <w:p w:rsidR="00221927" w:rsidRPr="00104F4B" w:rsidRDefault="00221927" w:rsidP="00221927">
      <w:pPr>
        <w:rPr>
          <w:rFonts w:cs="Arial"/>
          <w:sz w:val="16"/>
          <w:szCs w:val="16"/>
        </w:rPr>
      </w:pPr>
    </w:p>
    <w:p w:rsidR="004524F6" w:rsidRPr="00104F4B" w:rsidRDefault="004524F6" w:rsidP="00DE42C8">
      <w:pPr>
        <w:spacing w:before="0"/>
        <w:contextualSpacing/>
        <w:rPr>
          <w:rFonts w:cs="Arial"/>
          <w:smallCaps/>
          <w:u w:val="single"/>
        </w:rPr>
      </w:pPr>
      <w:r w:rsidRPr="00104F4B">
        <w:rPr>
          <w:rFonts w:cs="Arial"/>
          <w:smallCaps/>
          <w:u w:val="single"/>
        </w:rPr>
        <w:t xml:space="preserve">Predios remanentes </w:t>
      </w:r>
    </w:p>
    <w:p w:rsidR="00DE42C8" w:rsidRPr="00104F4B" w:rsidRDefault="00DE42C8" w:rsidP="00DE42C8">
      <w:pPr>
        <w:spacing w:before="0"/>
        <w:contextualSpacing/>
        <w:rPr>
          <w:rFonts w:cs="Arial"/>
          <w:smallCaps/>
          <w:u w:val="single"/>
        </w:rPr>
      </w:pPr>
    </w:p>
    <w:p w:rsidR="004524F6" w:rsidRPr="00104F4B" w:rsidRDefault="004524F6" w:rsidP="00DE42C8">
      <w:pPr>
        <w:pStyle w:val="Contenidodelatabla"/>
        <w:jc w:val="both"/>
        <w:rPr>
          <w:rFonts w:ascii="Arial" w:hAnsi="Arial" w:cs="Arial"/>
          <w:sz w:val="22"/>
          <w:szCs w:val="22"/>
        </w:rPr>
      </w:pPr>
      <w:r w:rsidRPr="00104F4B">
        <w:rPr>
          <w:rFonts w:ascii="Arial" w:hAnsi="Arial" w:cs="Arial"/>
          <w:sz w:val="22"/>
          <w:szCs w:val="22"/>
        </w:rPr>
        <w:t xml:space="preserve">Al corte del 31 de diciembre del 2018 registra doscientos doce (212) predios remanentes derivados de la ejecución de los proyectos IDU (97) y TRANSMILENIO (115), los cuales se encuentran en administración de la Dirección Técnica de Predios y cuyo estado en la cuenta 15100 se presenta así: </w:t>
      </w:r>
    </w:p>
    <w:p w:rsidR="00762102" w:rsidRPr="00104F4B" w:rsidRDefault="00762102" w:rsidP="00DE42C8">
      <w:pPr>
        <w:pStyle w:val="Contenidodelatabla"/>
        <w:jc w:val="both"/>
        <w:rPr>
          <w:rFonts w:ascii="Arial" w:hAnsi="Arial" w:cs="Arial"/>
          <w:sz w:val="22"/>
          <w:szCs w:val="22"/>
        </w:rPr>
      </w:pPr>
    </w:p>
    <w:p w:rsidR="004524F6" w:rsidRPr="00104F4B" w:rsidRDefault="004524F6" w:rsidP="00762102">
      <w:pPr>
        <w:pStyle w:val="Contenidodelatabla"/>
        <w:jc w:val="center"/>
        <w:rPr>
          <w:rFonts w:ascii="Arial" w:hAnsi="Arial" w:cs="Arial"/>
        </w:rPr>
      </w:pPr>
      <w:r w:rsidRPr="00104F4B">
        <w:rPr>
          <w:rFonts w:ascii="Arial" w:hAnsi="Arial" w:cs="Arial"/>
          <w:noProof/>
          <w:lang w:eastAsia="es-CO" w:bidi="ar-SA"/>
        </w:rPr>
        <w:lastRenderedPageBreak/>
        <w:drawing>
          <wp:inline distT="0" distB="0" distL="0" distR="0" wp14:anchorId="4A20656E" wp14:editId="57DFFEB5">
            <wp:extent cx="5639091" cy="2178658"/>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763826" cy="2226849"/>
                    </a:xfrm>
                    <a:prstGeom prst="rect">
                      <a:avLst/>
                    </a:prstGeom>
                    <a:noFill/>
                  </pic:spPr>
                </pic:pic>
              </a:graphicData>
            </a:graphic>
          </wp:inline>
        </w:drawing>
      </w:r>
    </w:p>
    <w:p w:rsidR="004524F6" w:rsidRPr="00104F4B" w:rsidRDefault="004524F6" w:rsidP="00762102">
      <w:pPr>
        <w:pStyle w:val="Contenidodelatabla"/>
        <w:rPr>
          <w:rFonts w:ascii="Arial" w:hAnsi="Arial" w:cs="Arial"/>
        </w:rPr>
      </w:pPr>
    </w:p>
    <w:p w:rsidR="004524F6" w:rsidRPr="00104F4B" w:rsidRDefault="004524F6" w:rsidP="004524F6">
      <w:pPr>
        <w:rPr>
          <w:rFonts w:cs="Arial"/>
          <w:sz w:val="16"/>
          <w:szCs w:val="16"/>
        </w:rPr>
      </w:pPr>
      <w:r w:rsidRPr="00104F4B">
        <w:rPr>
          <w:rFonts w:cs="Arial"/>
          <w:sz w:val="16"/>
          <w:szCs w:val="16"/>
        </w:rPr>
        <w:t>Gráfico 2. Seguimiento Predios Remanentes – Fuente: Base contable rubro IDU y rubro TRANSMILENIO</w:t>
      </w:r>
    </w:p>
    <w:p w:rsidR="004524F6" w:rsidRPr="00104F4B" w:rsidRDefault="004524F6" w:rsidP="004524F6">
      <w:pPr>
        <w:rPr>
          <w:rFonts w:cs="Arial"/>
          <w:sz w:val="16"/>
          <w:szCs w:val="16"/>
        </w:rPr>
      </w:pPr>
      <w:r w:rsidRPr="00104F4B">
        <w:rPr>
          <w:rFonts w:cs="Arial"/>
          <w:sz w:val="16"/>
          <w:szCs w:val="16"/>
        </w:rPr>
        <w:t>31/12/2018</w:t>
      </w:r>
    </w:p>
    <w:p w:rsidR="00DE42C8" w:rsidRPr="00104F4B" w:rsidRDefault="00DE42C8" w:rsidP="00DE42C8">
      <w:pPr>
        <w:spacing w:before="0"/>
        <w:contextualSpacing/>
        <w:rPr>
          <w:rFonts w:cs="Arial"/>
          <w:smallCaps/>
          <w:color w:val="222222"/>
          <w:u w:val="single"/>
          <w:shd w:val="clear" w:color="auto" w:fill="FFFFFF"/>
        </w:rPr>
      </w:pPr>
    </w:p>
    <w:p w:rsidR="00DE42C8" w:rsidRPr="00104F4B" w:rsidRDefault="004524F6" w:rsidP="00DE42C8">
      <w:pPr>
        <w:spacing w:before="0"/>
        <w:contextualSpacing/>
        <w:rPr>
          <w:rFonts w:cs="Arial"/>
          <w:smallCaps/>
          <w:color w:val="222222"/>
          <w:u w:val="single"/>
          <w:shd w:val="clear" w:color="auto" w:fill="FFFFFF"/>
        </w:rPr>
      </w:pPr>
      <w:r w:rsidRPr="00104F4B">
        <w:rPr>
          <w:rFonts w:cs="Arial"/>
          <w:smallCaps/>
          <w:color w:val="222222"/>
          <w:u w:val="single"/>
          <w:shd w:val="clear" w:color="auto" w:fill="FFFFFF"/>
        </w:rPr>
        <w:t>Gestión de convenios con Empresas de Servicios Públicos – ESP</w:t>
      </w:r>
    </w:p>
    <w:p w:rsidR="00DE42C8" w:rsidRPr="00104F4B" w:rsidRDefault="00DE42C8" w:rsidP="00DE42C8">
      <w:pPr>
        <w:spacing w:before="0"/>
        <w:contextualSpacing/>
        <w:rPr>
          <w:rFonts w:cs="Arial"/>
          <w:lang w:val="es-CO"/>
        </w:rPr>
      </w:pPr>
    </w:p>
    <w:p w:rsidR="004524F6" w:rsidRPr="00104F4B" w:rsidRDefault="004524F6" w:rsidP="00DE42C8">
      <w:pPr>
        <w:spacing w:before="0"/>
        <w:contextualSpacing/>
        <w:rPr>
          <w:rFonts w:cs="Arial"/>
        </w:rPr>
      </w:pPr>
      <w:r w:rsidRPr="00104F4B">
        <w:rPr>
          <w:rFonts w:cs="Arial"/>
        </w:rPr>
        <w:t xml:space="preserve">La gestión sobre este componente durante la vigencia se orientó a los siguientes aspectos: </w:t>
      </w:r>
    </w:p>
    <w:p w:rsidR="00DE42C8" w:rsidRPr="00104F4B" w:rsidRDefault="00DE42C8" w:rsidP="00DE42C8">
      <w:pPr>
        <w:spacing w:before="0"/>
        <w:contextualSpacing/>
        <w:rPr>
          <w:rFonts w:cs="Arial"/>
          <w:smallCaps/>
          <w:color w:val="222222"/>
          <w:u w:val="single"/>
          <w:shd w:val="clear" w:color="auto" w:fill="FFFFFF"/>
        </w:rPr>
      </w:pPr>
    </w:p>
    <w:p w:rsidR="00DE42C8" w:rsidRPr="00104F4B" w:rsidRDefault="004524F6" w:rsidP="002625A5">
      <w:pPr>
        <w:pStyle w:val="Contenidodelatabla"/>
        <w:numPr>
          <w:ilvl w:val="0"/>
          <w:numId w:val="63"/>
        </w:numPr>
        <w:jc w:val="both"/>
        <w:rPr>
          <w:rFonts w:ascii="Arial" w:hAnsi="Arial" w:cs="Arial"/>
          <w:sz w:val="22"/>
          <w:szCs w:val="22"/>
        </w:rPr>
      </w:pPr>
      <w:r w:rsidRPr="00104F4B">
        <w:rPr>
          <w:rFonts w:ascii="Arial" w:hAnsi="Arial" w:cs="Arial"/>
          <w:sz w:val="22"/>
          <w:szCs w:val="22"/>
        </w:rPr>
        <w:t>Definición de procedimientos de reporte y programación de inspecciones con el fin de dar cumplimiento a los procesos de retiro de medidores y corte definitivo del servicio de los inmuebles. Lo anterior aplicable para los Convenios Marco de Cooperación vigentes: 849 de 2016 – Codensa S.A. ESP. y 853 de 2016 - Gas Natural S.A.     </w:t>
      </w:r>
    </w:p>
    <w:p w:rsidR="004524F6" w:rsidRPr="00104F4B" w:rsidRDefault="004524F6" w:rsidP="002625A5">
      <w:pPr>
        <w:pStyle w:val="Contenidodelatabla"/>
        <w:numPr>
          <w:ilvl w:val="0"/>
          <w:numId w:val="63"/>
        </w:numPr>
        <w:jc w:val="both"/>
        <w:rPr>
          <w:rFonts w:ascii="Arial" w:hAnsi="Arial" w:cs="Arial"/>
          <w:sz w:val="22"/>
          <w:szCs w:val="22"/>
        </w:rPr>
      </w:pPr>
      <w:r w:rsidRPr="00104F4B">
        <w:rPr>
          <w:rFonts w:ascii="Arial" w:hAnsi="Arial" w:cs="Arial"/>
          <w:sz w:val="22"/>
          <w:szCs w:val="22"/>
        </w:rPr>
        <w:t>Actualización de la herramienta Drive de Servicios Públicos y solicitud a las ESP de aproximadamente 700 cuentas con el fin de conciliar deudas pendientes, acuerdos de pago, seguros contratados y defraudación de fluidos.</w:t>
      </w:r>
    </w:p>
    <w:p w:rsidR="004524F6" w:rsidRPr="00104F4B" w:rsidRDefault="004524F6" w:rsidP="002625A5">
      <w:pPr>
        <w:pStyle w:val="Contenidodelatabla"/>
        <w:numPr>
          <w:ilvl w:val="0"/>
          <w:numId w:val="63"/>
        </w:numPr>
        <w:jc w:val="both"/>
        <w:rPr>
          <w:rFonts w:ascii="Arial" w:hAnsi="Arial" w:cs="Arial"/>
          <w:sz w:val="22"/>
          <w:szCs w:val="22"/>
        </w:rPr>
      </w:pPr>
      <w:r w:rsidRPr="00104F4B">
        <w:rPr>
          <w:rFonts w:ascii="Arial" w:hAnsi="Arial" w:cs="Arial"/>
          <w:sz w:val="22"/>
          <w:szCs w:val="22"/>
        </w:rPr>
        <w:t xml:space="preserve">Pago de 294 taponamientos a la Empresa Gas Natural S.A. ESP, conforme a lo establecido en las Resoluciones 1979 del 17/05/2018, 2645 del 22/06/2018, 3444 del 31/07/2018 y 5618 del 28/11/2018. </w:t>
      </w:r>
    </w:p>
    <w:p w:rsidR="004524F6" w:rsidRPr="00104F4B" w:rsidRDefault="004524F6" w:rsidP="002625A5">
      <w:pPr>
        <w:pStyle w:val="Contenidodelatabla"/>
        <w:numPr>
          <w:ilvl w:val="0"/>
          <w:numId w:val="63"/>
        </w:numPr>
        <w:jc w:val="both"/>
        <w:rPr>
          <w:rFonts w:ascii="Arial" w:hAnsi="Arial" w:cs="Arial"/>
          <w:sz w:val="22"/>
          <w:szCs w:val="22"/>
        </w:rPr>
      </w:pPr>
      <w:r w:rsidRPr="00104F4B">
        <w:rPr>
          <w:rFonts w:ascii="Arial" w:hAnsi="Arial" w:cs="Arial"/>
          <w:sz w:val="22"/>
          <w:szCs w:val="22"/>
        </w:rPr>
        <w:t xml:space="preserve">Pago de sesenta y ocho (68) taponamientos a la Empresa CODENSA S.A. ESP., conforme a lo establecido en la Resolución 002794 del 28 de junio de 2018. </w:t>
      </w:r>
    </w:p>
    <w:p w:rsidR="004524F6" w:rsidRPr="00104F4B" w:rsidRDefault="004524F6" w:rsidP="002625A5">
      <w:pPr>
        <w:pStyle w:val="Contenidodelatabla"/>
        <w:numPr>
          <w:ilvl w:val="0"/>
          <w:numId w:val="63"/>
        </w:numPr>
        <w:jc w:val="both"/>
        <w:rPr>
          <w:rFonts w:ascii="Arial" w:hAnsi="Arial" w:cs="Arial"/>
          <w:sz w:val="22"/>
          <w:szCs w:val="22"/>
        </w:rPr>
      </w:pPr>
      <w:r w:rsidRPr="00104F4B">
        <w:rPr>
          <w:rFonts w:ascii="Arial" w:hAnsi="Arial" w:cs="Arial"/>
          <w:sz w:val="22"/>
          <w:szCs w:val="22"/>
        </w:rPr>
        <w:t xml:space="preserve">Se realizaron y remitieron las observaciones a la minuta del Convenio Interadministrativo entre el Instituto de Desarrollo Urbano- IDU y la Empresa de Acueducto y Alcantarillado de Bogotá ESP- EAAB ESP. La DTDP se encuentra pendiente de las validaciones de la EAAB ESP. </w:t>
      </w:r>
    </w:p>
    <w:p w:rsidR="004524F6" w:rsidRPr="00104F4B" w:rsidRDefault="004524F6" w:rsidP="002625A5">
      <w:pPr>
        <w:pStyle w:val="Contenidodelatabla"/>
        <w:numPr>
          <w:ilvl w:val="0"/>
          <w:numId w:val="63"/>
        </w:numPr>
        <w:jc w:val="both"/>
        <w:rPr>
          <w:rFonts w:ascii="Arial" w:hAnsi="Arial" w:cs="Arial"/>
          <w:sz w:val="22"/>
          <w:szCs w:val="22"/>
        </w:rPr>
      </w:pPr>
      <w:r w:rsidRPr="00104F4B">
        <w:rPr>
          <w:rFonts w:ascii="Arial" w:hAnsi="Arial" w:cs="Arial"/>
          <w:sz w:val="22"/>
          <w:szCs w:val="22"/>
        </w:rPr>
        <w:t xml:space="preserve">Para efectos de la optimización de los procesos con las ESP, la DTDP gestionó igualmente entre otros temas: </w:t>
      </w:r>
    </w:p>
    <w:p w:rsidR="004524F6" w:rsidRPr="00104F4B" w:rsidRDefault="004524F6" w:rsidP="002625A5">
      <w:pPr>
        <w:pStyle w:val="Contenidodelatabla"/>
        <w:numPr>
          <w:ilvl w:val="0"/>
          <w:numId w:val="63"/>
        </w:numPr>
        <w:jc w:val="both"/>
        <w:rPr>
          <w:rFonts w:ascii="Arial" w:hAnsi="Arial" w:cs="Arial"/>
          <w:sz w:val="22"/>
          <w:szCs w:val="22"/>
        </w:rPr>
      </w:pPr>
      <w:r w:rsidRPr="00104F4B">
        <w:rPr>
          <w:rFonts w:ascii="Arial" w:hAnsi="Arial" w:cs="Arial"/>
          <w:sz w:val="22"/>
          <w:szCs w:val="22"/>
        </w:rPr>
        <w:t>División de facturación de consumo y taponamiento para efectos de tramitar los pagos del servicio de taponamiento, lo anterior para los casos de los inmuebles recibidos.</w:t>
      </w:r>
    </w:p>
    <w:p w:rsidR="004524F6" w:rsidRPr="00104F4B" w:rsidRDefault="004524F6" w:rsidP="002625A5">
      <w:pPr>
        <w:pStyle w:val="Contenidodelatabla"/>
        <w:numPr>
          <w:ilvl w:val="0"/>
          <w:numId w:val="63"/>
        </w:numPr>
        <w:jc w:val="both"/>
        <w:rPr>
          <w:rFonts w:ascii="Arial" w:hAnsi="Arial" w:cs="Arial"/>
          <w:sz w:val="22"/>
          <w:szCs w:val="22"/>
        </w:rPr>
      </w:pPr>
      <w:r w:rsidRPr="00104F4B">
        <w:rPr>
          <w:rFonts w:ascii="Arial" w:hAnsi="Arial" w:cs="Arial"/>
          <w:sz w:val="22"/>
          <w:szCs w:val="22"/>
        </w:rPr>
        <w:t xml:space="preserve">Designación de una cuadrilla exclusiva de servicio por parte de GAS NATURAL para atender los procesos de taponamiento del IDU. </w:t>
      </w:r>
    </w:p>
    <w:p w:rsidR="004524F6" w:rsidRPr="00104F4B" w:rsidRDefault="004524F6" w:rsidP="002625A5">
      <w:pPr>
        <w:pStyle w:val="Contenidodelatabla"/>
        <w:numPr>
          <w:ilvl w:val="0"/>
          <w:numId w:val="63"/>
        </w:numPr>
        <w:jc w:val="both"/>
        <w:rPr>
          <w:rFonts w:ascii="Arial" w:hAnsi="Arial" w:cs="Arial"/>
          <w:sz w:val="22"/>
          <w:szCs w:val="22"/>
        </w:rPr>
      </w:pPr>
      <w:r w:rsidRPr="00104F4B">
        <w:rPr>
          <w:rFonts w:ascii="Arial" w:hAnsi="Arial" w:cs="Arial"/>
          <w:sz w:val="22"/>
          <w:szCs w:val="22"/>
        </w:rPr>
        <w:t>Aprobación de esquema operativo para la programación de inspecciones de taponamiento para la fecha requerida por parte de CODENSA S.A.</w:t>
      </w:r>
    </w:p>
    <w:p w:rsidR="00DE42C8" w:rsidRPr="00104F4B" w:rsidRDefault="00DE42C8" w:rsidP="00DE42C8">
      <w:pPr>
        <w:pStyle w:val="Text1"/>
        <w:keepLines w:val="0"/>
        <w:spacing w:after="120" w:line="240" w:lineRule="atLeast"/>
        <w:contextualSpacing/>
        <w:rPr>
          <w:rFonts w:eastAsia="SimSun" w:cs="Arial"/>
          <w:b/>
          <w:sz w:val="22"/>
          <w:szCs w:val="22"/>
          <w:lang w:val="es-CO" w:eastAsia="zh-CN" w:bidi="hi-IN"/>
        </w:rPr>
      </w:pPr>
    </w:p>
    <w:p w:rsidR="004524F6" w:rsidRPr="00104F4B" w:rsidRDefault="004524F6" w:rsidP="00DE42C8">
      <w:pPr>
        <w:pStyle w:val="Text1"/>
        <w:keepLines w:val="0"/>
        <w:spacing w:after="120" w:line="240" w:lineRule="atLeast"/>
        <w:contextualSpacing/>
        <w:rPr>
          <w:rFonts w:eastAsia="SimSun" w:cs="Arial"/>
          <w:b/>
          <w:sz w:val="22"/>
          <w:szCs w:val="22"/>
          <w:lang w:val="es-CO" w:eastAsia="zh-CN" w:bidi="hi-IN"/>
        </w:rPr>
      </w:pPr>
      <w:r w:rsidRPr="00104F4B">
        <w:rPr>
          <w:rFonts w:eastAsia="SimSun" w:cs="Arial"/>
          <w:b/>
          <w:sz w:val="22"/>
          <w:szCs w:val="22"/>
          <w:lang w:val="es-CO" w:eastAsia="zh-CN" w:bidi="hi-IN"/>
        </w:rPr>
        <w:t>Innovación y gestión del conocimiento</w:t>
      </w:r>
    </w:p>
    <w:p w:rsidR="004524F6" w:rsidRPr="00104F4B" w:rsidRDefault="004524F6" w:rsidP="004524F6">
      <w:pPr>
        <w:pStyle w:val="NormalWeb"/>
        <w:shd w:val="clear" w:color="auto" w:fill="FFFFFF"/>
        <w:spacing w:before="0" w:beforeAutospacing="0" w:after="0" w:afterAutospacing="0"/>
        <w:contextualSpacing/>
        <w:rPr>
          <w:rFonts w:cs="Arial"/>
          <w:szCs w:val="22"/>
        </w:rPr>
      </w:pPr>
      <w:r w:rsidRPr="00104F4B">
        <w:rPr>
          <w:rFonts w:cs="Arial"/>
          <w:szCs w:val="22"/>
        </w:rPr>
        <w:lastRenderedPageBreak/>
        <w:t xml:space="preserve">La Dirección Técnica Estratégica está conformada por cuatro (4) componentes funcionales (Innovación, </w:t>
      </w:r>
      <w:r w:rsidR="00831914" w:rsidRPr="00104F4B">
        <w:rPr>
          <w:rFonts w:cs="Arial"/>
          <w:szCs w:val="22"/>
        </w:rPr>
        <w:t>Geomática</w:t>
      </w:r>
      <w:r w:rsidRPr="00104F4B">
        <w:rPr>
          <w:rFonts w:cs="Arial"/>
          <w:szCs w:val="22"/>
        </w:rPr>
        <w:t>, Económico-Precios de referencia y Directorio de Proveedores-Ambiental).  A continuación, se describen actividades estratégicas adelantadas para el mejoramiento de la gestión:</w:t>
      </w:r>
    </w:p>
    <w:p w:rsidR="00DE42C8" w:rsidRPr="00104F4B" w:rsidRDefault="00DE42C8" w:rsidP="00DE42C8">
      <w:pPr>
        <w:pStyle w:val="Text1"/>
        <w:keepLines w:val="0"/>
        <w:spacing w:after="120" w:line="240" w:lineRule="atLeast"/>
        <w:contextualSpacing/>
        <w:rPr>
          <w:rFonts w:eastAsia="SimSun" w:cs="Arial"/>
          <w:b/>
          <w:sz w:val="22"/>
          <w:szCs w:val="22"/>
          <w:lang w:val="es-CO" w:eastAsia="zh-CN" w:bidi="hi-IN"/>
        </w:rPr>
      </w:pPr>
    </w:p>
    <w:p w:rsidR="004524F6" w:rsidRPr="00104F4B" w:rsidRDefault="004524F6" w:rsidP="00DE42C8">
      <w:pPr>
        <w:pStyle w:val="Text1"/>
        <w:keepLines w:val="0"/>
        <w:spacing w:after="120" w:line="240" w:lineRule="atLeast"/>
        <w:contextualSpacing/>
        <w:rPr>
          <w:rFonts w:eastAsia="SimSun" w:cs="Arial"/>
          <w:b/>
          <w:sz w:val="22"/>
          <w:szCs w:val="22"/>
          <w:lang w:val="es-CO" w:eastAsia="zh-CN" w:bidi="hi-IN"/>
        </w:rPr>
      </w:pPr>
      <w:r w:rsidRPr="00104F4B">
        <w:rPr>
          <w:rFonts w:eastAsia="SimSun" w:cs="Arial"/>
          <w:b/>
          <w:sz w:val="22"/>
          <w:szCs w:val="22"/>
          <w:lang w:val="es-CO" w:eastAsia="zh-CN" w:bidi="hi-IN"/>
        </w:rPr>
        <w:t>Componente de Innovación:</w:t>
      </w:r>
    </w:p>
    <w:p w:rsidR="00DE42C8" w:rsidRPr="00104F4B" w:rsidRDefault="00DE42C8" w:rsidP="00DE42C8">
      <w:pPr>
        <w:pStyle w:val="Text1"/>
        <w:keepLines w:val="0"/>
        <w:spacing w:after="120" w:line="240" w:lineRule="auto"/>
        <w:ind w:left="360"/>
        <w:contextualSpacing/>
        <w:rPr>
          <w:rFonts w:eastAsiaTheme="minorHAnsi" w:cs="Arial"/>
          <w:sz w:val="22"/>
          <w:szCs w:val="22"/>
        </w:rPr>
      </w:pPr>
    </w:p>
    <w:p w:rsidR="004524F6" w:rsidRPr="00104F4B" w:rsidRDefault="004524F6" w:rsidP="002625A5">
      <w:pPr>
        <w:pStyle w:val="Text1"/>
        <w:keepLines w:val="0"/>
        <w:numPr>
          <w:ilvl w:val="0"/>
          <w:numId w:val="67"/>
        </w:numPr>
        <w:spacing w:after="120" w:line="240" w:lineRule="auto"/>
        <w:contextualSpacing/>
        <w:rPr>
          <w:rFonts w:eastAsiaTheme="minorHAnsi" w:cs="Arial"/>
          <w:sz w:val="22"/>
          <w:szCs w:val="22"/>
        </w:rPr>
      </w:pPr>
      <w:r w:rsidRPr="00104F4B">
        <w:rPr>
          <w:rFonts w:eastAsiaTheme="minorHAnsi" w:cs="Arial"/>
          <w:sz w:val="22"/>
          <w:szCs w:val="22"/>
        </w:rPr>
        <w:t xml:space="preserve">Estructuración, supervisión y liquidación de los siguientes contratos: </w:t>
      </w:r>
    </w:p>
    <w:p w:rsidR="00831914" w:rsidRPr="00104F4B" w:rsidRDefault="00831914" w:rsidP="00831914">
      <w:pPr>
        <w:pStyle w:val="Text1"/>
        <w:keepLines w:val="0"/>
        <w:spacing w:after="120" w:line="240" w:lineRule="auto"/>
        <w:contextualSpacing/>
        <w:rPr>
          <w:rFonts w:eastAsiaTheme="minorHAnsi" w:cs="Arial"/>
          <w:sz w:val="22"/>
          <w:szCs w:val="22"/>
        </w:rPr>
      </w:pPr>
    </w:p>
    <w:p w:rsidR="004524F6" w:rsidRPr="00104F4B" w:rsidRDefault="004524F6" w:rsidP="004524F6">
      <w:pPr>
        <w:pStyle w:val="Prrafodelista"/>
        <w:ind w:left="360"/>
        <w:contextualSpacing/>
        <w:rPr>
          <w:rFonts w:ascii="Arial" w:eastAsiaTheme="minorHAnsi" w:hAnsi="Arial" w:cs="Arial"/>
          <w:sz w:val="16"/>
          <w:szCs w:val="16"/>
          <w:lang w:eastAsia="en-US"/>
        </w:rPr>
      </w:pPr>
      <w:r w:rsidRPr="00104F4B">
        <w:rPr>
          <w:rFonts w:ascii="Arial" w:eastAsiaTheme="minorHAnsi" w:hAnsi="Arial" w:cs="Arial"/>
          <w:sz w:val="16"/>
          <w:szCs w:val="16"/>
          <w:lang w:eastAsia="en-US"/>
        </w:rPr>
        <w:t>SGDU –LIQUIDACIÓN CONTRATOS DTE</w:t>
      </w:r>
    </w:p>
    <w:tbl>
      <w:tblPr>
        <w:tblW w:w="5357"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23"/>
        <w:gridCol w:w="4080"/>
        <w:gridCol w:w="5268"/>
      </w:tblGrid>
      <w:tr w:rsidR="004524F6" w:rsidRPr="00104F4B" w:rsidTr="00831914">
        <w:trPr>
          <w:trHeight w:val="193"/>
          <w:tblHeader/>
        </w:trPr>
        <w:tc>
          <w:tcPr>
            <w:tcW w:w="493" w:type="pct"/>
            <w:shd w:val="clear" w:color="000000" w:fill="D9D9D9" w:themeFill="background1" w:themeFillShade="D9"/>
            <w:vAlign w:val="center"/>
            <w:hideMark/>
          </w:tcPr>
          <w:p w:rsidR="004524F6" w:rsidRPr="00104F4B" w:rsidRDefault="004524F6" w:rsidP="00FC0A3C">
            <w:pPr>
              <w:rPr>
                <w:rFonts w:cs="Arial"/>
                <w:b/>
                <w:bCs/>
                <w:sz w:val="16"/>
                <w:szCs w:val="16"/>
                <w:lang w:val="es-CO" w:eastAsia="es-CO"/>
              </w:rPr>
            </w:pPr>
            <w:r w:rsidRPr="00104F4B">
              <w:rPr>
                <w:rFonts w:cs="Arial"/>
                <w:b/>
                <w:bCs/>
                <w:sz w:val="16"/>
                <w:szCs w:val="16"/>
                <w:lang w:val="es-CO" w:eastAsia="es-CO"/>
              </w:rPr>
              <w:t xml:space="preserve">No. Contrato </w:t>
            </w:r>
          </w:p>
        </w:tc>
        <w:tc>
          <w:tcPr>
            <w:tcW w:w="1967" w:type="pct"/>
            <w:shd w:val="clear" w:color="000000" w:fill="D9D9D9" w:themeFill="background1" w:themeFillShade="D9"/>
            <w:vAlign w:val="center"/>
            <w:hideMark/>
          </w:tcPr>
          <w:p w:rsidR="004524F6" w:rsidRPr="00104F4B" w:rsidRDefault="004524F6" w:rsidP="00FC0A3C">
            <w:pPr>
              <w:rPr>
                <w:rFonts w:cs="Arial"/>
                <w:b/>
                <w:bCs/>
                <w:sz w:val="16"/>
                <w:szCs w:val="16"/>
                <w:lang w:val="es-CO" w:eastAsia="es-CO"/>
              </w:rPr>
            </w:pPr>
            <w:r w:rsidRPr="00104F4B">
              <w:rPr>
                <w:rFonts w:cs="Arial"/>
                <w:b/>
                <w:bCs/>
                <w:sz w:val="16"/>
                <w:szCs w:val="16"/>
                <w:lang w:val="es-CO" w:eastAsia="es-CO"/>
              </w:rPr>
              <w:t>Objeto</w:t>
            </w:r>
          </w:p>
        </w:tc>
        <w:tc>
          <w:tcPr>
            <w:tcW w:w="2540" w:type="pct"/>
            <w:shd w:val="clear" w:color="000000" w:fill="D9D9D9" w:themeFill="background1" w:themeFillShade="D9"/>
            <w:vAlign w:val="center"/>
            <w:hideMark/>
          </w:tcPr>
          <w:p w:rsidR="004524F6" w:rsidRPr="00104F4B" w:rsidRDefault="004524F6" w:rsidP="00FC0A3C">
            <w:pPr>
              <w:rPr>
                <w:rFonts w:cs="Arial"/>
                <w:b/>
                <w:bCs/>
                <w:sz w:val="16"/>
                <w:szCs w:val="16"/>
                <w:lang w:val="es-CO" w:eastAsia="es-CO"/>
              </w:rPr>
            </w:pPr>
            <w:r w:rsidRPr="00104F4B">
              <w:rPr>
                <w:rFonts w:cs="Arial"/>
                <w:b/>
                <w:bCs/>
                <w:sz w:val="16"/>
                <w:szCs w:val="16"/>
                <w:lang w:val="es-CO" w:eastAsia="es-CO"/>
              </w:rPr>
              <w:t>Observaciones</w:t>
            </w:r>
          </w:p>
        </w:tc>
      </w:tr>
      <w:tr w:rsidR="004524F6" w:rsidRPr="00104F4B" w:rsidTr="00831914">
        <w:trPr>
          <w:trHeight w:val="19"/>
        </w:trPr>
        <w:tc>
          <w:tcPr>
            <w:tcW w:w="493" w:type="pct"/>
            <w:shd w:val="clear" w:color="auto" w:fill="auto"/>
            <w:vAlign w:val="center"/>
            <w:hideMark/>
          </w:tcPr>
          <w:p w:rsidR="004524F6" w:rsidRPr="00104F4B" w:rsidRDefault="004524F6" w:rsidP="00FC0A3C">
            <w:pPr>
              <w:rPr>
                <w:rFonts w:cs="Arial"/>
                <w:sz w:val="16"/>
                <w:szCs w:val="16"/>
                <w:lang w:val="es-CO" w:eastAsia="es-CO"/>
              </w:rPr>
            </w:pPr>
            <w:r w:rsidRPr="00104F4B">
              <w:rPr>
                <w:rFonts w:cs="Arial"/>
                <w:sz w:val="16"/>
                <w:szCs w:val="16"/>
                <w:lang w:eastAsia="es-CO"/>
              </w:rPr>
              <w:t>IDU-791-2017</w:t>
            </w:r>
          </w:p>
        </w:tc>
        <w:tc>
          <w:tcPr>
            <w:tcW w:w="1967" w:type="pct"/>
            <w:shd w:val="clear" w:color="auto" w:fill="auto"/>
            <w:vAlign w:val="center"/>
            <w:hideMark/>
          </w:tcPr>
          <w:p w:rsidR="004524F6" w:rsidRPr="00104F4B" w:rsidRDefault="004524F6" w:rsidP="00FC0A3C">
            <w:pPr>
              <w:rPr>
                <w:rFonts w:cs="Arial"/>
                <w:sz w:val="16"/>
                <w:szCs w:val="16"/>
                <w:lang w:val="es-CO" w:eastAsia="es-CO"/>
              </w:rPr>
            </w:pPr>
            <w:r w:rsidRPr="00104F4B">
              <w:rPr>
                <w:rFonts w:cs="Arial"/>
                <w:sz w:val="16"/>
                <w:szCs w:val="16"/>
                <w:lang w:val="es-CO" w:eastAsia="es-CO"/>
              </w:rPr>
              <w:t>Actualización de las especificaciones técnicas generales IDU ET-2011, a partir de los resultados y análisis de los ensayos de campo y laboratorio.</w:t>
            </w:r>
          </w:p>
        </w:tc>
        <w:tc>
          <w:tcPr>
            <w:tcW w:w="2540" w:type="pct"/>
            <w:shd w:val="clear" w:color="auto" w:fill="auto"/>
            <w:vAlign w:val="center"/>
            <w:hideMark/>
          </w:tcPr>
          <w:p w:rsidR="004524F6" w:rsidRPr="00104F4B" w:rsidRDefault="004524F6" w:rsidP="00FC0A3C">
            <w:pPr>
              <w:rPr>
                <w:rFonts w:cs="Arial"/>
                <w:sz w:val="16"/>
                <w:szCs w:val="16"/>
                <w:lang w:val="es-CO" w:eastAsia="es-CO"/>
              </w:rPr>
            </w:pPr>
            <w:r w:rsidRPr="00104F4B">
              <w:rPr>
                <w:rFonts w:cs="Arial"/>
                <w:sz w:val="16"/>
                <w:szCs w:val="16"/>
                <w:lang w:val="es-CO" w:eastAsia="es-CO"/>
              </w:rPr>
              <w:t>Liquidado mediante acta 20 del 12/12/2018.</w:t>
            </w:r>
          </w:p>
        </w:tc>
      </w:tr>
      <w:tr w:rsidR="004524F6" w:rsidRPr="00104F4B" w:rsidTr="00831914">
        <w:trPr>
          <w:trHeight w:val="19"/>
        </w:trPr>
        <w:tc>
          <w:tcPr>
            <w:tcW w:w="493" w:type="pct"/>
            <w:shd w:val="clear" w:color="auto" w:fill="auto"/>
            <w:vAlign w:val="center"/>
            <w:hideMark/>
          </w:tcPr>
          <w:p w:rsidR="004524F6" w:rsidRPr="00104F4B" w:rsidRDefault="004524F6" w:rsidP="00FC0A3C">
            <w:pPr>
              <w:rPr>
                <w:rFonts w:cs="Arial"/>
                <w:sz w:val="16"/>
                <w:szCs w:val="16"/>
                <w:lang w:val="es-CO" w:eastAsia="es-CO"/>
              </w:rPr>
            </w:pPr>
            <w:r w:rsidRPr="00104F4B">
              <w:rPr>
                <w:rFonts w:cs="Arial"/>
                <w:sz w:val="16"/>
                <w:szCs w:val="16"/>
                <w:lang w:val="es-CO" w:eastAsia="es-CO"/>
              </w:rPr>
              <w:t>IDU-1554-2017</w:t>
            </w:r>
          </w:p>
        </w:tc>
        <w:tc>
          <w:tcPr>
            <w:tcW w:w="1967" w:type="pct"/>
            <w:shd w:val="clear" w:color="auto" w:fill="auto"/>
            <w:vAlign w:val="center"/>
            <w:hideMark/>
          </w:tcPr>
          <w:p w:rsidR="004524F6" w:rsidRPr="00104F4B" w:rsidRDefault="004524F6" w:rsidP="00FC0A3C">
            <w:pPr>
              <w:rPr>
                <w:rFonts w:cs="Arial"/>
                <w:sz w:val="16"/>
                <w:szCs w:val="16"/>
                <w:lang w:val="es-CO" w:eastAsia="es-CO"/>
              </w:rPr>
            </w:pPr>
            <w:r w:rsidRPr="00104F4B">
              <w:rPr>
                <w:rFonts w:cs="Arial"/>
                <w:sz w:val="16"/>
                <w:szCs w:val="16"/>
                <w:lang w:val="es-CO" w:eastAsia="es-CO"/>
              </w:rPr>
              <w:t xml:space="preserve">Levantamiento, procesamiento y análisis de información sobre la condición superficial, funcional y estructural de los pavimentos que conforman la malla vial rural de la ciudad de Bogotá D.C., y el inventario de los elementos complementarios que conforman la sección transversal de estas vías. </w:t>
            </w:r>
          </w:p>
        </w:tc>
        <w:tc>
          <w:tcPr>
            <w:tcW w:w="2540" w:type="pct"/>
            <w:shd w:val="clear" w:color="auto" w:fill="auto"/>
            <w:vAlign w:val="center"/>
            <w:hideMark/>
          </w:tcPr>
          <w:p w:rsidR="004524F6" w:rsidRPr="00104F4B" w:rsidRDefault="004524F6" w:rsidP="00FC0A3C">
            <w:pPr>
              <w:rPr>
                <w:rFonts w:cs="Arial"/>
                <w:sz w:val="16"/>
                <w:szCs w:val="16"/>
                <w:lang w:val="es-CO" w:eastAsia="es-CO"/>
              </w:rPr>
            </w:pPr>
            <w:r w:rsidRPr="00104F4B">
              <w:rPr>
                <w:rFonts w:cs="Arial"/>
                <w:sz w:val="16"/>
                <w:szCs w:val="16"/>
                <w:lang w:eastAsia="es-CO"/>
              </w:rPr>
              <w:t>El contrato finalizó el 24/09/2018 y se formalizó el acta No. 6 de terminación. Actualmente, se encuentra e</w:t>
            </w:r>
            <w:r w:rsidRPr="00104F4B">
              <w:rPr>
                <w:rFonts w:cs="Arial"/>
                <w:sz w:val="16"/>
                <w:szCs w:val="16"/>
                <w:lang w:val="es-CO" w:eastAsia="es-CO"/>
              </w:rPr>
              <w:t>n proceso de recibo final y liquidación para lo cual se está adelantando los trámites relacionados con la cesión de derechos de autor.</w:t>
            </w:r>
          </w:p>
        </w:tc>
      </w:tr>
      <w:tr w:rsidR="004524F6" w:rsidRPr="00104F4B" w:rsidTr="00831914">
        <w:trPr>
          <w:trHeight w:val="19"/>
        </w:trPr>
        <w:tc>
          <w:tcPr>
            <w:tcW w:w="493" w:type="pct"/>
            <w:shd w:val="clear" w:color="auto" w:fill="auto"/>
            <w:vAlign w:val="center"/>
            <w:hideMark/>
          </w:tcPr>
          <w:p w:rsidR="004524F6" w:rsidRPr="00104F4B" w:rsidRDefault="004524F6" w:rsidP="00FC0A3C">
            <w:pPr>
              <w:rPr>
                <w:rFonts w:cs="Arial"/>
                <w:sz w:val="16"/>
                <w:szCs w:val="16"/>
                <w:lang w:val="es-CO" w:eastAsia="es-CO"/>
              </w:rPr>
            </w:pPr>
            <w:r w:rsidRPr="00104F4B">
              <w:rPr>
                <w:rFonts w:cs="Arial"/>
                <w:sz w:val="16"/>
                <w:szCs w:val="16"/>
                <w:lang w:val="es-CO" w:eastAsia="es-CO"/>
              </w:rPr>
              <w:t>IDU-1556-2017</w:t>
            </w:r>
          </w:p>
        </w:tc>
        <w:tc>
          <w:tcPr>
            <w:tcW w:w="1967" w:type="pct"/>
            <w:shd w:val="clear" w:color="auto" w:fill="auto"/>
            <w:vAlign w:val="center"/>
            <w:hideMark/>
          </w:tcPr>
          <w:p w:rsidR="004524F6" w:rsidRPr="00104F4B" w:rsidRDefault="004524F6" w:rsidP="00FC0A3C">
            <w:pPr>
              <w:rPr>
                <w:rFonts w:cs="Arial"/>
                <w:sz w:val="16"/>
                <w:szCs w:val="16"/>
                <w:lang w:val="es-CO" w:eastAsia="es-CO"/>
              </w:rPr>
            </w:pPr>
            <w:r w:rsidRPr="00104F4B">
              <w:rPr>
                <w:rFonts w:cs="Arial"/>
                <w:sz w:val="16"/>
                <w:szCs w:val="16"/>
                <w:lang w:val="es-CO" w:eastAsia="es-CO"/>
              </w:rPr>
              <w:t xml:space="preserve">Actualización, complementación y ajuste del inventario geométrico y estructural, así como la determinación del diagnóstico, evaluación del riesgo sísmico y definición de alternativas de gestión del riesgo, para la infraestructura de puentes de Bogotá D.C. </w:t>
            </w:r>
          </w:p>
        </w:tc>
        <w:tc>
          <w:tcPr>
            <w:tcW w:w="2540" w:type="pct"/>
            <w:shd w:val="clear" w:color="auto" w:fill="auto"/>
            <w:vAlign w:val="center"/>
          </w:tcPr>
          <w:p w:rsidR="004524F6" w:rsidRPr="00104F4B" w:rsidRDefault="004524F6" w:rsidP="00FC0A3C">
            <w:pPr>
              <w:rPr>
                <w:rFonts w:cs="Arial"/>
                <w:sz w:val="16"/>
                <w:szCs w:val="16"/>
                <w:lang w:val="es-CO" w:eastAsia="es-CO"/>
              </w:rPr>
            </w:pPr>
            <w:r w:rsidRPr="00104F4B">
              <w:rPr>
                <w:rFonts w:cs="Arial"/>
                <w:sz w:val="16"/>
                <w:szCs w:val="16"/>
                <w:lang w:val="es-CO" w:eastAsia="es-CO"/>
              </w:rPr>
              <w:t>Se encuentra en ejecución y su avance al 31/12/2018 reportado en ZIPA es del 99%.</w:t>
            </w:r>
          </w:p>
          <w:p w:rsidR="004524F6" w:rsidRPr="00104F4B" w:rsidRDefault="004524F6" w:rsidP="00FC0A3C">
            <w:pPr>
              <w:rPr>
                <w:rFonts w:cs="Arial"/>
                <w:sz w:val="16"/>
                <w:szCs w:val="16"/>
                <w:lang w:val="es-CO" w:eastAsia="es-CO"/>
              </w:rPr>
            </w:pPr>
            <w:r w:rsidRPr="00104F4B">
              <w:rPr>
                <w:rFonts w:cs="Arial"/>
                <w:sz w:val="16"/>
                <w:szCs w:val="16"/>
                <w:lang w:val="es-CO" w:eastAsia="es-CO"/>
              </w:rPr>
              <w:t>Actualmente se encuentra en atención por parte del consultor las observaciones al informe final de la cuarta etapa y en revisión de la supervisión el informe del 100% de la tercera etapa.</w:t>
            </w:r>
          </w:p>
          <w:p w:rsidR="004524F6" w:rsidRPr="00104F4B" w:rsidRDefault="004524F6" w:rsidP="00FC0A3C">
            <w:pPr>
              <w:rPr>
                <w:rFonts w:cs="Arial"/>
                <w:sz w:val="16"/>
                <w:szCs w:val="16"/>
                <w:lang w:val="es-CO" w:eastAsia="es-CO"/>
              </w:rPr>
            </w:pPr>
            <w:r w:rsidRPr="00104F4B">
              <w:rPr>
                <w:rFonts w:cs="Arial"/>
                <w:sz w:val="16"/>
                <w:szCs w:val="16"/>
                <w:lang w:val="es-CO" w:eastAsia="es-CO"/>
              </w:rPr>
              <w:t>El informe final del contrato está programado para su entrega el 17/01/2019, entre tanto la fecha de finalización del contrato está proyectada para el 30/01/2019.</w:t>
            </w:r>
          </w:p>
        </w:tc>
      </w:tr>
      <w:tr w:rsidR="004524F6" w:rsidRPr="00104F4B" w:rsidTr="00831914">
        <w:trPr>
          <w:trHeight w:val="604"/>
        </w:trPr>
        <w:tc>
          <w:tcPr>
            <w:tcW w:w="493" w:type="pct"/>
            <w:shd w:val="clear" w:color="auto" w:fill="auto"/>
            <w:vAlign w:val="center"/>
          </w:tcPr>
          <w:p w:rsidR="004524F6" w:rsidRPr="00104F4B" w:rsidRDefault="004524F6" w:rsidP="00FC0A3C">
            <w:pPr>
              <w:rPr>
                <w:rFonts w:cs="Arial"/>
                <w:sz w:val="16"/>
                <w:szCs w:val="16"/>
                <w:lang w:val="es-CO" w:eastAsia="es-CO"/>
              </w:rPr>
            </w:pPr>
            <w:r w:rsidRPr="00104F4B">
              <w:rPr>
                <w:rFonts w:cs="Arial"/>
                <w:sz w:val="16"/>
                <w:szCs w:val="16"/>
                <w:lang w:val="es-CO" w:eastAsia="es-CO"/>
              </w:rPr>
              <w:t>IDU-1526-2018</w:t>
            </w:r>
          </w:p>
        </w:tc>
        <w:tc>
          <w:tcPr>
            <w:tcW w:w="1967" w:type="pct"/>
            <w:shd w:val="clear" w:color="auto" w:fill="auto"/>
            <w:vAlign w:val="center"/>
          </w:tcPr>
          <w:p w:rsidR="004524F6" w:rsidRPr="00104F4B" w:rsidRDefault="004524F6" w:rsidP="00FC0A3C">
            <w:pPr>
              <w:rPr>
                <w:rFonts w:cs="Arial"/>
                <w:sz w:val="16"/>
                <w:szCs w:val="16"/>
                <w:lang w:val="es-CO" w:eastAsia="es-CO"/>
              </w:rPr>
            </w:pPr>
            <w:r w:rsidRPr="00104F4B">
              <w:rPr>
                <w:rFonts w:cs="Arial"/>
                <w:sz w:val="16"/>
                <w:szCs w:val="16"/>
                <w:lang w:val="es-CO" w:eastAsia="es-CO"/>
              </w:rPr>
              <w:t>Análisis de características y propiedades físicas, químicas, mecánicas y dinámicas, de agregados provenientes de la transformación y aprovechamiento de residuos de construcción y demolición RCD, para la definición de aplicaciones en infraestructura vial y espacio público de Bogotá D.C.</w:t>
            </w:r>
          </w:p>
        </w:tc>
        <w:tc>
          <w:tcPr>
            <w:tcW w:w="2540" w:type="pct"/>
            <w:shd w:val="clear" w:color="auto" w:fill="auto"/>
            <w:vAlign w:val="center"/>
          </w:tcPr>
          <w:p w:rsidR="004524F6" w:rsidRPr="00104F4B" w:rsidRDefault="004524F6" w:rsidP="00FC0A3C">
            <w:pPr>
              <w:rPr>
                <w:rFonts w:cs="Arial"/>
                <w:sz w:val="16"/>
                <w:szCs w:val="16"/>
                <w:lang w:val="es-CO" w:eastAsia="es-CO"/>
              </w:rPr>
            </w:pPr>
            <w:r w:rsidRPr="00104F4B">
              <w:rPr>
                <w:rFonts w:cs="Arial"/>
                <w:sz w:val="16"/>
                <w:szCs w:val="16"/>
                <w:lang w:val="es-CO" w:eastAsia="es-CO"/>
              </w:rPr>
              <w:t>El contrato se suscribió el 21/12/2018 y se encuentra en proceso de perfeccionamiento con la presentación y aprobación de las garantías. Una vez perfeccionado el contrato y atendidas las obligaciones previas para su inicio se suscribirá la correspondiente acta.</w:t>
            </w:r>
          </w:p>
        </w:tc>
      </w:tr>
    </w:tbl>
    <w:p w:rsidR="00DE42C8" w:rsidRPr="00104F4B" w:rsidRDefault="00DE42C8" w:rsidP="00DE42C8">
      <w:pPr>
        <w:shd w:val="clear" w:color="auto" w:fill="FFFFFF"/>
        <w:spacing w:before="0"/>
        <w:ind w:right="142"/>
        <w:contextualSpacing/>
        <w:outlineLvl w:val="0"/>
        <w:rPr>
          <w:rFonts w:cs="Arial"/>
        </w:rPr>
      </w:pPr>
    </w:p>
    <w:p w:rsidR="004524F6" w:rsidRPr="00104F4B" w:rsidRDefault="004524F6" w:rsidP="002625A5">
      <w:pPr>
        <w:pStyle w:val="Contenidodelatabla"/>
        <w:numPr>
          <w:ilvl w:val="0"/>
          <w:numId w:val="64"/>
        </w:numPr>
        <w:jc w:val="both"/>
        <w:rPr>
          <w:rFonts w:ascii="Arial" w:hAnsi="Arial" w:cs="Arial"/>
          <w:sz w:val="22"/>
          <w:szCs w:val="22"/>
        </w:rPr>
      </w:pPr>
      <w:r w:rsidRPr="00104F4B">
        <w:rPr>
          <w:rFonts w:ascii="Arial" w:hAnsi="Arial" w:cs="Arial"/>
          <w:sz w:val="22"/>
          <w:szCs w:val="22"/>
        </w:rPr>
        <w:t>Atención a las propuestas radicadas en el IDU por parte de proponentes de nuevas alternativas de productos, técnicas y tecnologías para los procesos de obra, en el marco de los requerimientos del instructivo IDU-IN-IC-019. Así mismo seguimiento a tramos testigos y prueba construidos por el IDU con la aplicación de alternativas nuevas y convencionales.</w:t>
      </w:r>
    </w:p>
    <w:p w:rsidR="004524F6" w:rsidRPr="00104F4B" w:rsidRDefault="004524F6" w:rsidP="002625A5">
      <w:pPr>
        <w:pStyle w:val="Contenidodelatabla"/>
        <w:numPr>
          <w:ilvl w:val="0"/>
          <w:numId w:val="64"/>
        </w:numPr>
        <w:jc w:val="both"/>
        <w:rPr>
          <w:rFonts w:ascii="Arial" w:hAnsi="Arial" w:cs="Arial"/>
          <w:sz w:val="22"/>
          <w:szCs w:val="22"/>
        </w:rPr>
      </w:pPr>
      <w:r w:rsidRPr="00104F4B">
        <w:rPr>
          <w:rFonts w:ascii="Arial" w:hAnsi="Arial" w:cs="Arial"/>
          <w:sz w:val="22"/>
          <w:szCs w:val="22"/>
        </w:rPr>
        <w:t>Articulación de las especificaciones técnicas generales IDU-ET con la Base de datos de Precios Unitarios de Referencia, para actualización del listado de materiales y ensayos que disponible la canasta de insumos de la base. Además, apoyo en el proceso de acopio, recolección, validación y consistencia de los precios de la canasta para los insumos de ensayos.</w:t>
      </w:r>
    </w:p>
    <w:p w:rsidR="004524F6" w:rsidRPr="00104F4B" w:rsidRDefault="004524F6" w:rsidP="002625A5">
      <w:pPr>
        <w:pStyle w:val="Contenidodelatabla"/>
        <w:numPr>
          <w:ilvl w:val="0"/>
          <w:numId w:val="64"/>
        </w:numPr>
        <w:jc w:val="both"/>
        <w:rPr>
          <w:rFonts w:ascii="Arial" w:hAnsi="Arial" w:cs="Arial"/>
          <w:sz w:val="22"/>
          <w:szCs w:val="22"/>
        </w:rPr>
      </w:pPr>
      <w:r w:rsidRPr="00104F4B">
        <w:rPr>
          <w:rFonts w:ascii="Arial" w:hAnsi="Arial" w:cs="Arial"/>
          <w:sz w:val="22"/>
          <w:szCs w:val="22"/>
        </w:rPr>
        <w:t>Consolidación de especificaciones técnicas particulares generadas en los proyectos a cargo del IDU.</w:t>
      </w:r>
    </w:p>
    <w:p w:rsidR="004524F6" w:rsidRPr="00104F4B" w:rsidRDefault="004524F6" w:rsidP="002625A5">
      <w:pPr>
        <w:pStyle w:val="Contenidodelatabla"/>
        <w:numPr>
          <w:ilvl w:val="0"/>
          <w:numId w:val="64"/>
        </w:numPr>
        <w:jc w:val="both"/>
        <w:rPr>
          <w:rFonts w:ascii="Arial" w:hAnsi="Arial" w:cs="Arial"/>
          <w:sz w:val="22"/>
          <w:szCs w:val="22"/>
        </w:rPr>
      </w:pPr>
      <w:r w:rsidRPr="00104F4B">
        <w:rPr>
          <w:rFonts w:ascii="Arial" w:hAnsi="Arial" w:cs="Arial"/>
          <w:sz w:val="22"/>
          <w:szCs w:val="22"/>
        </w:rPr>
        <w:t>Se realizaron socializaciones producto del protocolo de nuevas tecnologías, y de la ejecución de las consultorías supervisadas por la DTE.</w:t>
      </w:r>
    </w:p>
    <w:p w:rsidR="004524F6" w:rsidRPr="00104F4B" w:rsidRDefault="004524F6" w:rsidP="004524F6">
      <w:pPr>
        <w:pStyle w:val="Text1"/>
        <w:keepLines w:val="0"/>
        <w:spacing w:line="240" w:lineRule="auto"/>
        <w:contextualSpacing/>
        <w:rPr>
          <w:rFonts w:cs="Arial"/>
          <w:b/>
          <w:smallCaps/>
          <w:sz w:val="22"/>
          <w:szCs w:val="22"/>
        </w:rPr>
      </w:pPr>
    </w:p>
    <w:p w:rsidR="004524F6" w:rsidRPr="00104F4B" w:rsidRDefault="004524F6" w:rsidP="00DE42C8">
      <w:pPr>
        <w:pStyle w:val="Text1"/>
        <w:keepLines w:val="0"/>
        <w:spacing w:after="120" w:line="240" w:lineRule="atLeast"/>
        <w:contextualSpacing/>
        <w:rPr>
          <w:rFonts w:eastAsia="SimSun" w:cs="Arial"/>
          <w:b/>
          <w:sz w:val="22"/>
          <w:szCs w:val="22"/>
          <w:lang w:val="es-CO" w:eastAsia="zh-CN" w:bidi="hi-IN"/>
        </w:rPr>
      </w:pPr>
      <w:r w:rsidRPr="00104F4B">
        <w:rPr>
          <w:rFonts w:eastAsia="SimSun" w:cs="Arial"/>
          <w:b/>
          <w:sz w:val="22"/>
          <w:szCs w:val="22"/>
          <w:lang w:val="es-CO" w:eastAsia="zh-CN" w:bidi="hi-IN"/>
        </w:rPr>
        <w:t>Componente Económico – Precios de Referencia:</w:t>
      </w:r>
    </w:p>
    <w:p w:rsidR="004524F6" w:rsidRPr="00104F4B" w:rsidRDefault="004524F6" w:rsidP="004524F6">
      <w:pPr>
        <w:pStyle w:val="Text1"/>
        <w:keepLines w:val="0"/>
        <w:spacing w:after="120" w:line="240" w:lineRule="auto"/>
        <w:contextualSpacing/>
        <w:rPr>
          <w:rFonts w:cs="Arial"/>
          <w:b/>
          <w:smallCaps/>
          <w:sz w:val="22"/>
          <w:szCs w:val="22"/>
        </w:rPr>
      </w:pPr>
    </w:p>
    <w:p w:rsidR="004524F6" w:rsidRPr="00104F4B" w:rsidRDefault="004524F6" w:rsidP="002625A5">
      <w:pPr>
        <w:pStyle w:val="Text1"/>
        <w:keepLines w:val="0"/>
        <w:numPr>
          <w:ilvl w:val="0"/>
          <w:numId w:val="65"/>
        </w:numPr>
        <w:spacing w:line="240" w:lineRule="auto"/>
        <w:contextualSpacing/>
        <w:rPr>
          <w:rFonts w:cs="Arial"/>
          <w:b/>
          <w:sz w:val="22"/>
          <w:szCs w:val="22"/>
        </w:rPr>
      </w:pPr>
      <w:r w:rsidRPr="00104F4B">
        <w:rPr>
          <w:rFonts w:cs="Arial"/>
          <w:sz w:val="22"/>
          <w:szCs w:val="22"/>
        </w:rPr>
        <w:t>Actualización Base de datos de Precios Unitarios de Referencia - Construplan.net y CIVILDATA: Se realizaron los procesos de acopio, recolección, validación y consistencia de los precios de la canasta de insumos y análisis de precios unitarios, en sus Fase 1 (Primer semestre 2018) y Fase 2 (Segundo semestre 2018).</w:t>
      </w:r>
    </w:p>
    <w:p w:rsidR="004524F6" w:rsidRPr="00104F4B" w:rsidRDefault="004524F6" w:rsidP="002625A5">
      <w:pPr>
        <w:pStyle w:val="Text1"/>
        <w:keepLines w:val="0"/>
        <w:numPr>
          <w:ilvl w:val="0"/>
          <w:numId w:val="65"/>
        </w:numPr>
        <w:spacing w:line="240" w:lineRule="auto"/>
        <w:contextualSpacing/>
        <w:rPr>
          <w:rFonts w:cs="Arial"/>
          <w:sz w:val="22"/>
          <w:szCs w:val="22"/>
        </w:rPr>
      </w:pPr>
      <w:r w:rsidRPr="00104F4B">
        <w:rPr>
          <w:rFonts w:cs="Arial"/>
          <w:sz w:val="22"/>
          <w:szCs w:val="22"/>
        </w:rPr>
        <w:t xml:space="preserve">Definición y cálculo de Perfiles Viales POT: Se actualizó el trabajo tendiente a encontrar el valor estimado por kilómetro por sección de cada uno de los 17 perfiles viales (para un total de 29 presupuestos a nivel de idea), los cuales son actualizados con los valores de la base de datos de precios de referencia. </w:t>
      </w:r>
    </w:p>
    <w:p w:rsidR="004524F6" w:rsidRPr="00104F4B" w:rsidRDefault="004524F6" w:rsidP="002625A5">
      <w:pPr>
        <w:pStyle w:val="Prrafodelista"/>
        <w:numPr>
          <w:ilvl w:val="0"/>
          <w:numId w:val="65"/>
        </w:numPr>
        <w:spacing w:before="0"/>
        <w:contextualSpacing/>
        <w:rPr>
          <w:rFonts w:ascii="Arial" w:hAnsi="Arial" w:cs="Arial"/>
          <w:b/>
        </w:rPr>
      </w:pPr>
      <w:r w:rsidRPr="00104F4B">
        <w:rPr>
          <w:rFonts w:ascii="Arial" w:hAnsi="Arial" w:cs="Arial"/>
        </w:rPr>
        <w:t>Sistema experto:</w:t>
      </w:r>
      <w:r w:rsidRPr="00104F4B">
        <w:rPr>
          <w:rFonts w:ascii="Arial" w:hAnsi="Arial" w:cs="Arial"/>
          <w:b/>
        </w:rPr>
        <w:t xml:space="preserve"> </w:t>
      </w:r>
      <w:r w:rsidRPr="00104F4B">
        <w:rPr>
          <w:rFonts w:ascii="Arial" w:hAnsi="Arial" w:cs="Arial"/>
        </w:rPr>
        <w:t>Se incluyó la información de treinta (30) contratos en la matriz de consolidación del sistema experto en su fase preliminar o de presupuesto licitación.</w:t>
      </w:r>
    </w:p>
    <w:p w:rsidR="004524F6" w:rsidRPr="00104F4B" w:rsidRDefault="004524F6" w:rsidP="002625A5">
      <w:pPr>
        <w:pStyle w:val="Prrafodelista"/>
        <w:numPr>
          <w:ilvl w:val="0"/>
          <w:numId w:val="65"/>
        </w:numPr>
        <w:spacing w:before="0"/>
        <w:contextualSpacing/>
        <w:rPr>
          <w:rFonts w:ascii="Arial" w:hAnsi="Arial" w:cs="Arial"/>
        </w:rPr>
      </w:pPr>
      <w:r w:rsidRPr="00104F4B">
        <w:rPr>
          <w:rFonts w:ascii="Arial" w:hAnsi="Arial" w:cs="Arial"/>
        </w:rPr>
        <w:t>Directorio de Proveedores de insumos:</w:t>
      </w:r>
      <w:r w:rsidRPr="00104F4B">
        <w:rPr>
          <w:rFonts w:ascii="Arial" w:hAnsi="Arial" w:cs="Arial"/>
          <w:b/>
        </w:rPr>
        <w:t xml:space="preserve"> </w:t>
      </w:r>
      <w:r w:rsidRPr="00104F4B">
        <w:rPr>
          <w:rFonts w:ascii="Arial" w:hAnsi="Arial" w:cs="Arial"/>
        </w:rPr>
        <w:t>Se actualizó con la inclusión de nuevos proveedores y se publicó en la página WEB.</w:t>
      </w:r>
    </w:p>
    <w:p w:rsidR="004524F6" w:rsidRPr="00104F4B" w:rsidRDefault="004524F6" w:rsidP="002625A5">
      <w:pPr>
        <w:pStyle w:val="Prrafodelista"/>
        <w:numPr>
          <w:ilvl w:val="0"/>
          <w:numId w:val="65"/>
        </w:numPr>
        <w:spacing w:before="0"/>
        <w:contextualSpacing/>
        <w:rPr>
          <w:rFonts w:ascii="Arial" w:hAnsi="Arial" w:cs="Arial"/>
        </w:rPr>
      </w:pPr>
      <w:r w:rsidRPr="00104F4B">
        <w:rPr>
          <w:rFonts w:ascii="Arial" w:hAnsi="Arial" w:cs="Arial"/>
        </w:rPr>
        <w:t>Se realizó socialización “Sistema de Información de Precios”.</w:t>
      </w:r>
    </w:p>
    <w:p w:rsidR="00DE42C8" w:rsidRPr="00104F4B" w:rsidRDefault="00DE42C8" w:rsidP="004524F6">
      <w:pPr>
        <w:ind w:left="360" w:hanging="360"/>
        <w:contextualSpacing/>
        <w:mirrorIndents/>
        <w:rPr>
          <w:rFonts w:cs="Arial"/>
          <w:b/>
          <w:smallCaps/>
          <w:szCs w:val="22"/>
          <w:lang w:eastAsia="en-US"/>
        </w:rPr>
      </w:pPr>
    </w:p>
    <w:p w:rsidR="004524F6" w:rsidRPr="00104F4B" w:rsidRDefault="004524F6" w:rsidP="00DE42C8">
      <w:pPr>
        <w:pStyle w:val="Text1"/>
        <w:keepLines w:val="0"/>
        <w:spacing w:after="120" w:line="240" w:lineRule="atLeast"/>
        <w:contextualSpacing/>
        <w:rPr>
          <w:rFonts w:eastAsia="SimSun" w:cs="Arial"/>
          <w:b/>
          <w:sz w:val="22"/>
          <w:szCs w:val="22"/>
          <w:lang w:val="es-CO" w:eastAsia="zh-CN" w:bidi="hi-IN"/>
        </w:rPr>
      </w:pPr>
      <w:r w:rsidRPr="00104F4B">
        <w:rPr>
          <w:rFonts w:eastAsia="SimSun" w:cs="Arial"/>
          <w:b/>
          <w:sz w:val="22"/>
          <w:szCs w:val="22"/>
          <w:lang w:val="es-CO" w:eastAsia="zh-CN" w:bidi="hi-IN"/>
        </w:rPr>
        <w:t xml:space="preserve">Componente </w:t>
      </w:r>
      <w:r w:rsidR="00DE42C8" w:rsidRPr="00104F4B">
        <w:rPr>
          <w:rFonts w:eastAsia="SimSun" w:cs="Arial"/>
          <w:b/>
          <w:sz w:val="22"/>
          <w:szCs w:val="22"/>
          <w:lang w:val="es-CO" w:eastAsia="zh-CN" w:bidi="hi-IN"/>
        </w:rPr>
        <w:t>Geomática</w:t>
      </w:r>
      <w:r w:rsidRPr="00104F4B">
        <w:rPr>
          <w:rFonts w:eastAsia="SimSun" w:cs="Arial"/>
          <w:b/>
          <w:sz w:val="22"/>
          <w:szCs w:val="22"/>
          <w:lang w:val="es-CO" w:eastAsia="zh-CN" w:bidi="hi-IN"/>
        </w:rPr>
        <w:t>:</w:t>
      </w:r>
    </w:p>
    <w:p w:rsidR="004524F6" w:rsidRPr="00104F4B" w:rsidRDefault="004524F6" w:rsidP="004524F6">
      <w:pPr>
        <w:pStyle w:val="Text1"/>
        <w:keepLines w:val="0"/>
        <w:spacing w:after="120" w:line="240" w:lineRule="auto"/>
        <w:contextualSpacing/>
        <w:rPr>
          <w:rFonts w:cs="Arial"/>
          <w:b/>
          <w:smallCaps/>
          <w:sz w:val="22"/>
          <w:szCs w:val="22"/>
        </w:rPr>
      </w:pPr>
    </w:p>
    <w:p w:rsidR="004524F6" w:rsidRPr="00104F4B" w:rsidRDefault="004524F6" w:rsidP="004524F6">
      <w:pPr>
        <w:pStyle w:val="NormalWeb"/>
        <w:shd w:val="clear" w:color="auto" w:fill="FFFFFF"/>
        <w:tabs>
          <w:tab w:val="left" w:pos="1095"/>
        </w:tabs>
        <w:spacing w:before="0" w:beforeAutospacing="0" w:after="0" w:afterAutospacing="0"/>
        <w:rPr>
          <w:rFonts w:cs="Arial"/>
          <w:b/>
          <w:sz w:val="16"/>
          <w:szCs w:val="16"/>
        </w:rPr>
      </w:pPr>
      <w:r w:rsidRPr="00104F4B">
        <w:rPr>
          <w:rFonts w:cs="Arial"/>
          <w:b/>
          <w:sz w:val="16"/>
          <w:szCs w:val="16"/>
        </w:rPr>
        <w:t>SGDU – ACTIVIDADES COMPONENTE GEOMÁTICA</w:t>
      </w:r>
    </w:p>
    <w:tbl>
      <w:tblPr>
        <w:tblW w:w="10349"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553"/>
        <w:gridCol w:w="7796"/>
      </w:tblGrid>
      <w:tr w:rsidR="004524F6" w:rsidRPr="00104F4B" w:rsidTr="005C3D90">
        <w:trPr>
          <w:trHeight w:val="222"/>
          <w:tblHeader/>
        </w:trPr>
        <w:tc>
          <w:tcPr>
            <w:tcW w:w="2553" w:type="dxa"/>
            <w:shd w:val="clear" w:color="auto" w:fill="D9D9D9" w:themeFill="background1" w:themeFillShade="D9"/>
            <w:tcMar>
              <w:top w:w="0" w:type="dxa"/>
              <w:left w:w="70" w:type="dxa"/>
              <w:bottom w:w="0" w:type="dxa"/>
              <w:right w:w="70" w:type="dxa"/>
            </w:tcMar>
            <w:vAlign w:val="center"/>
            <w:hideMark/>
          </w:tcPr>
          <w:p w:rsidR="004524F6" w:rsidRPr="00104F4B" w:rsidRDefault="004524F6" w:rsidP="00FC0A3C">
            <w:pPr>
              <w:rPr>
                <w:rFonts w:cs="Arial"/>
                <w:sz w:val="16"/>
                <w:szCs w:val="16"/>
                <w:lang w:eastAsia="es-CO"/>
              </w:rPr>
            </w:pPr>
            <w:r w:rsidRPr="00104F4B">
              <w:rPr>
                <w:rFonts w:cs="Arial"/>
                <w:b/>
                <w:bCs/>
                <w:sz w:val="16"/>
                <w:szCs w:val="16"/>
                <w:lang w:eastAsia="es-CO"/>
              </w:rPr>
              <w:t xml:space="preserve">Actividades </w:t>
            </w:r>
          </w:p>
        </w:tc>
        <w:tc>
          <w:tcPr>
            <w:tcW w:w="7796" w:type="dxa"/>
            <w:shd w:val="clear" w:color="auto" w:fill="D9D9D9" w:themeFill="background1" w:themeFillShade="D9"/>
            <w:tcMar>
              <w:top w:w="0" w:type="dxa"/>
              <w:left w:w="70" w:type="dxa"/>
              <w:bottom w:w="0" w:type="dxa"/>
              <w:right w:w="70" w:type="dxa"/>
            </w:tcMar>
            <w:vAlign w:val="center"/>
            <w:hideMark/>
          </w:tcPr>
          <w:p w:rsidR="004524F6" w:rsidRPr="00104F4B" w:rsidRDefault="004524F6" w:rsidP="00FC0A3C">
            <w:pPr>
              <w:rPr>
                <w:rFonts w:cs="Arial"/>
                <w:sz w:val="16"/>
                <w:szCs w:val="16"/>
                <w:lang w:eastAsia="es-CO"/>
              </w:rPr>
            </w:pPr>
            <w:r w:rsidRPr="00104F4B">
              <w:rPr>
                <w:rFonts w:cs="Arial"/>
                <w:b/>
                <w:bCs/>
                <w:sz w:val="16"/>
                <w:szCs w:val="16"/>
                <w:lang w:eastAsia="es-CO"/>
              </w:rPr>
              <w:t>Observaciones</w:t>
            </w:r>
          </w:p>
        </w:tc>
      </w:tr>
      <w:tr w:rsidR="004524F6" w:rsidRPr="00104F4B" w:rsidTr="005C3D90">
        <w:trPr>
          <w:trHeight w:val="331"/>
        </w:trPr>
        <w:tc>
          <w:tcPr>
            <w:tcW w:w="2553" w:type="dxa"/>
            <w:tcMar>
              <w:top w:w="0" w:type="dxa"/>
              <w:left w:w="70" w:type="dxa"/>
              <w:bottom w:w="0" w:type="dxa"/>
              <w:right w:w="70" w:type="dxa"/>
            </w:tcMar>
            <w:vAlign w:val="center"/>
            <w:hideMark/>
          </w:tcPr>
          <w:p w:rsidR="004524F6" w:rsidRPr="00104F4B" w:rsidRDefault="004524F6" w:rsidP="00FC0A3C">
            <w:pPr>
              <w:rPr>
                <w:rFonts w:cs="Arial"/>
                <w:sz w:val="16"/>
                <w:szCs w:val="16"/>
                <w:lang w:eastAsia="es-CO"/>
              </w:rPr>
            </w:pPr>
            <w:r w:rsidRPr="00104F4B">
              <w:rPr>
                <w:rFonts w:cs="Arial"/>
                <w:sz w:val="16"/>
                <w:szCs w:val="16"/>
                <w:lang w:eastAsia="es-CO"/>
              </w:rPr>
              <w:t>Mantenimiento de la información del SIGIDU  </w:t>
            </w:r>
          </w:p>
        </w:tc>
        <w:tc>
          <w:tcPr>
            <w:tcW w:w="7796" w:type="dxa"/>
            <w:tcMar>
              <w:top w:w="0" w:type="dxa"/>
              <w:left w:w="70" w:type="dxa"/>
              <w:bottom w:w="0" w:type="dxa"/>
              <w:right w:w="70" w:type="dxa"/>
            </w:tcMar>
            <w:vAlign w:val="center"/>
            <w:hideMark/>
          </w:tcPr>
          <w:p w:rsidR="004524F6" w:rsidRPr="00104F4B" w:rsidRDefault="004524F6" w:rsidP="00FC0A3C">
            <w:pPr>
              <w:rPr>
                <w:rFonts w:cs="Arial"/>
                <w:sz w:val="16"/>
                <w:szCs w:val="16"/>
                <w:lang w:eastAsia="es-CO"/>
              </w:rPr>
            </w:pPr>
            <w:r w:rsidRPr="00104F4B">
              <w:rPr>
                <w:rFonts w:cs="Arial"/>
                <w:sz w:val="16"/>
                <w:szCs w:val="16"/>
                <w:lang w:eastAsia="es-CO"/>
              </w:rPr>
              <w:t>Se realizó la migración de información y actualización periódica del inventario de la malla vial y espacio público, con la información de ejecución de meta física suministrada por las áreas técnicas, contratistas del IDU y terceros.</w:t>
            </w:r>
          </w:p>
        </w:tc>
      </w:tr>
      <w:tr w:rsidR="004524F6" w:rsidRPr="00104F4B" w:rsidTr="005C3D90">
        <w:trPr>
          <w:trHeight w:val="289"/>
        </w:trPr>
        <w:tc>
          <w:tcPr>
            <w:tcW w:w="2553" w:type="dxa"/>
            <w:tcMar>
              <w:top w:w="0" w:type="dxa"/>
              <w:left w:w="70" w:type="dxa"/>
              <w:bottom w:w="0" w:type="dxa"/>
              <w:right w:w="70" w:type="dxa"/>
            </w:tcMar>
            <w:vAlign w:val="center"/>
            <w:hideMark/>
          </w:tcPr>
          <w:p w:rsidR="004524F6" w:rsidRPr="00104F4B" w:rsidRDefault="004524F6" w:rsidP="00FC0A3C">
            <w:pPr>
              <w:rPr>
                <w:rFonts w:cs="Arial"/>
                <w:sz w:val="16"/>
                <w:szCs w:val="16"/>
                <w:lang w:eastAsia="es-CO"/>
              </w:rPr>
            </w:pPr>
            <w:r w:rsidRPr="00104F4B">
              <w:rPr>
                <w:rFonts w:cs="Arial"/>
                <w:sz w:val="16"/>
                <w:szCs w:val="16"/>
                <w:lang w:eastAsia="es-CO"/>
              </w:rPr>
              <w:t>Disposición de la información a través de servicios Web</w:t>
            </w:r>
          </w:p>
        </w:tc>
        <w:tc>
          <w:tcPr>
            <w:tcW w:w="7796" w:type="dxa"/>
            <w:tcMar>
              <w:top w:w="0" w:type="dxa"/>
              <w:left w:w="70" w:type="dxa"/>
              <w:bottom w:w="0" w:type="dxa"/>
              <w:right w:w="70" w:type="dxa"/>
            </w:tcMar>
            <w:vAlign w:val="center"/>
            <w:hideMark/>
          </w:tcPr>
          <w:p w:rsidR="004524F6" w:rsidRPr="00104F4B" w:rsidRDefault="004524F6" w:rsidP="00FC0A3C">
            <w:pPr>
              <w:rPr>
                <w:rFonts w:cs="Arial"/>
                <w:sz w:val="16"/>
                <w:szCs w:val="16"/>
                <w:lang w:eastAsia="es-CO"/>
              </w:rPr>
            </w:pPr>
            <w:r w:rsidRPr="00104F4B">
              <w:rPr>
                <w:rFonts w:cs="Arial"/>
                <w:sz w:val="16"/>
                <w:szCs w:val="16"/>
                <w:lang w:val="es-MX" w:eastAsia="es-CO"/>
              </w:rPr>
              <w:t>La información de SIGIDU se publicó a través de servicios geográficos Web (</w:t>
            </w:r>
            <w:r w:rsidRPr="00104F4B">
              <w:rPr>
                <w:rFonts w:cs="Arial"/>
                <w:sz w:val="16"/>
                <w:szCs w:val="16"/>
                <w:u w:val="single"/>
                <w:lang w:val="es-MX" w:eastAsia="es-CO"/>
              </w:rPr>
              <w:t>Servidor de Mapas),</w:t>
            </w:r>
            <w:r w:rsidRPr="00104F4B">
              <w:rPr>
                <w:rFonts w:cs="Arial"/>
                <w:sz w:val="16"/>
                <w:szCs w:val="16"/>
                <w:lang w:val="es-MX" w:eastAsia="es-CO"/>
              </w:rPr>
              <w:t xml:space="preserve"> dispuestos en la página del IDU en el link: https://www.idu.gov.co/page/siipviales/geomatica/portafolio</w:t>
            </w:r>
          </w:p>
        </w:tc>
      </w:tr>
      <w:tr w:rsidR="004524F6" w:rsidRPr="00104F4B" w:rsidTr="005C3D90">
        <w:trPr>
          <w:trHeight w:val="204"/>
        </w:trPr>
        <w:tc>
          <w:tcPr>
            <w:tcW w:w="2553" w:type="dxa"/>
            <w:tcMar>
              <w:top w:w="0" w:type="dxa"/>
              <w:left w:w="70" w:type="dxa"/>
              <w:bottom w:w="0" w:type="dxa"/>
              <w:right w:w="70" w:type="dxa"/>
            </w:tcMar>
            <w:vAlign w:val="center"/>
            <w:hideMark/>
          </w:tcPr>
          <w:p w:rsidR="004524F6" w:rsidRPr="00104F4B" w:rsidRDefault="004524F6" w:rsidP="00FC0A3C">
            <w:pPr>
              <w:rPr>
                <w:rFonts w:cs="Arial"/>
                <w:sz w:val="16"/>
                <w:szCs w:val="16"/>
                <w:lang w:eastAsia="es-CO"/>
              </w:rPr>
            </w:pPr>
            <w:r w:rsidRPr="00104F4B">
              <w:rPr>
                <w:rFonts w:cs="Arial"/>
                <w:sz w:val="16"/>
                <w:szCs w:val="16"/>
                <w:lang w:eastAsia="es-CO"/>
              </w:rPr>
              <w:t>Análisis de la malla vial</w:t>
            </w:r>
          </w:p>
        </w:tc>
        <w:tc>
          <w:tcPr>
            <w:tcW w:w="7796" w:type="dxa"/>
            <w:tcMar>
              <w:top w:w="0" w:type="dxa"/>
              <w:left w:w="70" w:type="dxa"/>
              <w:bottom w:w="0" w:type="dxa"/>
              <w:right w:w="70" w:type="dxa"/>
            </w:tcMar>
            <w:vAlign w:val="center"/>
            <w:hideMark/>
          </w:tcPr>
          <w:p w:rsidR="004524F6" w:rsidRPr="00104F4B" w:rsidRDefault="004524F6" w:rsidP="00FC0A3C">
            <w:pPr>
              <w:rPr>
                <w:rFonts w:cs="Arial"/>
                <w:sz w:val="16"/>
                <w:szCs w:val="16"/>
                <w:lang w:eastAsia="es-CO"/>
              </w:rPr>
            </w:pPr>
            <w:r w:rsidRPr="00104F4B">
              <w:rPr>
                <w:rFonts w:cs="Arial"/>
                <w:sz w:val="16"/>
                <w:szCs w:val="16"/>
                <w:lang w:eastAsia="es-CO"/>
              </w:rPr>
              <w:t>Se elaboraron las estadísticas y análisis conjuntamente con el componente de innovación, sobre el comportamiento de estado de condición del pavimento de las vías que conforman la Malla Vial de la ciudad y el espacio público, a partir de la información entregada por las entidades distritales y contratistas IDU, se encuentran publicadas en la WEB. </w:t>
            </w:r>
            <w:r w:rsidRPr="00104F4B">
              <w:rPr>
                <w:rFonts w:cs="Arial"/>
                <w:sz w:val="16"/>
                <w:szCs w:val="16"/>
                <w:u w:val="single"/>
                <w:lang w:eastAsia="es-CO"/>
              </w:rPr>
              <w:t>https://www.idu.gov.co/page/siipviales/innovacion/portafolio</w:t>
            </w:r>
          </w:p>
        </w:tc>
      </w:tr>
      <w:tr w:rsidR="004524F6" w:rsidRPr="00104F4B" w:rsidTr="005C3D90">
        <w:trPr>
          <w:trHeight w:val="224"/>
        </w:trPr>
        <w:tc>
          <w:tcPr>
            <w:tcW w:w="2553" w:type="dxa"/>
            <w:tcMar>
              <w:top w:w="0" w:type="dxa"/>
              <w:left w:w="70" w:type="dxa"/>
              <w:bottom w:w="0" w:type="dxa"/>
              <w:right w:w="70" w:type="dxa"/>
            </w:tcMar>
            <w:vAlign w:val="center"/>
            <w:hideMark/>
          </w:tcPr>
          <w:p w:rsidR="004524F6" w:rsidRPr="00104F4B" w:rsidRDefault="004524F6" w:rsidP="00FC0A3C">
            <w:pPr>
              <w:rPr>
                <w:rFonts w:cs="Arial"/>
                <w:sz w:val="16"/>
                <w:szCs w:val="16"/>
                <w:lang w:eastAsia="es-CO"/>
              </w:rPr>
            </w:pPr>
            <w:r w:rsidRPr="00104F4B">
              <w:rPr>
                <w:rFonts w:cs="Arial"/>
                <w:sz w:val="16"/>
                <w:szCs w:val="16"/>
                <w:lang w:eastAsia="es-CO"/>
              </w:rPr>
              <w:t>Información Mapa de referencia del Distrito</w:t>
            </w:r>
          </w:p>
        </w:tc>
        <w:tc>
          <w:tcPr>
            <w:tcW w:w="7796" w:type="dxa"/>
            <w:tcMar>
              <w:top w:w="0" w:type="dxa"/>
              <w:left w:w="70" w:type="dxa"/>
              <w:bottom w:w="0" w:type="dxa"/>
              <w:right w:w="70" w:type="dxa"/>
            </w:tcMar>
            <w:vAlign w:val="center"/>
            <w:hideMark/>
          </w:tcPr>
          <w:p w:rsidR="004524F6" w:rsidRPr="00104F4B" w:rsidRDefault="004524F6" w:rsidP="00FC0A3C">
            <w:pPr>
              <w:rPr>
                <w:rFonts w:cs="Arial"/>
                <w:sz w:val="16"/>
                <w:szCs w:val="16"/>
                <w:lang w:eastAsia="es-CO"/>
              </w:rPr>
            </w:pPr>
            <w:r w:rsidRPr="00104F4B">
              <w:rPr>
                <w:rFonts w:cs="Arial"/>
                <w:sz w:val="16"/>
                <w:szCs w:val="16"/>
                <w:lang w:eastAsia="es-CO"/>
              </w:rPr>
              <w:t>Se realizó la gestión interinstitucional con la Unidad Administrativa de Catastro Distrital apoyando los intercambios de información relacionada con los sistemas de movilidad y de espacio público.</w:t>
            </w:r>
          </w:p>
        </w:tc>
      </w:tr>
      <w:tr w:rsidR="004524F6" w:rsidRPr="00104F4B" w:rsidTr="005C3D90">
        <w:trPr>
          <w:trHeight w:val="304"/>
        </w:trPr>
        <w:tc>
          <w:tcPr>
            <w:tcW w:w="2553" w:type="dxa"/>
            <w:tcMar>
              <w:top w:w="0" w:type="dxa"/>
              <w:left w:w="70" w:type="dxa"/>
              <w:bottom w:w="0" w:type="dxa"/>
              <w:right w:w="70" w:type="dxa"/>
            </w:tcMar>
            <w:vAlign w:val="center"/>
            <w:hideMark/>
          </w:tcPr>
          <w:p w:rsidR="004524F6" w:rsidRPr="00104F4B" w:rsidRDefault="004524F6" w:rsidP="00FC0A3C">
            <w:pPr>
              <w:rPr>
                <w:rFonts w:cs="Arial"/>
                <w:sz w:val="16"/>
                <w:szCs w:val="16"/>
                <w:lang w:eastAsia="es-CO"/>
              </w:rPr>
            </w:pPr>
            <w:r w:rsidRPr="00104F4B">
              <w:rPr>
                <w:rFonts w:cs="Arial"/>
                <w:sz w:val="16"/>
                <w:szCs w:val="16"/>
                <w:lang w:eastAsia="es-CO"/>
              </w:rPr>
              <w:t>Reserva de segmentos viales</w:t>
            </w:r>
          </w:p>
        </w:tc>
        <w:tc>
          <w:tcPr>
            <w:tcW w:w="7796" w:type="dxa"/>
            <w:tcMar>
              <w:top w:w="0" w:type="dxa"/>
              <w:left w:w="70" w:type="dxa"/>
              <w:bottom w:w="0" w:type="dxa"/>
              <w:right w:w="70" w:type="dxa"/>
            </w:tcMar>
            <w:vAlign w:val="center"/>
            <w:hideMark/>
          </w:tcPr>
          <w:p w:rsidR="004524F6" w:rsidRPr="00104F4B" w:rsidRDefault="004524F6" w:rsidP="00FC0A3C">
            <w:pPr>
              <w:rPr>
                <w:rFonts w:cs="Arial"/>
                <w:sz w:val="16"/>
                <w:szCs w:val="16"/>
                <w:lang w:eastAsia="es-CO"/>
              </w:rPr>
            </w:pPr>
            <w:r w:rsidRPr="00104F4B">
              <w:rPr>
                <w:rFonts w:cs="Arial"/>
                <w:sz w:val="16"/>
                <w:szCs w:val="16"/>
                <w:lang w:eastAsia="es-CO"/>
              </w:rPr>
              <w:t>La DTE generó reservas de segmentos viales de acuerdo con las solicitudes realizadas por entidades distritales y empresas de servicios públicos, esta información es utilizada para la actualización del sistema en su componente de seguimiento de obras.</w:t>
            </w:r>
          </w:p>
        </w:tc>
      </w:tr>
      <w:tr w:rsidR="004524F6" w:rsidRPr="00104F4B" w:rsidTr="005C3D90">
        <w:trPr>
          <w:trHeight w:val="246"/>
        </w:trPr>
        <w:tc>
          <w:tcPr>
            <w:tcW w:w="2553" w:type="dxa"/>
            <w:tcMar>
              <w:top w:w="0" w:type="dxa"/>
              <w:left w:w="70" w:type="dxa"/>
              <w:bottom w:w="0" w:type="dxa"/>
              <w:right w:w="70" w:type="dxa"/>
            </w:tcMar>
            <w:vAlign w:val="center"/>
            <w:hideMark/>
          </w:tcPr>
          <w:p w:rsidR="004524F6" w:rsidRPr="00104F4B" w:rsidRDefault="004524F6" w:rsidP="00FC0A3C">
            <w:pPr>
              <w:rPr>
                <w:rFonts w:cs="Arial"/>
                <w:sz w:val="16"/>
                <w:szCs w:val="16"/>
                <w:lang w:eastAsia="es-CO"/>
              </w:rPr>
            </w:pPr>
            <w:r w:rsidRPr="00104F4B">
              <w:rPr>
                <w:rFonts w:cs="Arial"/>
                <w:sz w:val="16"/>
                <w:szCs w:val="16"/>
                <w:lang w:eastAsia="es-CO"/>
              </w:rPr>
              <w:t>Revisión de estándares de los archivos CAD y GIS</w:t>
            </w:r>
          </w:p>
        </w:tc>
        <w:tc>
          <w:tcPr>
            <w:tcW w:w="7796" w:type="dxa"/>
            <w:tcMar>
              <w:top w:w="0" w:type="dxa"/>
              <w:left w:w="70" w:type="dxa"/>
              <w:bottom w:w="0" w:type="dxa"/>
              <w:right w:w="70" w:type="dxa"/>
            </w:tcMar>
            <w:vAlign w:val="center"/>
            <w:hideMark/>
          </w:tcPr>
          <w:p w:rsidR="004524F6" w:rsidRPr="00104F4B" w:rsidRDefault="004524F6" w:rsidP="00FC0A3C">
            <w:pPr>
              <w:rPr>
                <w:rFonts w:cs="Arial"/>
                <w:sz w:val="16"/>
                <w:szCs w:val="16"/>
                <w:lang w:eastAsia="es-CO"/>
              </w:rPr>
            </w:pPr>
            <w:r w:rsidRPr="00104F4B">
              <w:rPr>
                <w:rFonts w:cs="Arial"/>
                <w:sz w:val="16"/>
                <w:szCs w:val="16"/>
                <w:lang w:eastAsia="es-CO"/>
              </w:rPr>
              <w:t>Se realizó la revisión de los estándares de información de los archivos CAD y GIS suministrados por los contratistas y terceros, los productos que cumplen con el estándar se  encuentran disponibles en el servidor: \\FS06CC01\PlanosDisenoRecord.</w:t>
            </w:r>
          </w:p>
        </w:tc>
      </w:tr>
      <w:tr w:rsidR="004524F6" w:rsidRPr="00104F4B" w:rsidTr="005C3D90">
        <w:trPr>
          <w:trHeight w:val="211"/>
        </w:trPr>
        <w:tc>
          <w:tcPr>
            <w:tcW w:w="2553" w:type="dxa"/>
            <w:tcMar>
              <w:top w:w="0" w:type="dxa"/>
              <w:left w:w="70" w:type="dxa"/>
              <w:bottom w:w="0" w:type="dxa"/>
              <w:right w:w="70" w:type="dxa"/>
            </w:tcMar>
            <w:vAlign w:val="center"/>
            <w:hideMark/>
          </w:tcPr>
          <w:p w:rsidR="004524F6" w:rsidRPr="00104F4B" w:rsidRDefault="004524F6" w:rsidP="00FC0A3C">
            <w:pPr>
              <w:rPr>
                <w:rFonts w:cs="Arial"/>
                <w:sz w:val="16"/>
                <w:szCs w:val="16"/>
                <w:lang w:eastAsia="es-CO"/>
              </w:rPr>
            </w:pPr>
            <w:r w:rsidRPr="00104F4B">
              <w:rPr>
                <w:rFonts w:cs="Arial"/>
                <w:sz w:val="16"/>
                <w:szCs w:val="16"/>
                <w:lang w:eastAsia="es-CO"/>
              </w:rPr>
              <w:t>Cartográfica temática</w:t>
            </w:r>
          </w:p>
        </w:tc>
        <w:tc>
          <w:tcPr>
            <w:tcW w:w="7796" w:type="dxa"/>
            <w:tcMar>
              <w:top w:w="0" w:type="dxa"/>
              <w:left w:w="70" w:type="dxa"/>
              <w:bottom w:w="0" w:type="dxa"/>
              <w:right w:w="70" w:type="dxa"/>
            </w:tcMar>
            <w:vAlign w:val="center"/>
            <w:hideMark/>
          </w:tcPr>
          <w:p w:rsidR="004524F6" w:rsidRPr="00104F4B" w:rsidRDefault="004524F6" w:rsidP="00FC0A3C">
            <w:pPr>
              <w:rPr>
                <w:rFonts w:cs="Arial"/>
                <w:sz w:val="16"/>
                <w:szCs w:val="16"/>
                <w:lang w:eastAsia="es-CO"/>
              </w:rPr>
            </w:pPr>
            <w:r w:rsidRPr="00104F4B">
              <w:rPr>
                <w:rFonts w:cs="Arial"/>
                <w:sz w:val="16"/>
                <w:szCs w:val="16"/>
                <w:lang w:eastAsia="es-CO"/>
              </w:rPr>
              <w:t>Se brindó apoyo técnico a las áreas del instituto en cuanto a la georreferenciación de proyectos, generación de cartografía temática, y suministro de información geográfica.</w:t>
            </w:r>
          </w:p>
        </w:tc>
      </w:tr>
      <w:tr w:rsidR="004524F6" w:rsidRPr="00104F4B" w:rsidTr="005C3D90">
        <w:trPr>
          <w:trHeight w:val="547"/>
        </w:trPr>
        <w:tc>
          <w:tcPr>
            <w:tcW w:w="2553" w:type="dxa"/>
            <w:tcMar>
              <w:top w:w="0" w:type="dxa"/>
              <w:left w:w="70" w:type="dxa"/>
              <w:bottom w:w="0" w:type="dxa"/>
              <w:right w:w="70" w:type="dxa"/>
            </w:tcMar>
            <w:vAlign w:val="center"/>
            <w:hideMark/>
          </w:tcPr>
          <w:p w:rsidR="004524F6" w:rsidRPr="00104F4B" w:rsidRDefault="004524F6" w:rsidP="00FC0A3C">
            <w:pPr>
              <w:rPr>
                <w:rFonts w:cs="Arial"/>
                <w:sz w:val="16"/>
                <w:szCs w:val="16"/>
                <w:lang w:eastAsia="es-CO"/>
              </w:rPr>
            </w:pPr>
            <w:r w:rsidRPr="00104F4B">
              <w:rPr>
                <w:rFonts w:cs="Arial"/>
                <w:sz w:val="16"/>
                <w:szCs w:val="16"/>
                <w:lang w:eastAsia="es-CO"/>
              </w:rPr>
              <w:t>Inventario de elementos para la accesibilidad e inspección de daños en el espacio público  </w:t>
            </w:r>
          </w:p>
        </w:tc>
        <w:tc>
          <w:tcPr>
            <w:tcW w:w="7796" w:type="dxa"/>
            <w:tcMar>
              <w:top w:w="0" w:type="dxa"/>
              <w:left w:w="70" w:type="dxa"/>
              <w:bottom w:w="0" w:type="dxa"/>
              <w:right w:w="70" w:type="dxa"/>
            </w:tcMar>
            <w:vAlign w:val="center"/>
            <w:hideMark/>
          </w:tcPr>
          <w:p w:rsidR="004524F6" w:rsidRPr="00104F4B" w:rsidRDefault="004524F6" w:rsidP="00FC0A3C">
            <w:pPr>
              <w:rPr>
                <w:rFonts w:cs="Arial"/>
                <w:sz w:val="16"/>
                <w:szCs w:val="16"/>
                <w:lang w:eastAsia="es-CO"/>
              </w:rPr>
            </w:pPr>
            <w:r w:rsidRPr="00104F4B">
              <w:rPr>
                <w:rFonts w:cs="Arial"/>
                <w:sz w:val="16"/>
                <w:szCs w:val="16"/>
                <w:lang w:eastAsia="es-CO"/>
              </w:rPr>
              <w:t>Se realizó la planeación y ejecución del proyecto, el cual se desarrolló mediante la utilización de aplicativos móviles, efectuando el levantamiento de información del inventario básico de los daños en el espacio público para andenes, separadores, plazas, ciclorrutas y el inventario de los elementos que componen la accesibilidad como rampas, vados peatonales, pompeyanos y señales podotáctiles.</w:t>
            </w:r>
          </w:p>
        </w:tc>
      </w:tr>
      <w:tr w:rsidR="004524F6" w:rsidRPr="00104F4B" w:rsidTr="005C3D90">
        <w:trPr>
          <w:trHeight w:val="365"/>
        </w:trPr>
        <w:tc>
          <w:tcPr>
            <w:tcW w:w="2553" w:type="dxa"/>
            <w:tcMar>
              <w:top w:w="0" w:type="dxa"/>
              <w:left w:w="70" w:type="dxa"/>
              <w:bottom w:w="0" w:type="dxa"/>
              <w:right w:w="70" w:type="dxa"/>
            </w:tcMar>
            <w:vAlign w:val="center"/>
            <w:hideMark/>
          </w:tcPr>
          <w:p w:rsidR="004524F6" w:rsidRPr="00104F4B" w:rsidRDefault="00152F03" w:rsidP="00FC0A3C">
            <w:pPr>
              <w:rPr>
                <w:rFonts w:cs="Arial"/>
                <w:sz w:val="16"/>
                <w:szCs w:val="16"/>
                <w:lang w:eastAsia="es-CO"/>
              </w:rPr>
            </w:pPr>
            <w:hyperlink r:id="rId58" w:tgtFrame="_blank" w:history="1">
              <w:r w:rsidR="004524F6" w:rsidRPr="00104F4B">
                <w:rPr>
                  <w:rFonts w:cs="Arial"/>
                  <w:sz w:val="16"/>
                  <w:szCs w:val="16"/>
                  <w:u w:val="single"/>
                  <w:lang w:eastAsia="es-CO"/>
                </w:rPr>
                <w:t>IDEC@</w:t>
              </w:r>
            </w:hyperlink>
          </w:p>
        </w:tc>
        <w:tc>
          <w:tcPr>
            <w:tcW w:w="7796" w:type="dxa"/>
            <w:tcMar>
              <w:top w:w="0" w:type="dxa"/>
              <w:left w:w="70" w:type="dxa"/>
              <w:bottom w:w="0" w:type="dxa"/>
              <w:right w:w="70" w:type="dxa"/>
            </w:tcMar>
            <w:vAlign w:val="center"/>
            <w:hideMark/>
          </w:tcPr>
          <w:p w:rsidR="004524F6" w:rsidRPr="00104F4B" w:rsidRDefault="004524F6" w:rsidP="00FC0A3C">
            <w:pPr>
              <w:rPr>
                <w:rFonts w:cs="Arial"/>
                <w:sz w:val="16"/>
                <w:szCs w:val="16"/>
                <w:lang w:eastAsia="es-CO"/>
              </w:rPr>
            </w:pPr>
            <w:r w:rsidRPr="00104F4B">
              <w:rPr>
                <w:rFonts w:cs="Arial"/>
                <w:sz w:val="16"/>
                <w:szCs w:val="16"/>
                <w:lang w:eastAsia="es-CO"/>
              </w:rPr>
              <w:t>Se efectuó la entrega de información al Mapa de Referencia para Bogotá, definido como el conjunto organizado de datos espaciales BÁSICOS, el cual busca consolidar y divulgar trimestralmente el conjunto de datos espaciales comunes requeridos por la mayoría de entidades de la ciudad, bajo la necesidad de mantener actualizada una fuente única de datos espaciales Básicos para la ciudad de Bogotá D.C. Además la DTE participo en la generación de políticas corporativas de manejo y administración de información geográfica según el Acuerdo 130 de 2004 Infraestructura de Datos Espaciales del Distrito Capital IDEC@.</w:t>
            </w:r>
          </w:p>
        </w:tc>
      </w:tr>
      <w:tr w:rsidR="004524F6" w:rsidRPr="00104F4B" w:rsidTr="005C3D90">
        <w:trPr>
          <w:trHeight w:val="222"/>
        </w:trPr>
        <w:tc>
          <w:tcPr>
            <w:tcW w:w="2553" w:type="dxa"/>
            <w:tcMar>
              <w:top w:w="0" w:type="dxa"/>
              <w:left w:w="70" w:type="dxa"/>
              <w:bottom w:w="0" w:type="dxa"/>
              <w:right w:w="70" w:type="dxa"/>
            </w:tcMar>
            <w:vAlign w:val="center"/>
            <w:hideMark/>
          </w:tcPr>
          <w:p w:rsidR="004524F6" w:rsidRPr="00104F4B" w:rsidRDefault="004524F6" w:rsidP="00FC0A3C">
            <w:pPr>
              <w:rPr>
                <w:rFonts w:cs="Arial"/>
                <w:sz w:val="16"/>
                <w:szCs w:val="16"/>
                <w:lang w:eastAsia="es-CO"/>
              </w:rPr>
            </w:pPr>
            <w:r w:rsidRPr="00104F4B">
              <w:rPr>
                <w:rFonts w:cs="Arial"/>
                <w:sz w:val="16"/>
                <w:szCs w:val="16"/>
                <w:lang w:eastAsia="es-CO"/>
              </w:rPr>
              <w:t>Respuesta requerimientos</w:t>
            </w:r>
          </w:p>
        </w:tc>
        <w:tc>
          <w:tcPr>
            <w:tcW w:w="7796" w:type="dxa"/>
            <w:tcMar>
              <w:top w:w="0" w:type="dxa"/>
              <w:left w:w="70" w:type="dxa"/>
              <w:bottom w:w="0" w:type="dxa"/>
              <w:right w:w="70" w:type="dxa"/>
            </w:tcMar>
            <w:vAlign w:val="center"/>
            <w:hideMark/>
          </w:tcPr>
          <w:p w:rsidR="004524F6" w:rsidRPr="00104F4B" w:rsidRDefault="004524F6" w:rsidP="00FC0A3C">
            <w:pPr>
              <w:rPr>
                <w:rFonts w:cs="Arial"/>
                <w:sz w:val="16"/>
                <w:szCs w:val="16"/>
                <w:lang w:eastAsia="es-CO"/>
              </w:rPr>
            </w:pPr>
            <w:r w:rsidRPr="00104F4B">
              <w:rPr>
                <w:rFonts w:cs="Arial"/>
                <w:sz w:val="16"/>
                <w:szCs w:val="16"/>
                <w:lang w:eastAsia="es-CO"/>
              </w:rPr>
              <w:t>Se dio respuesta a las solicitudes de información geográfica realizada por ciudadanos y áreas del instituto.</w:t>
            </w:r>
          </w:p>
        </w:tc>
      </w:tr>
      <w:tr w:rsidR="004524F6" w:rsidRPr="00104F4B" w:rsidTr="005C3D90">
        <w:trPr>
          <w:trHeight w:val="222"/>
        </w:trPr>
        <w:tc>
          <w:tcPr>
            <w:tcW w:w="2553" w:type="dxa"/>
            <w:tcMar>
              <w:top w:w="0" w:type="dxa"/>
              <w:left w:w="70" w:type="dxa"/>
              <w:bottom w:w="0" w:type="dxa"/>
              <w:right w:w="70" w:type="dxa"/>
            </w:tcMar>
            <w:vAlign w:val="center"/>
          </w:tcPr>
          <w:p w:rsidR="004524F6" w:rsidRPr="00104F4B" w:rsidRDefault="004524F6" w:rsidP="00FC0A3C">
            <w:pPr>
              <w:rPr>
                <w:rFonts w:cs="Arial"/>
                <w:sz w:val="16"/>
                <w:szCs w:val="16"/>
                <w:lang w:eastAsia="es-CO"/>
              </w:rPr>
            </w:pPr>
            <w:r w:rsidRPr="00104F4B">
              <w:rPr>
                <w:rFonts w:cs="Arial"/>
                <w:sz w:val="16"/>
                <w:szCs w:val="16"/>
                <w:lang w:eastAsia="es-CO"/>
              </w:rPr>
              <w:t>Socializaciones</w:t>
            </w:r>
          </w:p>
        </w:tc>
        <w:tc>
          <w:tcPr>
            <w:tcW w:w="7796" w:type="dxa"/>
            <w:tcMar>
              <w:top w:w="0" w:type="dxa"/>
              <w:left w:w="70" w:type="dxa"/>
              <w:bottom w:w="0" w:type="dxa"/>
              <w:right w:w="70" w:type="dxa"/>
            </w:tcMar>
            <w:vAlign w:val="center"/>
          </w:tcPr>
          <w:p w:rsidR="004524F6" w:rsidRPr="00104F4B" w:rsidRDefault="004524F6" w:rsidP="00FC0A3C">
            <w:pPr>
              <w:rPr>
                <w:rFonts w:cs="Arial"/>
                <w:sz w:val="16"/>
                <w:szCs w:val="16"/>
                <w:lang w:eastAsia="es-CO"/>
              </w:rPr>
            </w:pPr>
            <w:r w:rsidRPr="00104F4B">
              <w:rPr>
                <w:rFonts w:cs="Arial"/>
                <w:sz w:val="16"/>
                <w:szCs w:val="16"/>
                <w:lang w:eastAsia="es-CO"/>
              </w:rPr>
              <w:t>Se realizaron socializaciones de productos generados por el componente de Geomatica.</w:t>
            </w:r>
          </w:p>
        </w:tc>
      </w:tr>
    </w:tbl>
    <w:p w:rsidR="00DE42C8" w:rsidRPr="00104F4B" w:rsidRDefault="00DE42C8" w:rsidP="00DE42C8">
      <w:pPr>
        <w:pStyle w:val="Text1"/>
        <w:keepLines w:val="0"/>
        <w:spacing w:after="120" w:line="240" w:lineRule="atLeast"/>
        <w:contextualSpacing/>
        <w:rPr>
          <w:rFonts w:eastAsia="SimSun" w:cs="Arial"/>
          <w:b/>
          <w:sz w:val="22"/>
          <w:szCs w:val="22"/>
          <w:lang w:val="es-CO" w:eastAsia="zh-CN" w:bidi="hi-IN"/>
        </w:rPr>
      </w:pPr>
    </w:p>
    <w:p w:rsidR="004524F6" w:rsidRPr="00104F4B" w:rsidRDefault="004524F6" w:rsidP="00DE42C8">
      <w:pPr>
        <w:pStyle w:val="Text1"/>
        <w:keepLines w:val="0"/>
        <w:spacing w:after="120" w:line="240" w:lineRule="atLeast"/>
        <w:contextualSpacing/>
        <w:rPr>
          <w:rFonts w:eastAsia="SimSun" w:cs="Arial"/>
          <w:b/>
          <w:sz w:val="22"/>
          <w:szCs w:val="22"/>
          <w:lang w:val="es-CO" w:eastAsia="zh-CN" w:bidi="hi-IN"/>
        </w:rPr>
      </w:pPr>
      <w:r w:rsidRPr="00104F4B">
        <w:rPr>
          <w:rFonts w:eastAsia="SimSun" w:cs="Arial"/>
          <w:b/>
          <w:sz w:val="22"/>
          <w:szCs w:val="22"/>
          <w:lang w:val="es-CO" w:eastAsia="zh-CN" w:bidi="hi-IN"/>
        </w:rPr>
        <w:t>Componente Directorio de Proveedores – ambiental</w:t>
      </w:r>
    </w:p>
    <w:p w:rsidR="004524F6" w:rsidRPr="00104F4B" w:rsidRDefault="004524F6" w:rsidP="002625A5">
      <w:pPr>
        <w:pStyle w:val="Contenidodelatabla"/>
        <w:numPr>
          <w:ilvl w:val="0"/>
          <w:numId w:val="66"/>
        </w:numPr>
        <w:jc w:val="both"/>
        <w:rPr>
          <w:rFonts w:ascii="Arial" w:hAnsi="Arial" w:cs="Arial"/>
          <w:sz w:val="22"/>
          <w:szCs w:val="22"/>
        </w:rPr>
      </w:pPr>
      <w:r w:rsidRPr="00104F4B">
        <w:rPr>
          <w:rFonts w:ascii="Arial" w:hAnsi="Arial" w:cs="Arial"/>
          <w:sz w:val="22"/>
          <w:szCs w:val="22"/>
        </w:rPr>
        <w:t>“Directorio de Proveedores de Materiales de Construcción, Sitios de Disposición final, Aprovechamiento y Tratamiento de Residuos de Construcción y Demolición RCD del IDU” (Resolución IDU 66317 de 2015), se realizaron las siguientes actividades:</w:t>
      </w:r>
    </w:p>
    <w:p w:rsidR="004524F6" w:rsidRPr="00104F4B" w:rsidRDefault="004524F6" w:rsidP="002625A5">
      <w:pPr>
        <w:pStyle w:val="Contenidodelatabla"/>
        <w:numPr>
          <w:ilvl w:val="0"/>
          <w:numId w:val="66"/>
        </w:numPr>
        <w:jc w:val="both"/>
        <w:rPr>
          <w:rFonts w:ascii="Arial" w:hAnsi="Arial" w:cs="Arial"/>
          <w:sz w:val="22"/>
          <w:szCs w:val="22"/>
        </w:rPr>
      </w:pPr>
      <w:r w:rsidRPr="00104F4B">
        <w:rPr>
          <w:rFonts w:ascii="Arial" w:hAnsi="Arial" w:cs="Arial"/>
          <w:sz w:val="22"/>
          <w:szCs w:val="22"/>
        </w:rPr>
        <w:t>Veinticuatro (24) actualizaciones de la base de datos del Directorio (SIAC y SIGIDU).</w:t>
      </w:r>
    </w:p>
    <w:p w:rsidR="004524F6" w:rsidRPr="00104F4B" w:rsidRDefault="004524F6" w:rsidP="002625A5">
      <w:pPr>
        <w:pStyle w:val="Contenidodelatabla"/>
        <w:numPr>
          <w:ilvl w:val="0"/>
          <w:numId w:val="66"/>
        </w:numPr>
        <w:jc w:val="both"/>
        <w:rPr>
          <w:rFonts w:ascii="Arial" w:hAnsi="Arial" w:cs="Arial"/>
          <w:sz w:val="22"/>
          <w:szCs w:val="22"/>
        </w:rPr>
      </w:pPr>
      <w:r w:rsidRPr="00104F4B">
        <w:rPr>
          <w:rFonts w:ascii="Arial" w:hAnsi="Arial" w:cs="Arial"/>
          <w:sz w:val="22"/>
          <w:szCs w:val="22"/>
        </w:rPr>
        <w:t>Trámite de aproximadamente doscientos cuarenta y tres (243) solicitudes de inscripción o renovación y solicitudes relacionadas con el Directorio radicadas mediante el Sistema de Gestión Documental Orfeo.</w:t>
      </w:r>
    </w:p>
    <w:p w:rsidR="00DE42C8" w:rsidRPr="00104F4B" w:rsidRDefault="004524F6" w:rsidP="002625A5">
      <w:pPr>
        <w:pStyle w:val="Contenidodelatabla"/>
        <w:numPr>
          <w:ilvl w:val="0"/>
          <w:numId w:val="66"/>
        </w:numPr>
        <w:jc w:val="both"/>
        <w:rPr>
          <w:rFonts w:ascii="Arial" w:hAnsi="Arial" w:cs="Arial"/>
          <w:sz w:val="22"/>
          <w:szCs w:val="22"/>
        </w:rPr>
      </w:pPr>
      <w:r w:rsidRPr="00104F4B">
        <w:rPr>
          <w:rFonts w:ascii="Arial" w:hAnsi="Arial" w:cs="Arial"/>
          <w:sz w:val="22"/>
          <w:szCs w:val="22"/>
        </w:rPr>
        <w:t>Veintitrés (23) visitas de seguimiento ambiental a los proveedores inscritos en el Directorio.</w:t>
      </w:r>
    </w:p>
    <w:p w:rsidR="004524F6" w:rsidRPr="00104F4B" w:rsidRDefault="00DE42C8" w:rsidP="002625A5">
      <w:pPr>
        <w:pStyle w:val="Contenidodelatabla"/>
        <w:numPr>
          <w:ilvl w:val="0"/>
          <w:numId w:val="66"/>
        </w:numPr>
        <w:jc w:val="both"/>
        <w:rPr>
          <w:rFonts w:ascii="Arial" w:hAnsi="Arial" w:cs="Arial"/>
          <w:sz w:val="22"/>
          <w:szCs w:val="22"/>
        </w:rPr>
      </w:pPr>
      <w:r w:rsidRPr="00104F4B">
        <w:rPr>
          <w:rFonts w:ascii="Arial" w:hAnsi="Arial" w:cs="Arial"/>
          <w:sz w:val="22"/>
          <w:szCs w:val="22"/>
        </w:rPr>
        <w:t>C</w:t>
      </w:r>
      <w:r w:rsidR="004524F6" w:rsidRPr="00104F4B">
        <w:rPr>
          <w:rFonts w:ascii="Arial" w:hAnsi="Arial" w:cs="Arial"/>
          <w:sz w:val="22"/>
          <w:szCs w:val="22"/>
        </w:rPr>
        <w:t>onsolidación de cuatrocientos cuarenta y cinco (445) reportes en la base de suministro de materiales a obras IDU por parte de los proveedores activos en el Directorio.</w:t>
      </w:r>
    </w:p>
    <w:p w:rsidR="004524F6" w:rsidRPr="00104F4B" w:rsidRDefault="004524F6" w:rsidP="002625A5">
      <w:pPr>
        <w:pStyle w:val="Contenidodelatabla"/>
        <w:numPr>
          <w:ilvl w:val="0"/>
          <w:numId w:val="66"/>
        </w:numPr>
        <w:jc w:val="both"/>
        <w:rPr>
          <w:rFonts w:ascii="Arial" w:hAnsi="Arial" w:cs="Arial"/>
          <w:sz w:val="22"/>
          <w:szCs w:val="22"/>
        </w:rPr>
      </w:pPr>
      <w:r w:rsidRPr="00104F4B">
        <w:rPr>
          <w:rFonts w:ascii="Arial" w:hAnsi="Arial" w:cs="Arial"/>
          <w:sz w:val="22"/>
          <w:szCs w:val="22"/>
        </w:rPr>
        <w:t>Dos (2) jornadas de socialización dirigidas a usuarios internos y externos de los productos y servicios generados por el Directorio de Proveedores.</w:t>
      </w:r>
    </w:p>
    <w:p w:rsidR="00DE42C8" w:rsidRPr="00104F4B" w:rsidRDefault="00DE42C8" w:rsidP="00DE42C8">
      <w:pPr>
        <w:pStyle w:val="Text1"/>
        <w:keepLines w:val="0"/>
        <w:spacing w:after="120" w:line="240" w:lineRule="atLeast"/>
        <w:contextualSpacing/>
        <w:rPr>
          <w:rFonts w:eastAsia="SimSun" w:cs="Arial"/>
          <w:b/>
          <w:sz w:val="22"/>
          <w:szCs w:val="22"/>
          <w:lang w:val="es-CO" w:eastAsia="zh-CN" w:bidi="hi-IN"/>
        </w:rPr>
      </w:pPr>
    </w:p>
    <w:p w:rsidR="004524F6" w:rsidRPr="00104F4B" w:rsidRDefault="004524F6" w:rsidP="00DE42C8">
      <w:pPr>
        <w:pStyle w:val="Text1"/>
        <w:keepLines w:val="0"/>
        <w:spacing w:after="120" w:line="240" w:lineRule="atLeast"/>
        <w:contextualSpacing/>
        <w:rPr>
          <w:rFonts w:eastAsia="SimSun" w:cs="Arial"/>
          <w:b/>
          <w:sz w:val="22"/>
          <w:szCs w:val="22"/>
          <w:lang w:val="es-CO" w:eastAsia="zh-CN" w:bidi="hi-IN"/>
        </w:rPr>
      </w:pPr>
      <w:r w:rsidRPr="00104F4B">
        <w:rPr>
          <w:rFonts w:eastAsia="SimSun" w:cs="Arial"/>
          <w:b/>
          <w:sz w:val="22"/>
          <w:szCs w:val="22"/>
          <w:lang w:val="es-CO" w:eastAsia="zh-CN" w:bidi="hi-IN"/>
        </w:rPr>
        <w:t>Informe de Liquidación de Contratos</w:t>
      </w:r>
    </w:p>
    <w:p w:rsidR="004524F6" w:rsidRPr="00104F4B" w:rsidRDefault="004524F6" w:rsidP="004524F6">
      <w:pPr>
        <w:rPr>
          <w:rFonts w:cs="Arial"/>
          <w:szCs w:val="22"/>
        </w:rPr>
      </w:pPr>
      <w:r w:rsidRPr="00104F4B">
        <w:rPr>
          <w:rFonts w:cs="Arial"/>
          <w:szCs w:val="22"/>
        </w:rPr>
        <w:t xml:space="preserve">Durante el 2018, se lideró el comité de liquidación de contratos por parte de la Subdirección General de Desarrollo Urbano, en donde semanalmente se realizaba un seguimiento y acompañamiento a las direcciones técnicas adscritas a esta Subdirección General, con cada uno de los contratos que se encuentran en la etapa de liquidación. </w:t>
      </w:r>
    </w:p>
    <w:p w:rsidR="005C3D90" w:rsidRDefault="005C3D90" w:rsidP="00DE42C8">
      <w:pPr>
        <w:pStyle w:val="Contenidodelatabla"/>
        <w:jc w:val="both"/>
        <w:rPr>
          <w:rFonts w:ascii="Arial" w:hAnsi="Arial" w:cs="Arial"/>
          <w:smallCaps/>
          <w:sz w:val="22"/>
          <w:szCs w:val="22"/>
          <w:u w:val="single"/>
        </w:rPr>
      </w:pPr>
    </w:p>
    <w:p w:rsidR="004524F6" w:rsidRPr="00104F4B" w:rsidRDefault="004524F6" w:rsidP="00DE42C8">
      <w:pPr>
        <w:pStyle w:val="Contenidodelatabla"/>
        <w:jc w:val="both"/>
        <w:rPr>
          <w:rFonts w:ascii="Arial" w:hAnsi="Arial" w:cs="Arial"/>
          <w:sz w:val="22"/>
          <w:szCs w:val="22"/>
        </w:rPr>
      </w:pPr>
      <w:r w:rsidRPr="00104F4B">
        <w:rPr>
          <w:rFonts w:ascii="Arial" w:hAnsi="Arial" w:cs="Arial"/>
          <w:smallCaps/>
          <w:sz w:val="22"/>
          <w:szCs w:val="22"/>
          <w:u w:val="single"/>
        </w:rPr>
        <w:t>Contratos liquidados bilateralmente 2018</w:t>
      </w:r>
      <w:r w:rsidRPr="00104F4B">
        <w:rPr>
          <w:rFonts w:ascii="Arial" w:hAnsi="Arial" w:cs="Arial"/>
          <w:smallCaps/>
          <w:sz w:val="22"/>
          <w:szCs w:val="22"/>
        </w:rPr>
        <w:t xml:space="preserve">: </w:t>
      </w:r>
      <w:r w:rsidRPr="00104F4B">
        <w:rPr>
          <w:rFonts w:ascii="Arial" w:hAnsi="Arial" w:cs="Arial"/>
          <w:sz w:val="22"/>
          <w:szCs w:val="22"/>
        </w:rPr>
        <w:t>Se liquidaron bilateralmente doce (12) contratos durante la vigencia 2018: IDU-1841-2013, IDU-1844-2014, IDU-1836-2014, IDU-1878-2014, IDU-1898-2014, IDU-1074-2016, IDU-1267-2014, IDU-1257-2014, IDU-1321-2013, IDU-1796-2013, IDU-1830-2015, IDU-1835-2015</w:t>
      </w:r>
    </w:p>
    <w:p w:rsidR="004524F6" w:rsidRPr="00104F4B" w:rsidRDefault="004524F6" w:rsidP="00DE42C8">
      <w:pPr>
        <w:pStyle w:val="Contenidodelatabla"/>
        <w:jc w:val="both"/>
        <w:rPr>
          <w:rFonts w:ascii="Arial" w:hAnsi="Arial" w:cs="Arial"/>
          <w:sz w:val="22"/>
          <w:szCs w:val="22"/>
        </w:rPr>
      </w:pPr>
      <w:r w:rsidRPr="00104F4B">
        <w:rPr>
          <w:rFonts w:ascii="Arial" w:hAnsi="Arial" w:cs="Arial"/>
          <w:smallCaps/>
          <w:sz w:val="22"/>
          <w:szCs w:val="22"/>
          <w:u w:val="single"/>
        </w:rPr>
        <w:t>Contratos liquidado por vía judicial 2018</w:t>
      </w:r>
      <w:r w:rsidRPr="00104F4B">
        <w:rPr>
          <w:rFonts w:ascii="Arial" w:hAnsi="Arial" w:cs="Arial"/>
          <w:sz w:val="22"/>
          <w:szCs w:val="22"/>
          <w:u w:val="single"/>
        </w:rPr>
        <w:t xml:space="preserve">: </w:t>
      </w:r>
      <w:r w:rsidRPr="00104F4B">
        <w:rPr>
          <w:rFonts w:ascii="Arial" w:hAnsi="Arial" w:cs="Arial"/>
          <w:sz w:val="22"/>
          <w:szCs w:val="22"/>
        </w:rPr>
        <w:t xml:space="preserve">Se solicitó liquidación por vía judicial, de los contratos IDU-326-2014 e IDU-416-2014. </w:t>
      </w:r>
    </w:p>
    <w:p w:rsidR="00DE42C8" w:rsidRPr="00104F4B" w:rsidRDefault="004524F6" w:rsidP="00857FDC">
      <w:pPr>
        <w:pStyle w:val="Contenidodelatabla"/>
        <w:jc w:val="both"/>
        <w:rPr>
          <w:rFonts w:ascii="Arial" w:hAnsi="Arial" w:cs="Arial"/>
          <w:sz w:val="22"/>
          <w:szCs w:val="22"/>
        </w:rPr>
      </w:pPr>
      <w:r w:rsidRPr="00104F4B">
        <w:rPr>
          <w:rFonts w:ascii="Arial" w:hAnsi="Arial" w:cs="Arial"/>
          <w:smallCaps/>
          <w:sz w:val="22"/>
          <w:szCs w:val="22"/>
          <w:u w:val="single"/>
        </w:rPr>
        <w:t>treinta y dos (32) contratos en liquidación o cierre de glosas:</w:t>
      </w:r>
      <w:r w:rsidRPr="00104F4B">
        <w:rPr>
          <w:rFonts w:ascii="Arial" w:hAnsi="Arial" w:cs="Arial"/>
          <w:smallCaps/>
          <w:sz w:val="22"/>
          <w:szCs w:val="22"/>
        </w:rPr>
        <w:t xml:space="preserve"> </w:t>
      </w:r>
      <w:r w:rsidRPr="00104F4B">
        <w:rPr>
          <w:rFonts w:ascii="Arial" w:hAnsi="Arial" w:cs="Arial"/>
          <w:sz w:val="22"/>
          <w:szCs w:val="22"/>
        </w:rPr>
        <w:t>Se encuentran en liquidación o cierre de glosas treinta y dos (32) contratos.</w:t>
      </w:r>
    </w:p>
    <w:p w:rsidR="00D03FD5" w:rsidRPr="00104F4B" w:rsidRDefault="00D03FD5" w:rsidP="00D03FD5">
      <w:pPr>
        <w:pStyle w:val="Ttulo1"/>
        <w:rPr>
          <w:rFonts w:ascii="Arial" w:hAnsi="Arial" w:cs="Arial"/>
          <w:sz w:val="22"/>
          <w:szCs w:val="22"/>
          <w:lang w:val="es-CO"/>
        </w:rPr>
      </w:pPr>
      <w:bookmarkStart w:id="72" w:name="_Toc536195560"/>
      <w:r w:rsidRPr="00104F4B">
        <w:rPr>
          <w:rFonts w:ascii="Arial" w:hAnsi="Arial" w:cs="Arial"/>
          <w:sz w:val="22"/>
          <w:szCs w:val="22"/>
          <w:lang w:val="es-CO"/>
        </w:rPr>
        <w:t>6.2. Mejores Prácticas y Logros</w:t>
      </w:r>
      <w:bookmarkEnd w:id="72"/>
    </w:p>
    <w:p w:rsidR="00D03FD5" w:rsidRPr="00104F4B" w:rsidRDefault="00D03FD5" w:rsidP="007C2377">
      <w:pPr>
        <w:rPr>
          <w:rFonts w:cs="Arial"/>
          <w:szCs w:val="22"/>
          <w:lang w:val="es-CO"/>
        </w:rPr>
      </w:pPr>
    </w:p>
    <w:p w:rsidR="00D03FD5" w:rsidRPr="00104F4B" w:rsidRDefault="00D03FD5" w:rsidP="00582748">
      <w:pPr>
        <w:pStyle w:val="Contenidodelatabla"/>
        <w:numPr>
          <w:ilvl w:val="0"/>
          <w:numId w:val="68"/>
        </w:numPr>
        <w:jc w:val="both"/>
        <w:rPr>
          <w:rFonts w:ascii="Arial" w:hAnsi="Arial" w:cs="Arial"/>
          <w:sz w:val="22"/>
          <w:szCs w:val="22"/>
        </w:rPr>
      </w:pPr>
      <w:r w:rsidRPr="00104F4B">
        <w:rPr>
          <w:rFonts w:ascii="Arial" w:hAnsi="Arial" w:cs="Arial"/>
          <w:sz w:val="22"/>
          <w:szCs w:val="22"/>
        </w:rPr>
        <w:t>Asumir el reto de adelantar de manera interna los estudios de preinversión de varios proyectos, necesarios para el cumplimiento de las metas trazadas en el PDD.</w:t>
      </w:r>
    </w:p>
    <w:p w:rsidR="00D03FD5" w:rsidRPr="00104F4B" w:rsidRDefault="00D03FD5" w:rsidP="00582748">
      <w:pPr>
        <w:pStyle w:val="Contenidodelatabla"/>
        <w:numPr>
          <w:ilvl w:val="0"/>
          <w:numId w:val="68"/>
        </w:numPr>
        <w:jc w:val="both"/>
        <w:rPr>
          <w:rFonts w:ascii="Arial" w:hAnsi="Arial" w:cs="Arial"/>
          <w:sz w:val="22"/>
          <w:szCs w:val="22"/>
        </w:rPr>
      </w:pPr>
      <w:r w:rsidRPr="00104F4B">
        <w:rPr>
          <w:rFonts w:ascii="Arial" w:hAnsi="Arial" w:cs="Arial"/>
          <w:sz w:val="22"/>
          <w:szCs w:val="22"/>
        </w:rPr>
        <w:t>Conocer de una manera más certera los proyectos, sus bondades y sus mayores dificultades, así como el alcance en el componente predial, ambiental y de redes de servicios públicos.</w:t>
      </w:r>
    </w:p>
    <w:p w:rsidR="00D03FD5" w:rsidRPr="00104F4B" w:rsidRDefault="00D03FD5" w:rsidP="00582748">
      <w:pPr>
        <w:pStyle w:val="Contenidodelatabla"/>
        <w:numPr>
          <w:ilvl w:val="0"/>
          <w:numId w:val="68"/>
        </w:numPr>
        <w:jc w:val="both"/>
        <w:rPr>
          <w:rFonts w:ascii="Arial" w:hAnsi="Arial" w:cs="Arial"/>
          <w:sz w:val="22"/>
          <w:szCs w:val="22"/>
        </w:rPr>
      </w:pPr>
      <w:r w:rsidRPr="00104F4B">
        <w:rPr>
          <w:rFonts w:ascii="Arial" w:hAnsi="Arial" w:cs="Arial"/>
          <w:sz w:val="22"/>
          <w:szCs w:val="22"/>
        </w:rPr>
        <w:t>Desarrollar la etapa de preinversión al interior de la Entidad, facilita a la Administración, la toma de decisiones en cuanto a la destinación de recursos futuros y la priorización de los proyectos en las siguientes etapas.</w:t>
      </w:r>
    </w:p>
    <w:p w:rsidR="00D03FD5" w:rsidRPr="00104F4B" w:rsidRDefault="00D03FD5" w:rsidP="00582748">
      <w:pPr>
        <w:pStyle w:val="Contenidodelatabla"/>
        <w:numPr>
          <w:ilvl w:val="0"/>
          <w:numId w:val="68"/>
        </w:numPr>
        <w:jc w:val="both"/>
        <w:rPr>
          <w:rFonts w:ascii="Arial" w:hAnsi="Arial" w:cs="Arial"/>
          <w:sz w:val="22"/>
          <w:szCs w:val="22"/>
        </w:rPr>
      </w:pPr>
      <w:r w:rsidRPr="00104F4B">
        <w:rPr>
          <w:rFonts w:ascii="Arial" w:hAnsi="Arial" w:cs="Arial"/>
          <w:sz w:val="22"/>
          <w:szCs w:val="22"/>
        </w:rPr>
        <w:t xml:space="preserve">Para un mejor desempeño en el control de los proyectos, se han generado coordinaciones de apoyo, encargados de la ejecución contractual para cada uno de los temas generales que desarrolla el área en el proceso de elaboración de los estudios y diseños. </w:t>
      </w:r>
    </w:p>
    <w:p w:rsidR="00D03FD5" w:rsidRPr="00104F4B" w:rsidRDefault="00D03FD5" w:rsidP="00582748">
      <w:pPr>
        <w:pStyle w:val="Contenidodelatabla"/>
        <w:numPr>
          <w:ilvl w:val="0"/>
          <w:numId w:val="68"/>
        </w:numPr>
        <w:jc w:val="both"/>
        <w:rPr>
          <w:rFonts w:ascii="Arial" w:hAnsi="Arial" w:cs="Arial"/>
          <w:sz w:val="22"/>
          <w:szCs w:val="22"/>
        </w:rPr>
      </w:pPr>
      <w:r w:rsidRPr="00104F4B">
        <w:rPr>
          <w:rFonts w:ascii="Arial" w:hAnsi="Arial" w:cs="Arial"/>
          <w:sz w:val="22"/>
          <w:szCs w:val="22"/>
        </w:rPr>
        <w:t>Los temas generales de vías, puentes, espacio público, Transmilenio y regalías, son controlados, actualizados y reportados en el Sistema de Gestión de Proyectos ZIPA.</w:t>
      </w:r>
    </w:p>
    <w:p w:rsidR="00D03FD5" w:rsidRPr="00104F4B" w:rsidRDefault="00D03FD5" w:rsidP="00582748">
      <w:pPr>
        <w:pStyle w:val="Contenidodelatabla"/>
        <w:numPr>
          <w:ilvl w:val="0"/>
          <w:numId w:val="68"/>
        </w:numPr>
        <w:jc w:val="both"/>
        <w:rPr>
          <w:rFonts w:ascii="Arial" w:hAnsi="Arial" w:cs="Arial"/>
          <w:sz w:val="22"/>
          <w:szCs w:val="22"/>
        </w:rPr>
      </w:pPr>
      <w:r w:rsidRPr="00104F4B">
        <w:rPr>
          <w:rFonts w:ascii="Arial" w:hAnsi="Arial" w:cs="Arial"/>
          <w:sz w:val="22"/>
          <w:szCs w:val="22"/>
        </w:rPr>
        <w:t xml:space="preserve">Se ha propuesto el desarrollo de reuniones de seguimiento contractual que involucre a cada especialista del IDU, de manera que las partes involucradas estén al tanto del desarrollo del </w:t>
      </w:r>
      <w:r w:rsidRPr="00104F4B">
        <w:rPr>
          <w:rFonts w:ascii="Arial" w:hAnsi="Arial" w:cs="Arial"/>
          <w:sz w:val="22"/>
          <w:szCs w:val="22"/>
        </w:rPr>
        <w:lastRenderedPageBreak/>
        <w:t xml:space="preserve">contrato y así poder generar las alertas tempranas y buscar soluciones para evitar desviaciones en cada componente del contrato. </w:t>
      </w:r>
    </w:p>
    <w:p w:rsidR="00D03FD5" w:rsidRPr="00104F4B" w:rsidRDefault="00D03FD5" w:rsidP="00582748">
      <w:pPr>
        <w:pStyle w:val="Contenidodelatabla"/>
        <w:numPr>
          <w:ilvl w:val="0"/>
          <w:numId w:val="68"/>
        </w:numPr>
        <w:jc w:val="both"/>
        <w:rPr>
          <w:rFonts w:ascii="Arial" w:hAnsi="Arial" w:cs="Arial"/>
          <w:sz w:val="22"/>
          <w:szCs w:val="22"/>
        </w:rPr>
      </w:pPr>
      <w:r w:rsidRPr="00104F4B">
        <w:rPr>
          <w:rFonts w:ascii="Arial" w:hAnsi="Arial" w:cs="Arial"/>
          <w:sz w:val="22"/>
          <w:szCs w:val="22"/>
        </w:rPr>
        <w:t xml:space="preserve">Para el eficiente desarrollo de las estructuraciones a cargo durante este periodo, se han implementado estrategias basadas en mesas de trabajo con el área ordenadora del gasto en primer lugar SGI, DTC y DTM y en segundo lugar, con el área jurídica que deberá publicar el proceso SGJ, DTGC y DTPS, previo a la primera radicación, con el fin de evitar reprocesos en la etapa precontractual. </w:t>
      </w:r>
    </w:p>
    <w:p w:rsidR="00D03FD5" w:rsidRPr="00104F4B" w:rsidRDefault="00D03FD5" w:rsidP="00582748">
      <w:pPr>
        <w:pStyle w:val="Contenidodelatabla"/>
        <w:numPr>
          <w:ilvl w:val="0"/>
          <w:numId w:val="68"/>
        </w:numPr>
        <w:jc w:val="both"/>
        <w:rPr>
          <w:rFonts w:ascii="Arial" w:hAnsi="Arial" w:cs="Arial"/>
          <w:sz w:val="22"/>
          <w:szCs w:val="22"/>
        </w:rPr>
      </w:pPr>
      <w:r w:rsidRPr="00104F4B">
        <w:rPr>
          <w:rFonts w:ascii="Arial" w:hAnsi="Arial" w:cs="Arial"/>
          <w:sz w:val="22"/>
          <w:szCs w:val="22"/>
        </w:rPr>
        <w:t>Seguimiento al desarrollo del programa para la conservación de la malla vial vigencias 2017- 2019, con el fin de garantizar la mayor cobertura en la atención de corredores pertenecientes a la malla vial arterial troncal y no troncal y malla vial que soporta rutas del SITP, optimizando la aplicación de los recursos disponibles para elevar el nivel de servicio de las vías, evitar el deterioro, prolongar la vida útil y mejorar las condiciones de movilidad de la ciudad.</w:t>
      </w:r>
    </w:p>
    <w:p w:rsidR="00D03FD5" w:rsidRPr="00104F4B" w:rsidRDefault="00D03FD5" w:rsidP="00582748">
      <w:pPr>
        <w:pStyle w:val="Contenidodelatabla"/>
        <w:numPr>
          <w:ilvl w:val="0"/>
          <w:numId w:val="68"/>
        </w:numPr>
        <w:jc w:val="both"/>
        <w:rPr>
          <w:rFonts w:ascii="Arial" w:hAnsi="Arial" w:cs="Arial"/>
          <w:sz w:val="22"/>
          <w:szCs w:val="22"/>
        </w:rPr>
      </w:pPr>
      <w:r w:rsidRPr="00104F4B">
        <w:rPr>
          <w:rFonts w:ascii="Arial" w:hAnsi="Arial" w:cs="Arial"/>
          <w:sz w:val="22"/>
          <w:szCs w:val="22"/>
        </w:rPr>
        <w:t>Se ofreció un plan de asesoría y asistencia técnica para una eficaz y eficiente ejecución de los proyectos locales de inversión en infraestructura vial y/o espacio público, con el fin de que se cumplan las políticas y metas establecidas en el PDD 2016-2020 “BOGOTÁ MEJOR PARA TODOS”, de tal forma que se garantice a la ciudad que las obras en el Sistema Vial del Distrito se realicen coordinada e integralmente.</w:t>
      </w:r>
    </w:p>
    <w:p w:rsidR="00D03FD5" w:rsidRPr="00104F4B" w:rsidRDefault="00D03FD5" w:rsidP="00582748">
      <w:pPr>
        <w:pStyle w:val="Contenidodelatabla"/>
        <w:numPr>
          <w:ilvl w:val="0"/>
          <w:numId w:val="68"/>
        </w:numPr>
        <w:jc w:val="both"/>
        <w:rPr>
          <w:rFonts w:ascii="Arial" w:hAnsi="Arial" w:cs="Arial"/>
          <w:sz w:val="22"/>
          <w:szCs w:val="22"/>
        </w:rPr>
      </w:pPr>
      <w:r w:rsidRPr="00104F4B">
        <w:rPr>
          <w:rFonts w:ascii="Arial" w:hAnsi="Arial" w:cs="Arial"/>
          <w:sz w:val="22"/>
          <w:szCs w:val="22"/>
        </w:rPr>
        <w:t xml:space="preserve">Emisión de conceptos previos y favorables para la contratación de proyectos locales de inversión en infraestructura vial y espacio público vigencia 2018, para garantizar coherencia con las líneas de inversión local, lineamientos y criterios de elegibilidad y </w:t>
      </w:r>
    </w:p>
    <w:p w:rsidR="00D03FD5" w:rsidRPr="00104F4B" w:rsidRDefault="00D03FD5" w:rsidP="00582748">
      <w:pPr>
        <w:pStyle w:val="Contenidodelatabla"/>
        <w:numPr>
          <w:ilvl w:val="0"/>
          <w:numId w:val="68"/>
        </w:numPr>
        <w:jc w:val="both"/>
        <w:rPr>
          <w:rFonts w:ascii="Arial" w:hAnsi="Arial" w:cs="Arial"/>
          <w:sz w:val="22"/>
          <w:szCs w:val="22"/>
        </w:rPr>
      </w:pPr>
      <w:r w:rsidRPr="00104F4B">
        <w:rPr>
          <w:rFonts w:ascii="Arial" w:hAnsi="Arial" w:cs="Arial"/>
          <w:sz w:val="22"/>
          <w:szCs w:val="22"/>
        </w:rPr>
        <w:t>viabilidad, especificaciones técnicas, emanadas del IDU y el cumplimiento del ciclo de vida de los proyectos.</w:t>
      </w:r>
    </w:p>
    <w:p w:rsidR="00D03FD5" w:rsidRPr="00104F4B" w:rsidRDefault="00D03FD5" w:rsidP="00582748">
      <w:pPr>
        <w:pStyle w:val="Contenidodelatabla"/>
        <w:numPr>
          <w:ilvl w:val="0"/>
          <w:numId w:val="68"/>
        </w:numPr>
        <w:jc w:val="both"/>
        <w:rPr>
          <w:rFonts w:ascii="Arial" w:hAnsi="Arial" w:cs="Arial"/>
          <w:sz w:val="22"/>
          <w:szCs w:val="22"/>
        </w:rPr>
      </w:pPr>
      <w:r w:rsidRPr="00104F4B">
        <w:rPr>
          <w:rFonts w:ascii="Arial" w:hAnsi="Arial" w:cs="Arial"/>
          <w:sz w:val="22"/>
          <w:szCs w:val="22"/>
        </w:rPr>
        <w:t xml:space="preserve">Estructuración de proyectos acordes con la estrategia de ordenamiento territorial del Distrito y la visión del PDD, logrando propuestas fundamentadas y con soportes urbanos. </w:t>
      </w:r>
    </w:p>
    <w:p w:rsidR="00D03FD5" w:rsidRPr="00104F4B" w:rsidRDefault="00D03FD5" w:rsidP="00582748">
      <w:pPr>
        <w:pStyle w:val="Contenidodelatabla"/>
        <w:numPr>
          <w:ilvl w:val="0"/>
          <w:numId w:val="68"/>
        </w:numPr>
        <w:jc w:val="both"/>
        <w:rPr>
          <w:rFonts w:ascii="Arial" w:hAnsi="Arial" w:cs="Arial"/>
          <w:sz w:val="22"/>
          <w:szCs w:val="22"/>
        </w:rPr>
      </w:pPr>
      <w:r w:rsidRPr="00104F4B">
        <w:rPr>
          <w:rFonts w:ascii="Arial" w:hAnsi="Arial" w:cs="Arial"/>
          <w:sz w:val="22"/>
          <w:szCs w:val="22"/>
        </w:rPr>
        <w:t>Elaboración de mesas de coordinación, que concluyen en lineamientos claros y concertados de intervención.</w:t>
      </w:r>
    </w:p>
    <w:p w:rsidR="00D03FD5" w:rsidRPr="00104F4B" w:rsidRDefault="00D03FD5" w:rsidP="00582748">
      <w:pPr>
        <w:pStyle w:val="Contenidodelatabla"/>
        <w:numPr>
          <w:ilvl w:val="0"/>
          <w:numId w:val="68"/>
        </w:numPr>
        <w:jc w:val="both"/>
        <w:rPr>
          <w:rFonts w:ascii="Arial" w:hAnsi="Arial" w:cs="Arial"/>
          <w:sz w:val="22"/>
          <w:szCs w:val="22"/>
        </w:rPr>
      </w:pPr>
      <w:r w:rsidRPr="00104F4B">
        <w:rPr>
          <w:rFonts w:ascii="Arial" w:hAnsi="Arial" w:cs="Arial"/>
          <w:sz w:val="22"/>
          <w:szCs w:val="22"/>
        </w:rPr>
        <w:t>Actualización del capítulo de espacio público de la Guía de factibilidades y pre factibilidades de proyectos IDU y de los Indicadores de espacio público por tipologías necesarias para el planeamiento.</w:t>
      </w:r>
    </w:p>
    <w:p w:rsidR="00D03FD5" w:rsidRPr="00104F4B" w:rsidRDefault="00D03FD5" w:rsidP="00582748">
      <w:pPr>
        <w:pStyle w:val="Contenidodelatabla"/>
        <w:numPr>
          <w:ilvl w:val="0"/>
          <w:numId w:val="68"/>
        </w:numPr>
        <w:jc w:val="both"/>
        <w:rPr>
          <w:rFonts w:ascii="Arial" w:hAnsi="Arial" w:cs="Arial"/>
          <w:sz w:val="22"/>
          <w:szCs w:val="22"/>
        </w:rPr>
      </w:pPr>
      <w:r w:rsidRPr="00104F4B">
        <w:rPr>
          <w:rFonts w:ascii="Arial" w:hAnsi="Arial" w:cs="Arial"/>
          <w:sz w:val="22"/>
          <w:szCs w:val="22"/>
        </w:rPr>
        <w:t>Elaboración del diagnóstico del Espacio Público y la Red de Ciclorrutas liderado por la DTE y de los conceptos técnicos para la definición de competencias y acciones para el mantenimiento de la Red de Ciclorrutas y el cumplimiento de la meta física del PDD y acompañamiento a la SDM en la revisión de la propuesta presentada por Steer Davies para la Red de Ciclorruta como parte del subsistema de transporte que hará parte del nuevo POT.</w:t>
      </w:r>
    </w:p>
    <w:p w:rsidR="00D03FD5" w:rsidRPr="00104F4B" w:rsidRDefault="00D03FD5" w:rsidP="00582748">
      <w:pPr>
        <w:pStyle w:val="Contenidodelatabla"/>
        <w:numPr>
          <w:ilvl w:val="0"/>
          <w:numId w:val="68"/>
        </w:numPr>
        <w:jc w:val="both"/>
        <w:rPr>
          <w:rFonts w:ascii="Arial" w:hAnsi="Arial" w:cs="Arial"/>
          <w:sz w:val="22"/>
          <w:szCs w:val="22"/>
        </w:rPr>
      </w:pPr>
      <w:r w:rsidRPr="00104F4B">
        <w:rPr>
          <w:rFonts w:ascii="Arial" w:hAnsi="Arial" w:cs="Arial"/>
          <w:sz w:val="22"/>
          <w:szCs w:val="22"/>
        </w:rPr>
        <w:t>Participación en la revisión del articulado del proyecto POT que se encuentra radicado en la CAR y que se presentará al concejo el primer semestre de 2019.</w:t>
      </w:r>
    </w:p>
    <w:p w:rsidR="00D03FD5" w:rsidRPr="00104F4B" w:rsidRDefault="00D03FD5" w:rsidP="00582748">
      <w:pPr>
        <w:pStyle w:val="Contenidodelatabla"/>
        <w:numPr>
          <w:ilvl w:val="0"/>
          <w:numId w:val="68"/>
        </w:numPr>
        <w:jc w:val="both"/>
        <w:rPr>
          <w:rFonts w:ascii="Arial" w:hAnsi="Arial" w:cs="Arial"/>
          <w:sz w:val="22"/>
          <w:szCs w:val="22"/>
        </w:rPr>
      </w:pPr>
      <w:r w:rsidRPr="00104F4B">
        <w:rPr>
          <w:rFonts w:ascii="Arial" w:hAnsi="Arial" w:cs="Arial"/>
          <w:sz w:val="22"/>
          <w:szCs w:val="22"/>
        </w:rPr>
        <w:t>Se modificó el marco normativo, alcance y responsabilidades de la Guía de Coordinación IDU, ESP y TIC para la ejecución de proyectos de Infraestructura de Transporte.</w:t>
      </w:r>
    </w:p>
    <w:p w:rsidR="00D03FD5" w:rsidRPr="00104F4B" w:rsidRDefault="00D03FD5" w:rsidP="00582748">
      <w:pPr>
        <w:pStyle w:val="Contenidodelatabla"/>
        <w:numPr>
          <w:ilvl w:val="0"/>
          <w:numId w:val="68"/>
        </w:numPr>
        <w:jc w:val="both"/>
        <w:rPr>
          <w:rFonts w:ascii="Arial" w:hAnsi="Arial" w:cs="Arial"/>
          <w:sz w:val="22"/>
          <w:szCs w:val="22"/>
        </w:rPr>
      </w:pPr>
      <w:r w:rsidRPr="00104F4B">
        <w:rPr>
          <w:rFonts w:ascii="Arial" w:hAnsi="Arial" w:cs="Arial"/>
          <w:sz w:val="22"/>
          <w:szCs w:val="22"/>
        </w:rPr>
        <w:t>Se elaboró y remitió a las ESP, las propuestas de Convenios Marco entre el IDU y Tigo-UNE y Telmex, base para la concertación de los citados convenios.</w:t>
      </w:r>
    </w:p>
    <w:p w:rsidR="00D03FD5" w:rsidRPr="00104F4B" w:rsidRDefault="00D03FD5" w:rsidP="00582748">
      <w:pPr>
        <w:pStyle w:val="Contenidodelatabla"/>
        <w:numPr>
          <w:ilvl w:val="0"/>
          <w:numId w:val="68"/>
        </w:numPr>
        <w:jc w:val="both"/>
        <w:rPr>
          <w:rFonts w:ascii="Arial" w:hAnsi="Arial" w:cs="Arial"/>
          <w:sz w:val="22"/>
          <w:szCs w:val="22"/>
        </w:rPr>
      </w:pPr>
      <w:r w:rsidRPr="00104F4B">
        <w:rPr>
          <w:rFonts w:ascii="Arial" w:hAnsi="Arial" w:cs="Arial"/>
          <w:sz w:val="22"/>
          <w:szCs w:val="22"/>
        </w:rPr>
        <w:t>Planes Complementarios: Con el fin de identificar las dificultades generadas dentro del proceso de formulación y adopción de estos instrumentos, y plantear soluciones puntuales que impulsen el mejoramiento de este proceso, se han adelantado mesas de trabajo desarrolladas el 11 de julio y 01 de agosto de 2018 con las Secretarias Distritales de Planeación y Movilidad.</w:t>
      </w:r>
    </w:p>
    <w:p w:rsidR="00D03FD5" w:rsidRPr="005C3D90" w:rsidRDefault="00D03FD5" w:rsidP="00582748">
      <w:pPr>
        <w:pStyle w:val="Contenidodelatabla"/>
        <w:numPr>
          <w:ilvl w:val="0"/>
          <w:numId w:val="68"/>
        </w:numPr>
        <w:jc w:val="both"/>
        <w:rPr>
          <w:rFonts w:ascii="Arial" w:hAnsi="Arial" w:cs="Arial"/>
          <w:sz w:val="22"/>
          <w:szCs w:val="22"/>
        </w:rPr>
      </w:pPr>
      <w:r w:rsidRPr="005C3D90">
        <w:rPr>
          <w:rFonts w:ascii="Arial" w:hAnsi="Arial" w:cs="Arial"/>
          <w:sz w:val="22"/>
          <w:szCs w:val="22"/>
        </w:rPr>
        <w:t xml:space="preserve">En el proceso de participación en la etapa de formulación de los instrumentos de </w:t>
      </w:r>
      <w:r w:rsidR="00221927" w:rsidRPr="005C3D90">
        <w:rPr>
          <w:rFonts w:ascii="Arial" w:hAnsi="Arial" w:cs="Arial"/>
          <w:sz w:val="22"/>
          <w:szCs w:val="22"/>
        </w:rPr>
        <w:t>Planeación</w:t>
      </w:r>
      <w:r w:rsidRPr="005C3D90">
        <w:rPr>
          <w:rFonts w:ascii="Arial" w:hAnsi="Arial" w:cs="Arial"/>
          <w:sz w:val="22"/>
          <w:szCs w:val="22"/>
        </w:rPr>
        <w:t xml:space="preserve"> desde la SGDU, se generaron veintitrés (23) conceptos técnicos en el 2018.  A continuación, se relacionan los principales logros obtenidos en relación con la gestión de Convenios de Cooperación y los que fueron suscritos en la vigencia 2018:</w:t>
      </w:r>
    </w:p>
    <w:p w:rsidR="00D03FD5" w:rsidRPr="00104F4B" w:rsidRDefault="00D03FD5" w:rsidP="00D03FD5">
      <w:pPr>
        <w:contextualSpacing/>
        <w:rPr>
          <w:rFonts w:cs="Arial"/>
          <w:b/>
          <w:szCs w:val="22"/>
        </w:rPr>
      </w:pPr>
    </w:p>
    <w:p w:rsidR="00D03FD5" w:rsidRPr="00104F4B" w:rsidRDefault="00D03FD5" w:rsidP="00D03FD5">
      <w:pPr>
        <w:contextualSpacing/>
        <w:rPr>
          <w:rFonts w:cs="Arial"/>
          <w:sz w:val="16"/>
          <w:szCs w:val="16"/>
        </w:rPr>
      </w:pPr>
      <w:r w:rsidRPr="00104F4B">
        <w:rPr>
          <w:rFonts w:cs="Arial"/>
          <w:sz w:val="16"/>
          <w:szCs w:val="16"/>
        </w:rPr>
        <w:t>SGDU- GESTIÓN DE CONVENIOS DE COOPERACIÓN VIGENCIA 2018</w:t>
      </w:r>
    </w:p>
    <w:tbl>
      <w:tblPr>
        <w:tblW w:w="10207"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3"/>
        <w:gridCol w:w="425"/>
        <w:gridCol w:w="2552"/>
        <w:gridCol w:w="992"/>
        <w:gridCol w:w="1276"/>
        <w:gridCol w:w="3969"/>
      </w:tblGrid>
      <w:tr w:rsidR="00221927" w:rsidRPr="00104F4B" w:rsidTr="00221927">
        <w:trPr>
          <w:trHeight w:val="407"/>
          <w:tblHeader/>
        </w:trPr>
        <w:tc>
          <w:tcPr>
            <w:tcW w:w="993" w:type="dxa"/>
            <w:shd w:val="clear" w:color="auto" w:fill="808080" w:themeFill="background1" w:themeFillShade="80"/>
            <w:vAlign w:val="center"/>
          </w:tcPr>
          <w:p w:rsidR="00D03FD5" w:rsidRPr="00104F4B" w:rsidRDefault="00D03FD5" w:rsidP="0039410F">
            <w:pPr>
              <w:rPr>
                <w:rFonts w:cs="Arial"/>
                <w:b/>
                <w:bCs/>
                <w:sz w:val="16"/>
                <w:szCs w:val="16"/>
                <w:lang w:eastAsia="es-CO"/>
              </w:rPr>
            </w:pPr>
            <w:r w:rsidRPr="00104F4B">
              <w:rPr>
                <w:rFonts w:cs="Arial"/>
                <w:b/>
                <w:bCs/>
                <w:sz w:val="16"/>
                <w:szCs w:val="16"/>
                <w:lang w:eastAsia="es-CO"/>
              </w:rPr>
              <w:t>Fecha Reporte</w:t>
            </w:r>
          </w:p>
        </w:tc>
        <w:tc>
          <w:tcPr>
            <w:tcW w:w="425" w:type="dxa"/>
            <w:shd w:val="clear" w:color="auto" w:fill="808080" w:themeFill="background1" w:themeFillShade="80"/>
            <w:vAlign w:val="center"/>
            <w:hideMark/>
          </w:tcPr>
          <w:p w:rsidR="00D03FD5" w:rsidRPr="00104F4B" w:rsidRDefault="00D03FD5" w:rsidP="0039410F">
            <w:pPr>
              <w:rPr>
                <w:rFonts w:cs="Arial"/>
                <w:b/>
                <w:bCs/>
                <w:sz w:val="16"/>
                <w:szCs w:val="16"/>
                <w:lang w:eastAsia="es-CO"/>
              </w:rPr>
            </w:pPr>
            <w:r w:rsidRPr="00104F4B">
              <w:rPr>
                <w:rFonts w:cs="Arial"/>
                <w:b/>
                <w:bCs/>
                <w:sz w:val="16"/>
                <w:szCs w:val="16"/>
                <w:lang w:eastAsia="es-CO"/>
              </w:rPr>
              <w:t>No.</w:t>
            </w:r>
          </w:p>
        </w:tc>
        <w:tc>
          <w:tcPr>
            <w:tcW w:w="2552" w:type="dxa"/>
            <w:shd w:val="clear" w:color="auto" w:fill="808080" w:themeFill="background1" w:themeFillShade="80"/>
            <w:vAlign w:val="center"/>
            <w:hideMark/>
          </w:tcPr>
          <w:p w:rsidR="00D03FD5" w:rsidRPr="00104F4B" w:rsidRDefault="00D03FD5" w:rsidP="0039410F">
            <w:pPr>
              <w:rPr>
                <w:rFonts w:cs="Arial"/>
                <w:b/>
                <w:bCs/>
                <w:sz w:val="16"/>
                <w:szCs w:val="16"/>
                <w:lang w:eastAsia="es-CO"/>
              </w:rPr>
            </w:pPr>
            <w:r w:rsidRPr="00104F4B">
              <w:rPr>
                <w:rFonts w:cs="Arial"/>
                <w:b/>
                <w:bCs/>
                <w:sz w:val="16"/>
                <w:szCs w:val="16"/>
                <w:lang w:eastAsia="es-CO"/>
              </w:rPr>
              <w:t>PROYECTO</w:t>
            </w:r>
          </w:p>
        </w:tc>
        <w:tc>
          <w:tcPr>
            <w:tcW w:w="992" w:type="dxa"/>
            <w:shd w:val="clear" w:color="auto" w:fill="808080" w:themeFill="background1" w:themeFillShade="80"/>
            <w:vAlign w:val="center"/>
            <w:hideMark/>
          </w:tcPr>
          <w:p w:rsidR="00D03FD5" w:rsidRPr="00104F4B" w:rsidRDefault="00D03FD5" w:rsidP="0039410F">
            <w:pPr>
              <w:rPr>
                <w:rFonts w:cs="Arial"/>
                <w:b/>
                <w:bCs/>
                <w:sz w:val="16"/>
                <w:szCs w:val="16"/>
                <w:lang w:eastAsia="es-CO"/>
              </w:rPr>
            </w:pPr>
            <w:r w:rsidRPr="00104F4B">
              <w:rPr>
                <w:rFonts w:cs="Arial"/>
                <w:b/>
                <w:bCs/>
                <w:sz w:val="16"/>
                <w:szCs w:val="16"/>
                <w:lang w:eastAsia="es-CO"/>
              </w:rPr>
              <w:t>CONVENIO</w:t>
            </w:r>
          </w:p>
        </w:tc>
        <w:tc>
          <w:tcPr>
            <w:tcW w:w="1276" w:type="dxa"/>
            <w:shd w:val="clear" w:color="auto" w:fill="808080" w:themeFill="background1" w:themeFillShade="80"/>
            <w:vAlign w:val="center"/>
            <w:hideMark/>
          </w:tcPr>
          <w:p w:rsidR="00D03FD5" w:rsidRPr="00104F4B" w:rsidRDefault="00D03FD5" w:rsidP="0039410F">
            <w:pPr>
              <w:rPr>
                <w:rFonts w:cs="Arial"/>
                <w:b/>
                <w:bCs/>
                <w:sz w:val="16"/>
                <w:szCs w:val="16"/>
                <w:lang w:eastAsia="es-CO"/>
              </w:rPr>
            </w:pPr>
            <w:r w:rsidRPr="00104F4B">
              <w:rPr>
                <w:rFonts w:cs="Arial"/>
                <w:b/>
                <w:bCs/>
                <w:sz w:val="16"/>
                <w:szCs w:val="16"/>
                <w:lang w:eastAsia="es-CO"/>
              </w:rPr>
              <w:t>VALOR</w:t>
            </w:r>
            <w:r w:rsidRPr="00104F4B">
              <w:rPr>
                <w:rFonts w:cs="Arial"/>
                <w:b/>
                <w:bCs/>
                <w:sz w:val="16"/>
                <w:szCs w:val="16"/>
                <w:lang w:eastAsia="es-CO"/>
              </w:rPr>
              <w:br/>
              <w:t>En millones de pesos</w:t>
            </w:r>
          </w:p>
        </w:tc>
        <w:tc>
          <w:tcPr>
            <w:tcW w:w="3969" w:type="dxa"/>
            <w:shd w:val="clear" w:color="auto" w:fill="808080" w:themeFill="background1" w:themeFillShade="80"/>
            <w:vAlign w:val="center"/>
          </w:tcPr>
          <w:p w:rsidR="00D03FD5" w:rsidRPr="00104F4B" w:rsidRDefault="00D03FD5" w:rsidP="0039410F">
            <w:pPr>
              <w:rPr>
                <w:rFonts w:cs="Arial"/>
                <w:b/>
                <w:bCs/>
                <w:sz w:val="16"/>
                <w:szCs w:val="16"/>
                <w:lang w:eastAsia="es-CO"/>
              </w:rPr>
            </w:pPr>
            <w:r w:rsidRPr="00104F4B">
              <w:rPr>
                <w:rFonts w:cs="Arial"/>
                <w:b/>
                <w:bCs/>
                <w:sz w:val="16"/>
                <w:szCs w:val="16"/>
                <w:lang w:eastAsia="es-CO"/>
              </w:rPr>
              <w:t>Estado Actual*</w:t>
            </w:r>
          </w:p>
        </w:tc>
      </w:tr>
      <w:tr w:rsidR="00221927" w:rsidRPr="00104F4B" w:rsidTr="00221927">
        <w:trPr>
          <w:trHeight w:val="261"/>
        </w:trPr>
        <w:tc>
          <w:tcPr>
            <w:tcW w:w="993" w:type="dxa"/>
            <w:shd w:val="clear" w:color="auto" w:fill="D9D9D9" w:themeFill="background1" w:themeFillShade="D9"/>
            <w:vAlign w:val="center"/>
          </w:tcPr>
          <w:p w:rsidR="00D03FD5" w:rsidRPr="00104F4B" w:rsidRDefault="00D03FD5" w:rsidP="0039410F">
            <w:pPr>
              <w:rPr>
                <w:rFonts w:cs="Arial"/>
                <w:bCs/>
                <w:sz w:val="16"/>
                <w:szCs w:val="16"/>
                <w:lang w:eastAsia="es-CO"/>
              </w:rPr>
            </w:pPr>
            <w:r w:rsidRPr="00104F4B">
              <w:rPr>
                <w:rFonts w:cs="Arial"/>
                <w:bCs/>
                <w:sz w:val="16"/>
                <w:szCs w:val="16"/>
                <w:lang w:eastAsia="es-CO"/>
              </w:rPr>
              <w:t>I Trimestre</w:t>
            </w:r>
          </w:p>
        </w:tc>
        <w:tc>
          <w:tcPr>
            <w:tcW w:w="425" w:type="dxa"/>
            <w:shd w:val="clear" w:color="auto" w:fill="auto"/>
            <w:vAlign w:val="center"/>
            <w:hideMark/>
          </w:tcPr>
          <w:p w:rsidR="00D03FD5" w:rsidRPr="00104F4B" w:rsidRDefault="00D03FD5" w:rsidP="0039410F">
            <w:pPr>
              <w:rPr>
                <w:rFonts w:cs="Arial"/>
                <w:b/>
                <w:bCs/>
                <w:sz w:val="16"/>
                <w:szCs w:val="16"/>
                <w:lang w:eastAsia="es-CO"/>
              </w:rPr>
            </w:pPr>
            <w:r w:rsidRPr="00104F4B">
              <w:rPr>
                <w:rFonts w:cs="Arial"/>
                <w:b/>
                <w:bCs/>
                <w:sz w:val="16"/>
                <w:szCs w:val="16"/>
                <w:lang w:eastAsia="es-CO"/>
              </w:rPr>
              <w:t>1</w:t>
            </w:r>
          </w:p>
        </w:tc>
        <w:tc>
          <w:tcPr>
            <w:tcW w:w="2552" w:type="dxa"/>
            <w:shd w:val="clear" w:color="000000" w:fill="FFFFFF"/>
            <w:vAlign w:val="center"/>
          </w:tcPr>
          <w:p w:rsidR="00D03FD5" w:rsidRPr="00104F4B" w:rsidRDefault="00D03FD5" w:rsidP="0039410F">
            <w:pPr>
              <w:rPr>
                <w:rFonts w:cs="Arial"/>
                <w:color w:val="000000"/>
                <w:sz w:val="16"/>
                <w:szCs w:val="16"/>
                <w:lang w:eastAsia="es-CO"/>
              </w:rPr>
            </w:pPr>
            <w:r w:rsidRPr="00104F4B">
              <w:rPr>
                <w:rFonts w:cs="Arial"/>
                <w:color w:val="000000"/>
                <w:sz w:val="16"/>
                <w:szCs w:val="16"/>
                <w:lang w:eastAsia="es-CO"/>
              </w:rPr>
              <w:t>Fideicomiso Lagos de Torca (Convenio Marco)</w:t>
            </w:r>
          </w:p>
        </w:tc>
        <w:tc>
          <w:tcPr>
            <w:tcW w:w="992" w:type="dxa"/>
            <w:shd w:val="clear" w:color="000000" w:fill="FFFFFF"/>
            <w:noWrap/>
            <w:vAlign w:val="center"/>
          </w:tcPr>
          <w:p w:rsidR="00D03FD5" w:rsidRPr="00104F4B" w:rsidRDefault="00D03FD5" w:rsidP="0039410F">
            <w:pPr>
              <w:rPr>
                <w:rFonts w:cs="Arial"/>
                <w:color w:val="000000"/>
                <w:sz w:val="16"/>
                <w:szCs w:val="16"/>
                <w:lang w:eastAsia="es-CO"/>
              </w:rPr>
            </w:pPr>
            <w:r w:rsidRPr="00104F4B">
              <w:rPr>
                <w:rFonts w:cs="Arial"/>
                <w:color w:val="000000"/>
                <w:sz w:val="16"/>
                <w:szCs w:val="16"/>
                <w:lang w:eastAsia="es-CO"/>
              </w:rPr>
              <w:t>1284-2018</w:t>
            </w:r>
          </w:p>
        </w:tc>
        <w:tc>
          <w:tcPr>
            <w:tcW w:w="1276" w:type="dxa"/>
            <w:shd w:val="clear" w:color="000000" w:fill="FFFFFF"/>
            <w:noWrap/>
            <w:vAlign w:val="center"/>
          </w:tcPr>
          <w:p w:rsidR="00D03FD5" w:rsidRPr="00104F4B" w:rsidRDefault="00D03FD5" w:rsidP="00221927">
            <w:pPr>
              <w:jc w:val="right"/>
              <w:rPr>
                <w:rFonts w:cs="Arial"/>
                <w:color w:val="000000"/>
                <w:sz w:val="16"/>
                <w:szCs w:val="16"/>
                <w:lang w:eastAsia="es-CO"/>
              </w:rPr>
            </w:pPr>
            <w:r w:rsidRPr="00104F4B">
              <w:rPr>
                <w:rFonts w:cs="Arial"/>
                <w:color w:val="000000"/>
                <w:sz w:val="16"/>
                <w:szCs w:val="16"/>
                <w:lang w:eastAsia="es-CO"/>
              </w:rPr>
              <w:t>N.A. </w:t>
            </w:r>
          </w:p>
        </w:tc>
        <w:tc>
          <w:tcPr>
            <w:tcW w:w="3969" w:type="dxa"/>
            <w:shd w:val="clear" w:color="000000" w:fill="FFFFFF"/>
            <w:vAlign w:val="center"/>
          </w:tcPr>
          <w:p w:rsidR="00D03FD5" w:rsidRPr="00104F4B" w:rsidRDefault="00D03FD5" w:rsidP="0039410F">
            <w:pPr>
              <w:rPr>
                <w:rFonts w:cs="Arial"/>
                <w:color w:val="000000"/>
                <w:sz w:val="16"/>
                <w:szCs w:val="16"/>
                <w:lang w:eastAsia="es-CO"/>
              </w:rPr>
            </w:pPr>
            <w:r w:rsidRPr="00104F4B">
              <w:rPr>
                <w:rFonts w:cs="Arial"/>
                <w:color w:val="000000"/>
                <w:sz w:val="16"/>
                <w:szCs w:val="16"/>
                <w:lang w:eastAsia="es-CO"/>
              </w:rPr>
              <w:t xml:space="preserve">En ejecución. (Apoyo a la supervisión Santiago Tamayo - DTP) </w:t>
            </w:r>
          </w:p>
        </w:tc>
      </w:tr>
      <w:tr w:rsidR="00221927" w:rsidRPr="00104F4B" w:rsidTr="00221927">
        <w:trPr>
          <w:trHeight w:val="265"/>
        </w:trPr>
        <w:tc>
          <w:tcPr>
            <w:tcW w:w="993" w:type="dxa"/>
            <w:vMerge w:val="restart"/>
            <w:shd w:val="clear" w:color="auto" w:fill="D9D9D9" w:themeFill="background1" w:themeFillShade="D9"/>
            <w:vAlign w:val="center"/>
          </w:tcPr>
          <w:p w:rsidR="00D03FD5" w:rsidRPr="00104F4B" w:rsidRDefault="00D03FD5" w:rsidP="0039410F">
            <w:pPr>
              <w:rPr>
                <w:rFonts w:cs="Arial"/>
                <w:b/>
                <w:bCs/>
                <w:sz w:val="16"/>
                <w:szCs w:val="16"/>
                <w:lang w:eastAsia="es-CO"/>
              </w:rPr>
            </w:pPr>
            <w:r w:rsidRPr="00104F4B">
              <w:rPr>
                <w:rFonts w:cs="Arial"/>
                <w:bCs/>
                <w:sz w:val="16"/>
                <w:szCs w:val="16"/>
                <w:lang w:eastAsia="es-CO"/>
              </w:rPr>
              <w:t>II Trimestre</w:t>
            </w:r>
          </w:p>
        </w:tc>
        <w:tc>
          <w:tcPr>
            <w:tcW w:w="425" w:type="dxa"/>
            <w:shd w:val="clear" w:color="auto" w:fill="auto"/>
            <w:vAlign w:val="center"/>
            <w:hideMark/>
          </w:tcPr>
          <w:p w:rsidR="00D03FD5" w:rsidRPr="00104F4B" w:rsidRDefault="00D03FD5" w:rsidP="0039410F">
            <w:pPr>
              <w:rPr>
                <w:rFonts w:cs="Arial"/>
                <w:b/>
                <w:bCs/>
                <w:sz w:val="16"/>
                <w:szCs w:val="16"/>
                <w:lang w:eastAsia="es-CO"/>
              </w:rPr>
            </w:pPr>
          </w:p>
        </w:tc>
        <w:tc>
          <w:tcPr>
            <w:tcW w:w="2552" w:type="dxa"/>
            <w:shd w:val="clear" w:color="000000" w:fill="FFFFFF"/>
            <w:vAlign w:val="center"/>
          </w:tcPr>
          <w:p w:rsidR="00D03FD5" w:rsidRPr="00104F4B" w:rsidRDefault="00D03FD5" w:rsidP="0039410F">
            <w:pPr>
              <w:rPr>
                <w:rFonts w:cs="Arial"/>
                <w:color w:val="000000"/>
                <w:sz w:val="16"/>
                <w:szCs w:val="16"/>
                <w:lang w:eastAsia="es-CO"/>
              </w:rPr>
            </w:pPr>
            <w:r w:rsidRPr="00104F4B">
              <w:rPr>
                <w:rFonts w:cs="Arial"/>
                <w:color w:val="000000"/>
                <w:sz w:val="16"/>
                <w:szCs w:val="16"/>
                <w:lang w:eastAsia="es-CO"/>
              </w:rPr>
              <w:t>Acta de Compromiso Centro Comercial Metrópolis</w:t>
            </w:r>
          </w:p>
        </w:tc>
        <w:tc>
          <w:tcPr>
            <w:tcW w:w="992" w:type="dxa"/>
            <w:shd w:val="clear" w:color="000000" w:fill="FFFFFF"/>
            <w:noWrap/>
            <w:vAlign w:val="center"/>
          </w:tcPr>
          <w:p w:rsidR="00D03FD5" w:rsidRPr="00104F4B" w:rsidRDefault="00D03FD5" w:rsidP="0039410F">
            <w:pPr>
              <w:rPr>
                <w:rFonts w:cs="Arial"/>
                <w:color w:val="000000"/>
                <w:sz w:val="16"/>
                <w:szCs w:val="16"/>
                <w:lang w:eastAsia="es-CO"/>
              </w:rPr>
            </w:pPr>
            <w:r w:rsidRPr="00104F4B">
              <w:rPr>
                <w:rFonts w:cs="Arial"/>
                <w:color w:val="000000"/>
                <w:sz w:val="16"/>
                <w:szCs w:val="16"/>
                <w:lang w:eastAsia="es-CO"/>
              </w:rPr>
              <w:t>1313-2018</w:t>
            </w:r>
          </w:p>
        </w:tc>
        <w:tc>
          <w:tcPr>
            <w:tcW w:w="1276" w:type="dxa"/>
            <w:shd w:val="clear" w:color="000000" w:fill="FFFFFF"/>
            <w:noWrap/>
            <w:vAlign w:val="center"/>
          </w:tcPr>
          <w:p w:rsidR="00D03FD5" w:rsidRPr="00104F4B" w:rsidRDefault="00D03FD5" w:rsidP="00221927">
            <w:pPr>
              <w:jc w:val="right"/>
              <w:rPr>
                <w:rFonts w:cs="Arial"/>
                <w:color w:val="000000"/>
                <w:sz w:val="16"/>
                <w:szCs w:val="16"/>
                <w:lang w:eastAsia="es-CO"/>
              </w:rPr>
            </w:pPr>
            <w:r w:rsidRPr="00104F4B">
              <w:rPr>
                <w:rFonts w:cs="Arial"/>
                <w:color w:val="000000"/>
                <w:sz w:val="16"/>
                <w:szCs w:val="16"/>
                <w:lang w:eastAsia="es-CO"/>
              </w:rPr>
              <w:t xml:space="preserve"> $     2.333 </w:t>
            </w:r>
          </w:p>
        </w:tc>
        <w:tc>
          <w:tcPr>
            <w:tcW w:w="3969" w:type="dxa"/>
            <w:shd w:val="clear" w:color="000000" w:fill="FFFFFF"/>
            <w:vAlign w:val="center"/>
          </w:tcPr>
          <w:p w:rsidR="00D03FD5" w:rsidRPr="00104F4B" w:rsidRDefault="00D03FD5" w:rsidP="0039410F">
            <w:pPr>
              <w:rPr>
                <w:rFonts w:cs="Arial"/>
                <w:color w:val="000000"/>
                <w:sz w:val="16"/>
                <w:szCs w:val="16"/>
                <w:lang w:eastAsia="es-CO"/>
              </w:rPr>
            </w:pPr>
            <w:r w:rsidRPr="00104F4B">
              <w:rPr>
                <w:rFonts w:cs="Arial"/>
                <w:color w:val="000000"/>
                <w:sz w:val="16"/>
                <w:szCs w:val="16"/>
                <w:lang w:eastAsia="es-CO"/>
              </w:rPr>
              <w:t>En etapa de estudios y diseños. (Apoyo a la supervisión Mauricio Yasno - DTP) - Proyecto reportado en la vigencia 2017</w:t>
            </w:r>
          </w:p>
        </w:tc>
      </w:tr>
      <w:tr w:rsidR="00221927" w:rsidRPr="00104F4B" w:rsidTr="00221927">
        <w:trPr>
          <w:trHeight w:val="257"/>
        </w:trPr>
        <w:tc>
          <w:tcPr>
            <w:tcW w:w="993" w:type="dxa"/>
            <w:vMerge/>
            <w:shd w:val="clear" w:color="auto" w:fill="D9D9D9" w:themeFill="background1" w:themeFillShade="D9"/>
          </w:tcPr>
          <w:p w:rsidR="00D03FD5" w:rsidRPr="00104F4B" w:rsidRDefault="00D03FD5" w:rsidP="0039410F">
            <w:pPr>
              <w:rPr>
                <w:rFonts w:cs="Arial"/>
                <w:b/>
                <w:bCs/>
                <w:sz w:val="16"/>
                <w:szCs w:val="16"/>
                <w:lang w:eastAsia="es-CO"/>
              </w:rPr>
            </w:pPr>
          </w:p>
        </w:tc>
        <w:tc>
          <w:tcPr>
            <w:tcW w:w="425" w:type="dxa"/>
            <w:shd w:val="clear" w:color="auto" w:fill="auto"/>
            <w:vAlign w:val="center"/>
            <w:hideMark/>
          </w:tcPr>
          <w:p w:rsidR="00D03FD5" w:rsidRPr="00104F4B" w:rsidRDefault="00D03FD5" w:rsidP="0039410F">
            <w:pPr>
              <w:rPr>
                <w:rFonts w:cs="Arial"/>
                <w:b/>
                <w:bCs/>
                <w:sz w:val="16"/>
                <w:szCs w:val="16"/>
                <w:lang w:eastAsia="es-CO"/>
              </w:rPr>
            </w:pPr>
            <w:r w:rsidRPr="00104F4B">
              <w:rPr>
                <w:rFonts w:cs="Arial"/>
                <w:b/>
                <w:bCs/>
                <w:sz w:val="16"/>
                <w:szCs w:val="16"/>
                <w:lang w:eastAsia="es-CO"/>
              </w:rPr>
              <w:t>2</w:t>
            </w:r>
          </w:p>
        </w:tc>
        <w:tc>
          <w:tcPr>
            <w:tcW w:w="2552" w:type="dxa"/>
            <w:shd w:val="clear" w:color="000000" w:fill="FFFFFF"/>
            <w:vAlign w:val="center"/>
          </w:tcPr>
          <w:p w:rsidR="00D03FD5" w:rsidRPr="00104F4B" w:rsidRDefault="00D03FD5" w:rsidP="0039410F">
            <w:pPr>
              <w:rPr>
                <w:rFonts w:cs="Arial"/>
                <w:color w:val="000000"/>
                <w:sz w:val="16"/>
                <w:szCs w:val="16"/>
                <w:lang w:eastAsia="es-CO"/>
              </w:rPr>
            </w:pPr>
            <w:r w:rsidRPr="00104F4B">
              <w:rPr>
                <w:rFonts w:cs="Arial"/>
                <w:color w:val="000000"/>
                <w:sz w:val="16"/>
                <w:szCs w:val="16"/>
                <w:lang w:eastAsia="es-CO"/>
              </w:rPr>
              <w:t>Plan de Regularización y Manejo CESA</w:t>
            </w:r>
          </w:p>
        </w:tc>
        <w:tc>
          <w:tcPr>
            <w:tcW w:w="992" w:type="dxa"/>
            <w:shd w:val="clear" w:color="000000" w:fill="FFFFFF"/>
            <w:noWrap/>
            <w:vAlign w:val="center"/>
          </w:tcPr>
          <w:p w:rsidR="00D03FD5" w:rsidRPr="00104F4B" w:rsidRDefault="00D03FD5" w:rsidP="0039410F">
            <w:pPr>
              <w:rPr>
                <w:rFonts w:cs="Arial"/>
                <w:color w:val="000000"/>
                <w:sz w:val="16"/>
                <w:szCs w:val="16"/>
                <w:lang w:eastAsia="es-CO"/>
              </w:rPr>
            </w:pPr>
            <w:r w:rsidRPr="00104F4B">
              <w:rPr>
                <w:rFonts w:cs="Arial"/>
                <w:color w:val="000000"/>
                <w:sz w:val="16"/>
                <w:szCs w:val="16"/>
                <w:lang w:eastAsia="es-CO"/>
              </w:rPr>
              <w:t>1406-2018</w:t>
            </w:r>
          </w:p>
        </w:tc>
        <w:tc>
          <w:tcPr>
            <w:tcW w:w="1276" w:type="dxa"/>
            <w:shd w:val="clear" w:color="000000" w:fill="FFFFFF"/>
            <w:vAlign w:val="center"/>
          </w:tcPr>
          <w:p w:rsidR="00D03FD5" w:rsidRPr="00104F4B" w:rsidRDefault="00D03FD5" w:rsidP="00221927">
            <w:pPr>
              <w:jc w:val="right"/>
              <w:rPr>
                <w:rFonts w:cs="Arial"/>
                <w:color w:val="000000"/>
                <w:sz w:val="16"/>
                <w:szCs w:val="16"/>
                <w:lang w:eastAsia="es-CO"/>
              </w:rPr>
            </w:pPr>
            <w:r w:rsidRPr="00104F4B">
              <w:rPr>
                <w:rFonts w:cs="Arial"/>
                <w:color w:val="000000"/>
                <w:sz w:val="16"/>
                <w:szCs w:val="16"/>
                <w:lang w:eastAsia="es-CO"/>
              </w:rPr>
              <w:t xml:space="preserve"> $     4.426 </w:t>
            </w:r>
          </w:p>
        </w:tc>
        <w:tc>
          <w:tcPr>
            <w:tcW w:w="3969" w:type="dxa"/>
            <w:shd w:val="clear" w:color="000000" w:fill="FFFFFF"/>
            <w:vAlign w:val="center"/>
          </w:tcPr>
          <w:p w:rsidR="00D03FD5" w:rsidRPr="00104F4B" w:rsidRDefault="00D03FD5" w:rsidP="0039410F">
            <w:pPr>
              <w:rPr>
                <w:rFonts w:cs="Arial"/>
                <w:color w:val="000000"/>
                <w:sz w:val="16"/>
                <w:szCs w:val="16"/>
                <w:lang w:eastAsia="es-CO"/>
              </w:rPr>
            </w:pPr>
            <w:r w:rsidRPr="00104F4B">
              <w:rPr>
                <w:rFonts w:cs="Arial"/>
                <w:color w:val="000000"/>
                <w:sz w:val="16"/>
                <w:szCs w:val="16"/>
                <w:lang w:eastAsia="es-CO"/>
              </w:rPr>
              <w:t>En proceso de contratación de interventoría previo a la firma del Acta de Inicio. (Apoyo a la supervisión Carlos Sabogal- DTP)</w:t>
            </w:r>
          </w:p>
        </w:tc>
      </w:tr>
      <w:tr w:rsidR="00221927" w:rsidRPr="00104F4B" w:rsidTr="00221927">
        <w:trPr>
          <w:trHeight w:val="264"/>
        </w:trPr>
        <w:tc>
          <w:tcPr>
            <w:tcW w:w="993" w:type="dxa"/>
            <w:vMerge/>
            <w:tcBorders>
              <w:bottom w:val="single" w:sz="4" w:space="0" w:color="auto"/>
            </w:tcBorders>
            <w:shd w:val="clear" w:color="auto" w:fill="D9D9D9" w:themeFill="background1" w:themeFillShade="D9"/>
          </w:tcPr>
          <w:p w:rsidR="00D03FD5" w:rsidRPr="00104F4B" w:rsidRDefault="00D03FD5" w:rsidP="0039410F">
            <w:pPr>
              <w:rPr>
                <w:rFonts w:cs="Arial"/>
                <w:b/>
                <w:bCs/>
                <w:sz w:val="16"/>
                <w:szCs w:val="16"/>
                <w:lang w:eastAsia="es-CO"/>
              </w:rPr>
            </w:pPr>
          </w:p>
        </w:tc>
        <w:tc>
          <w:tcPr>
            <w:tcW w:w="425" w:type="dxa"/>
            <w:shd w:val="clear" w:color="auto" w:fill="auto"/>
            <w:vAlign w:val="center"/>
            <w:hideMark/>
          </w:tcPr>
          <w:p w:rsidR="00D03FD5" w:rsidRPr="00104F4B" w:rsidRDefault="00D03FD5" w:rsidP="0039410F">
            <w:pPr>
              <w:rPr>
                <w:rFonts w:cs="Arial"/>
                <w:b/>
                <w:bCs/>
                <w:sz w:val="16"/>
                <w:szCs w:val="16"/>
                <w:lang w:eastAsia="es-CO"/>
              </w:rPr>
            </w:pPr>
            <w:r w:rsidRPr="00104F4B">
              <w:rPr>
                <w:rFonts w:cs="Arial"/>
                <w:b/>
                <w:bCs/>
                <w:sz w:val="16"/>
                <w:szCs w:val="16"/>
                <w:lang w:eastAsia="es-CO"/>
              </w:rPr>
              <w:t>3</w:t>
            </w:r>
          </w:p>
        </w:tc>
        <w:tc>
          <w:tcPr>
            <w:tcW w:w="2552" w:type="dxa"/>
            <w:shd w:val="clear" w:color="000000" w:fill="FFFFFF"/>
            <w:vAlign w:val="center"/>
          </w:tcPr>
          <w:p w:rsidR="00D03FD5" w:rsidRPr="00104F4B" w:rsidRDefault="00D03FD5" w:rsidP="0039410F">
            <w:pPr>
              <w:rPr>
                <w:rFonts w:cs="Arial"/>
                <w:color w:val="000000"/>
                <w:sz w:val="16"/>
                <w:szCs w:val="16"/>
                <w:lang w:eastAsia="es-CO"/>
              </w:rPr>
            </w:pPr>
            <w:r w:rsidRPr="00104F4B">
              <w:rPr>
                <w:rFonts w:cs="Arial"/>
                <w:color w:val="000000"/>
                <w:sz w:val="16"/>
                <w:szCs w:val="16"/>
                <w:lang w:eastAsia="es-CO"/>
              </w:rPr>
              <w:t>Plan Parcial de Renovación Urbana Nuevo Salitre</w:t>
            </w:r>
          </w:p>
        </w:tc>
        <w:tc>
          <w:tcPr>
            <w:tcW w:w="992" w:type="dxa"/>
            <w:shd w:val="clear" w:color="000000" w:fill="FFFFFF"/>
            <w:noWrap/>
            <w:vAlign w:val="center"/>
          </w:tcPr>
          <w:p w:rsidR="00D03FD5" w:rsidRPr="00104F4B" w:rsidRDefault="00D03FD5" w:rsidP="0039410F">
            <w:pPr>
              <w:rPr>
                <w:rFonts w:cs="Arial"/>
                <w:color w:val="000000"/>
                <w:sz w:val="16"/>
                <w:szCs w:val="16"/>
                <w:lang w:eastAsia="es-CO"/>
              </w:rPr>
            </w:pPr>
          </w:p>
        </w:tc>
        <w:tc>
          <w:tcPr>
            <w:tcW w:w="1276" w:type="dxa"/>
            <w:shd w:val="clear" w:color="000000" w:fill="FFFFFF"/>
            <w:vAlign w:val="center"/>
          </w:tcPr>
          <w:p w:rsidR="00D03FD5" w:rsidRPr="00104F4B" w:rsidRDefault="00D03FD5" w:rsidP="00221927">
            <w:pPr>
              <w:jc w:val="right"/>
              <w:rPr>
                <w:rFonts w:cs="Arial"/>
                <w:color w:val="000000"/>
                <w:sz w:val="16"/>
                <w:szCs w:val="16"/>
                <w:lang w:eastAsia="es-CO"/>
              </w:rPr>
            </w:pPr>
            <w:r w:rsidRPr="00104F4B">
              <w:rPr>
                <w:rFonts w:cs="Arial"/>
                <w:sz w:val="16"/>
                <w:szCs w:val="16"/>
                <w:lang w:eastAsia="es-CO"/>
              </w:rPr>
              <w:t>$        367</w:t>
            </w:r>
          </w:p>
        </w:tc>
        <w:tc>
          <w:tcPr>
            <w:tcW w:w="3969" w:type="dxa"/>
            <w:shd w:val="clear" w:color="000000" w:fill="FFFFFF"/>
            <w:vAlign w:val="center"/>
          </w:tcPr>
          <w:p w:rsidR="00D03FD5" w:rsidRPr="00104F4B" w:rsidRDefault="00D03FD5" w:rsidP="0039410F">
            <w:pPr>
              <w:rPr>
                <w:rFonts w:cs="Arial"/>
                <w:color w:val="000000"/>
                <w:sz w:val="16"/>
                <w:szCs w:val="16"/>
                <w:lang w:eastAsia="es-CO"/>
              </w:rPr>
            </w:pPr>
            <w:r w:rsidRPr="00104F4B">
              <w:rPr>
                <w:rFonts w:cs="Arial"/>
                <w:b/>
                <w:color w:val="000000"/>
                <w:sz w:val="16"/>
                <w:szCs w:val="16"/>
                <w:lang w:eastAsia="es-CO"/>
              </w:rPr>
              <w:t>Proyecto Piloto (DTP-DTAI)</w:t>
            </w:r>
            <w:r w:rsidRPr="00104F4B">
              <w:rPr>
                <w:rFonts w:cs="Arial"/>
                <w:color w:val="000000"/>
                <w:sz w:val="16"/>
                <w:szCs w:val="16"/>
                <w:lang w:eastAsia="es-CO"/>
              </w:rPr>
              <w:t xml:space="preserve"> En proceso de revisión minuta por parte de los Urbanizadores</w:t>
            </w:r>
          </w:p>
        </w:tc>
      </w:tr>
      <w:tr w:rsidR="00221927" w:rsidRPr="00104F4B" w:rsidTr="00221927">
        <w:trPr>
          <w:trHeight w:val="521"/>
        </w:trPr>
        <w:tc>
          <w:tcPr>
            <w:tcW w:w="993" w:type="dxa"/>
            <w:vMerge w:val="restart"/>
            <w:tcBorders>
              <w:bottom w:val="single" w:sz="4" w:space="0" w:color="auto"/>
            </w:tcBorders>
            <w:shd w:val="clear" w:color="auto" w:fill="D9D9D9" w:themeFill="background1" w:themeFillShade="D9"/>
            <w:vAlign w:val="center"/>
          </w:tcPr>
          <w:p w:rsidR="00D03FD5" w:rsidRPr="00104F4B" w:rsidRDefault="00D03FD5" w:rsidP="0039410F">
            <w:pPr>
              <w:rPr>
                <w:rFonts w:cs="Arial"/>
                <w:b/>
                <w:bCs/>
                <w:sz w:val="16"/>
                <w:szCs w:val="16"/>
                <w:lang w:eastAsia="es-CO"/>
              </w:rPr>
            </w:pPr>
            <w:r w:rsidRPr="00104F4B">
              <w:rPr>
                <w:rFonts w:cs="Arial"/>
                <w:bCs/>
                <w:sz w:val="16"/>
                <w:szCs w:val="16"/>
                <w:lang w:eastAsia="es-CO"/>
              </w:rPr>
              <w:t>III Trimestre</w:t>
            </w:r>
          </w:p>
        </w:tc>
        <w:tc>
          <w:tcPr>
            <w:tcW w:w="425" w:type="dxa"/>
            <w:shd w:val="clear" w:color="auto" w:fill="auto"/>
            <w:vAlign w:val="center"/>
            <w:hideMark/>
          </w:tcPr>
          <w:p w:rsidR="00D03FD5" w:rsidRPr="00104F4B" w:rsidRDefault="00D03FD5" w:rsidP="0039410F">
            <w:pPr>
              <w:rPr>
                <w:rFonts w:cs="Arial"/>
                <w:b/>
                <w:bCs/>
                <w:sz w:val="16"/>
                <w:szCs w:val="16"/>
                <w:lang w:eastAsia="es-CO"/>
              </w:rPr>
            </w:pPr>
            <w:r w:rsidRPr="00104F4B">
              <w:rPr>
                <w:rFonts w:cs="Arial"/>
                <w:b/>
                <w:bCs/>
                <w:sz w:val="16"/>
                <w:szCs w:val="16"/>
                <w:lang w:eastAsia="es-CO"/>
              </w:rPr>
              <w:t>4</w:t>
            </w:r>
          </w:p>
        </w:tc>
        <w:tc>
          <w:tcPr>
            <w:tcW w:w="2552" w:type="dxa"/>
            <w:shd w:val="clear" w:color="000000" w:fill="FFFFFF"/>
            <w:vAlign w:val="center"/>
          </w:tcPr>
          <w:p w:rsidR="00D03FD5" w:rsidRPr="00104F4B" w:rsidRDefault="00D03FD5" w:rsidP="0039410F">
            <w:pPr>
              <w:rPr>
                <w:rFonts w:cs="Arial"/>
                <w:color w:val="000000"/>
                <w:sz w:val="16"/>
                <w:szCs w:val="16"/>
                <w:lang w:eastAsia="es-CO"/>
              </w:rPr>
            </w:pPr>
            <w:r w:rsidRPr="00104F4B">
              <w:rPr>
                <w:rFonts w:cs="Arial"/>
                <w:color w:val="000000"/>
                <w:sz w:val="16"/>
                <w:szCs w:val="16"/>
                <w:lang w:eastAsia="es-CO"/>
              </w:rPr>
              <w:t>Plan de Implantación Centro Comercial Paseo del Rio y Tienda Makro Sur</w:t>
            </w:r>
          </w:p>
        </w:tc>
        <w:tc>
          <w:tcPr>
            <w:tcW w:w="992" w:type="dxa"/>
            <w:shd w:val="clear" w:color="000000" w:fill="FFFFFF"/>
            <w:noWrap/>
            <w:vAlign w:val="center"/>
          </w:tcPr>
          <w:p w:rsidR="00D03FD5" w:rsidRPr="00104F4B" w:rsidRDefault="00D03FD5" w:rsidP="0039410F">
            <w:pPr>
              <w:rPr>
                <w:rFonts w:cs="Arial"/>
                <w:color w:val="000000"/>
                <w:sz w:val="16"/>
                <w:szCs w:val="16"/>
                <w:lang w:eastAsia="es-CO"/>
              </w:rPr>
            </w:pPr>
          </w:p>
        </w:tc>
        <w:tc>
          <w:tcPr>
            <w:tcW w:w="1276" w:type="dxa"/>
            <w:shd w:val="clear" w:color="000000" w:fill="FFFFFF"/>
            <w:vAlign w:val="center"/>
          </w:tcPr>
          <w:p w:rsidR="00D03FD5" w:rsidRPr="00104F4B" w:rsidRDefault="00D03FD5" w:rsidP="00221927">
            <w:pPr>
              <w:jc w:val="right"/>
              <w:rPr>
                <w:rFonts w:cs="Arial"/>
                <w:color w:val="000000"/>
                <w:sz w:val="16"/>
                <w:szCs w:val="16"/>
                <w:lang w:eastAsia="es-CO"/>
              </w:rPr>
            </w:pPr>
            <w:r w:rsidRPr="00104F4B">
              <w:rPr>
                <w:rFonts w:cs="Arial"/>
                <w:color w:val="000000"/>
                <w:sz w:val="16"/>
                <w:szCs w:val="16"/>
                <w:lang w:eastAsia="es-CO"/>
              </w:rPr>
              <w:t>$     3.446</w:t>
            </w:r>
          </w:p>
        </w:tc>
        <w:tc>
          <w:tcPr>
            <w:tcW w:w="3969" w:type="dxa"/>
            <w:shd w:val="clear" w:color="000000" w:fill="FFFFFF"/>
            <w:vAlign w:val="center"/>
          </w:tcPr>
          <w:p w:rsidR="00D03FD5" w:rsidRPr="00104F4B" w:rsidRDefault="00D03FD5" w:rsidP="0039410F">
            <w:pPr>
              <w:rPr>
                <w:rFonts w:cs="Arial"/>
                <w:color w:val="000000"/>
                <w:sz w:val="16"/>
                <w:szCs w:val="16"/>
                <w:lang w:eastAsia="es-CO"/>
              </w:rPr>
            </w:pPr>
            <w:r w:rsidRPr="00104F4B">
              <w:rPr>
                <w:rFonts w:cs="Arial"/>
                <w:b/>
                <w:color w:val="000000"/>
                <w:sz w:val="16"/>
                <w:szCs w:val="16"/>
                <w:lang w:eastAsia="es-CO"/>
              </w:rPr>
              <w:t xml:space="preserve">Proyecto Piloto (DTP-DTAI) </w:t>
            </w:r>
            <w:r w:rsidRPr="00104F4B">
              <w:rPr>
                <w:rFonts w:cs="Arial"/>
                <w:color w:val="000000"/>
                <w:sz w:val="16"/>
                <w:szCs w:val="16"/>
                <w:lang w:eastAsia="es-CO"/>
              </w:rPr>
              <w:t xml:space="preserve">En proceso de ajuste de estudios previos según requerimientos DTAI, por medio de oficio </w:t>
            </w:r>
            <w:hyperlink r:id="rId59" w:history="1">
              <w:r w:rsidRPr="00104F4B">
                <w:rPr>
                  <w:rStyle w:val="leidos"/>
                  <w:rFonts w:cs="Arial"/>
                  <w:color w:val="0000FF"/>
                  <w:sz w:val="16"/>
                  <w:szCs w:val="16"/>
                  <w:u w:val="single"/>
                </w:rPr>
                <w:t>20185261337742</w:t>
              </w:r>
            </w:hyperlink>
            <w:r w:rsidRPr="00104F4B">
              <w:rPr>
                <w:rStyle w:val="leidos"/>
                <w:rFonts w:cs="Arial"/>
                <w:sz w:val="16"/>
                <w:szCs w:val="16"/>
              </w:rPr>
              <w:t xml:space="preserve"> </w:t>
            </w:r>
            <w:r w:rsidRPr="00104F4B">
              <w:rPr>
                <w:rFonts w:cs="Arial"/>
                <w:sz w:val="16"/>
                <w:szCs w:val="16"/>
              </w:rPr>
              <w:t>de fecha diciembre 19 de 2018, el Urbanizador ratifico su voluntad de continuar con el trámite del convenio</w:t>
            </w:r>
          </w:p>
        </w:tc>
      </w:tr>
      <w:tr w:rsidR="00221927" w:rsidRPr="00104F4B" w:rsidTr="00221927">
        <w:trPr>
          <w:trHeight w:val="264"/>
        </w:trPr>
        <w:tc>
          <w:tcPr>
            <w:tcW w:w="993" w:type="dxa"/>
            <w:vMerge/>
            <w:tcBorders>
              <w:bottom w:val="single" w:sz="4" w:space="0" w:color="auto"/>
            </w:tcBorders>
            <w:shd w:val="clear" w:color="auto" w:fill="D9D9D9" w:themeFill="background1" w:themeFillShade="D9"/>
          </w:tcPr>
          <w:p w:rsidR="00D03FD5" w:rsidRPr="00104F4B" w:rsidRDefault="00D03FD5" w:rsidP="0039410F">
            <w:pPr>
              <w:rPr>
                <w:rFonts w:cs="Arial"/>
                <w:b/>
                <w:bCs/>
                <w:sz w:val="16"/>
                <w:szCs w:val="16"/>
                <w:lang w:eastAsia="es-CO"/>
              </w:rPr>
            </w:pPr>
          </w:p>
        </w:tc>
        <w:tc>
          <w:tcPr>
            <w:tcW w:w="425" w:type="dxa"/>
            <w:shd w:val="clear" w:color="auto" w:fill="auto"/>
            <w:vAlign w:val="center"/>
            <w:hideMark/>
          </w:tcPr>
          <w:p w:rsidR="00D03FD5" w:rsidRPr="00104F4B" w:rsidRDefault="00D03FD5" w:rsidP="0039410F">
            <w:pPr>
              <w:rPr>
                <w:rFonts w:cs="Arial"/>
                <w:b/>
                <w:bCs/>
                <w:sz w:val="16"/>
                <w:szCs w:val="16"/>
                <w:lang w:eastAsia="es-CO"/>
              </w:rPr>
            </w:pPr>
            <w:r w:rsidRPr="00104F4B">
              <w:rPr>
                <w:rFonts w:cs="Arial"/>
                <w:b/>
                <w:bCs/>
                <w:sz w:val="16"/>
                <w:szCs w:val="16"/>
                <w:lang w:eastAsia="es-CO"/>
              </w:rPr>
              <w:t>5</w:t>
            </w:r>
          </w:p>
        </w:tc>
        <w:tc>
          <w:tcPr>
            <w:tcW w:w="2552" w:type="dxa"/>
            <w:shd w:val="clear" w:color="000000" w:fill="FFFFFF"/>
            <w:vAlign w:val="center"/>
          </w:tcPr>
          <w:p w:rsidR="00D03FD5" w:rsidRPr="00104F4B" w:rsidRDefault="00D03FD5" w:rsidP="0039410F">
            <w:pPr>
              <w:rPr>
                <w:rFonts w:cs="Arial"/>
                <w:color w:val="000000"/>
                <w:sz w:val="16"/>
                <w:szCs w:val="16"/>
                <w:lang w:eastAsia="es-CO"/>
              </w:rPr>
            </w:pPr>
            <w:r w:rsidRPr="00104F4B">
              <w:rPr>
                <w:rFonts w:cs="Arial"/>
                <w:color w:val="000000"/>
                <w:sz w:val="16"/>
                <w:szCs w:val="16"/>
                <w:lang w:eastAsia="es-CO"/>
              </w:rPr>
              <w:t>Plan de Implantación Centro Internacional de Comercio Popular San Victorino (Manzana 3)</w:t>
            </w:r>
          </w:p>
        </w:tc>
        <w:tc>
          <w:tcPr>
            <w:tcW w:w="992" w:type="dxa"/>
            <w:shd w:val="clear" w:color="000000" w:fill="FFFFFF"/>
            <w:noWrap/>
            <w:vAlign w:val="center"/>
          </w:tcPr>
          <w:p w:rsidR="00D03FD5" w:rsidRPr="00104F4B" w:rsidRDefault="00D03FD5" w:rsidP="0039410F">
            <w:pPr>
              <w:rPr>
                <w:rFonts w:cs="Arial"/>
                <w:color w:val="000000"/>
                <w:sz w:val="16"/>
                <w:szCs w:val="16"/>
                <w:lang w:eastAsia="es-CO"/>
              </w:rPr>
            </w:pPr>
          </w:p>
        </w:tc>
        <w:tc>
          <w:tcPr>
            <w:tcW w:w="1276" w:type="dxa"/>
            <w:shd w:val="clear" w:color="000000" w:fill="FFFFFF"/>
            <w:vAlign w:val="center"/>
          </w:tcPr>
          <w:p w:rsidR="00D03FD5" w:rsidRPr="00104F4B" w:rsidRDefault="00D03FD5" w:rsidP="00221927">
            <w:pPr>
              <w:jc w:val="right"/>
              <w:rPr>
                <w:rFonts w:cs="Arial"/>
                <w:color w:val="000000"/>
                <w:sz w:val="16"/>
                <w:szCs w:val="16"/>
                <w:lang w:eastAsia="es-CO"/>
              </w:rPr>
            </w:pPr>
            <w:r w:rsidRPr="00104F4B">
              <w:rPr>
                <w:rFonts w:cs="Arial"/>
                <w:color w:val="000000"/>
                <w:sz w:val="16"/>
                <w:szCs w:val="16"/>
                <w:lang w:eastAsia="es-CO"/>
              </w:rPr>
              <w:t>$          73</w:t>
            </w:r>
          </w:p>
        </w:tc>
        <w:tc>
          <w:tcPr>
            <w:tcW w:w="3969" w:type="dxa"/>
            <w:shd w:val="clear" w:color="000000" w:fill="FFFFFF"/>
          </w:tcPr>
          <w:p w:rsidR="00D03FD5" w:rsidRPr="00104F4B" w:rsidRDefault="00D03FD5" w:rsidP="0039410F">
            <w:pPr>
              <w:rPr>
                <w:rFonts w:cs="Arial"/>
                <w:color w:val="000000"/>
                <w:sz w:val="16"/>
                <w:szCs w:val="16"/>
                <w:lang w:eastAsia="es-CO"/>
              </w:rPr>
            </w:pPr>
            <w:r w:rsidRPr="00104F4B">
              <w:rPr>
                <w:rFonts w:cs="Arial"/>
                <w:b/>
                <w:color w:val="000000"/>
                <w:sz w:val="16"/>
                <w:szCs w:val="16"/>
                <w:lang w:eastAsia="es-CO"/>
              </w:rPr>
              <w:t xml:space="preserve">Proyecto Piloto (DTP-DTAI) </w:t>
            </w:r>
            <w:r w:rsidRPr="00104F4B">
              <w:rPr>
                <w:rFonts w:cs="Arial"/>
                <w:color w:val="000000"/>
                <w:sz w:val="16"/>
                <w:szCs w:val="16"/>
                <w:lang w:eastAsia="es-CO"/>
              </w:rPr>
              <w:t>En proceso de ajuste de estudios previos según requerimientos DTAI</w:t>
            </w:r>
          </w:p>
        </w:tc>
      </w:tr>
      <w:tr w:rsidR="00221927" w:rsidRPr="00104F4B" w:rsidTr="00221927">
        <w:trPr>
          <w:trHeight w:val="291"/>
        </w:trPr>
        <w:tc>
          <w:tcPr>
            <w:tcW w:w="993" w:type="dxa"/>
            <w:vMerge/>
            <w:tcBorders>
              <w:bottom w:val="single" w:sz="4" w:space="0" w:color="auto"/>
            </w:tcBorders>
            <w:shd w:val="clear" w:color="auto" w:fill="D9D9D9" w:themeFill="background1" w:themeFillShade="D9"/>
          </w:tcPr>
          <w:p w:rsidR="00D03FD5" w:rsidRPr="00104F4B" w:rsidRDefault="00D03FD5" w:rsidP="0039410F">
            <w:pPr>
              <w:rPr>
                <w:rFonts w:cs="Arial"/>
                <w:b/>
                <w:bCs/>
                <w:sz w:val="16"/>
                <w:szCs w:val="16"/>
                <w:lang w:eastAsia="es-CO"/>
              </w:rPr>
            </w:pPr>
          </w:p>
        </w:tc>
        <w:tc>
          <w:tcPr>
            <w:tcW w:w="425" w:type="dxa"/>
            <w:shd w:val="clear" w:color="auto" w:fill="auto"/>
            <w:vAlign w:val="center"/>
            <w:hideMark/>
          </w:tcPr>
          <w:p w:rsidR="00D03FD5" w:rsidRPr="00104F4B" w:rsidRDefault="00D03FD5" w:rsidP="0039410F">
            <w:pPr>
              <w:rPr>
                <w:rFonts w:cs="Arial"/>
                <w:b/>
                <w:bCs/>
                <w:sz w:val="16"/>
                <w:szCs w:val="16"/>
                <w:lang w:eastAsia="es-CO"/>
              </w:rPr>
            </w:pPr>
            <w:r w:rsidRPr="00104F4B">
              <w:rPr>
                <w:rFonts w:cs="Arial"/>
                <w:b/>
                <w:bCs/>
                <w:sz w:val="16"/>
                <w:szCs w:val="16"/>
                <w:lang w:eastAsia="es-CO"/>
              </w:rPr>
              <w:t>6</w:t>
            </w:r>
          </w:p>
        </w:tc>
        <w:tc>
          <w:tcPr>
            <w:tcW w:w="2552" w:type="dxa"/>
            <w:shd w:val="clear" w:color="000000" w:fill="FFFFFF"/>
            <w:vAlign w:val="center"/>
          </w:tcPr>
          <w:p w:rsidR="00D03FD5" w:rsidRPr="00104F4B" w:rsidRDefault="00D03FD5" w:rsidP="0039410F">
            <w:pPr>
              <w:rPr>
                <w:rFonts w:cs="Arial"/>
                <w:color w:val="000000"/>
                <w:sz w:val="16"/>
                <w:szCs w:val="16"/>
                <w:lang w:eastAsia="es-CO"/>
              </w:rPr>
            </w:pPr>
            <w:r w:rsidRPr="00104F4B">
              <w:rPr>
                <w:rFonts w:cs="Arial"/>
                <w:color w:val="000000"/>
                <w:sz w:val="16"/>
                <w:szCs w:val="16"/>
                <w:lang w:eastAsia="es-CO"/>
              </w:rPr>
              <w:t>Plan Parcial "</w:t>
            </w:r>
            <w:r w:rsidRPr="00104F4B">
              <w:rPr>
                <w:rFonts w:cs="Arial"/>
                <w:i/>
                <w:color w:val="000000"/>
                <w:sz w:val="16"/>
                <w:szCs w:val="16"/>
                <w:lang w:eastAsia="es-CO"/>
              </w:rPr>
              <w:t xml:space="preserve">Bavaria Fabrica" </w:t>
            </w:r>
            <w:r w:rsidRPr="00104F4B">
              <w:rPr>
                <w:rFonts w:cs="Arial"/>
                <w:color w:val="000000"/>
                <w:sz w:val="16"/>
                <w:szCs w:val="16"/>
                <w:lang w:eastAsia="es-CO"/>
              </w:rPr>
              <w:t>(Convenio Marco)</w:t>
            </w:r>
          </w:p>
        </w:tc>
        <w:tc>
          <w:tcPr>
            <w:tcW w:w="992" w:type="dxa"/>
            <w:shd w:val="clear" w:color="000000" w:fill="FFFFFF"/>
            <w:noWrap/>
            <w:vAlign w:val="center"/>
          </w:tcPr>
          <w:p w:rsidR="00D03FD5" w:rsidRPr="00104F4B" w:rsidRDefault="00D03FD5" w:rsidP="0039410F">
            <w:pPr>
              <w:rPr>
                <w:rFonts w:cs="Arial"/>
                <w:color w:val="000000"/>
                <w:sz w:val="16"/>
                <w:szCs w:val="16"/>
                <w:lang w:eastAsia="es-CO"/>
              </w:rPr>
            </w:pPr>
          </w:p>
        </w:tc>
        <w:tc>
          <w:tcPr>
            <w:tcW w:w="1276" w:type="dxa"/>
            <w:shd w:val="clear" w:color="000000" w:fill="FFFFFF"/>
            <w:vAlign w:val="center"/>
          </w:tcPr>
          <w:p w:rsidR="00D03FD5" w:rsidRPr="00104F4B" w:rsidRDefault="00D03FD5" w:rsidP="00221927">
            <w:pPr>
              <w:jc w:val="right"/>
              <w:rPr>
                <w:rFonts w:cs="Arial"/>
                <w:color w:val="000000"/>
                <w:sz w:val="16"/>
                <w:szCs w:val="16"/>
                <w:lang w:eastAsia="es-CO"/>
              </w:rPr>
            </w:pPr>
            <w:r w:rsidRPr="00104F4B">
              <w:rPr>
                <w:rFonts w:cs="Arial"/>
                <w:sz w:val="16"/>
                <w:szCs w:val="16"/>
              </w:rPr>
              <w:t>$   76.582</w:t>
            </w:r>
          </w:p>
        </w:tc>
        <w:tc>
          <w:tcPr>
            <w:tcW w:w="3969" w:type="dxa"/>
            <w:shd w:val="clear" w:color="000000" w:fill="FFFFFF"/>
          </w:tcPr>
          <w:p w:rsidR="00D03FD5" w:rsidRPr="00104F4B" w:rsidRDefault="00D03FD5" w:rsidP="0039410F">
            <w:pPr>
              <w:rPr>
                <w:rFonts w:cs="Arial"/>
                <w:color w:val="000000"/>
                <w:sz w:val="16"/>
                <w:szCs w:val="16"/>
                <w:lang w:eastAsia="es-CO"/>
              </w:rPr>
            </w:pPr>
            <w:r w:rsidRPr="00104F4B">
              <w:rPr>
                <w:rFonts w:cs="Arial"/>
                <w:color w:val="000000"/>
                <w:sz w:val="16"/>
                <w:szCs w:val="16"/>
                <w:lang w:eastAsia="es-CO"/>
              </w:rPr>
              <w:t xml:space="preserve">Convenio suscrito en físico, pendiente trámite en SECOPII por parte de Urbanizador para codificarlo </w:t>
            </w:r>
          </w:p>
        </w:tc>
      </w:tr>
      <w:tr w:rsidR="00221927" w:rsidRPr="00104F4B" w:rsidTr="00221927">
        <w:trPr>
          <w:trHeight w:val="224"/>
        </w:trPr>
        <w:tc>
          <w:tcPr>
            <w:tcW w:w="993" w:type="dxa"/>
            <w:vMerge w:val="restart"/>
            <w:tcBorders>
              <w:top w:val="single" w:sz="4" w:space="0" w:color="auto"/>
              <w:bottom w:val="single" w:sz="4" w:space="0" w:color="auto"/>
            </w:tcBorders>
            <w:shd w:val="clear" w:color="auto" w:fill="D9D9D9" w:themeFill="background1" w:themeFillShade="D9"/>
          </w:tcPr>
          <w:p w:rsidR="00D03FD5" w:rsidRPr="00104F4B" w:rsidRDefault="00D03FD5" w:rsidP="0039410F">
            <w:pPr>
              <w:rPr>
                <w:rFonts w:cs="Arial"/>
                <w:bCs/>
                <w:sz w:val="16"/>
                <w:szCs w:val="16"/>
                <w:lang w:eastAsia="es-CO"/>
              </w:rPr>
            </w:pPr>
          </w:p>
          <w:p w:rsidR="00D03FD5" w:rsidRPr="00104F4B" w:rsidRDefault="00D03FD5" w:rsidP="0039410F">
            <w:pPr>
              <w:rPr>
                <w:rFonts w:cs="Arial"/>
                <w:bCs/>
                <w:sz w:val="16"/>
                <w:szCs w:val="16"/>
                <w:lang w:eastAsia="es-CO"/>
              </w:rPr>
            </w:pPr>
          </w:p>
          <w:p w:rsidR="00D03FD5" w:rsidRPr="00104F4B" w:rsidRDefault="00D03FD5" w:rsidP="0039410F">
            <w:pPr>
              <w:rPr>
                <w:rFonts w:cs="Arial"/>
                <w:bCs/>
                <w:sz w:val="16"/>
                <w:szCs w:val="16"/>
                <w:lang w:eastAsia="es-CO"/>
              </w:rPr>
            </w:pPr>
          </w:p>
          <w:p w:rsidR="00D03FD5" w:rsidRPr="00104F4B" w:rsidRDefault="00D03FD5" w:rsidP="0039410F">
            <w:pPr>
              <w:rPr>
                <w:rFonts w:cs="Arial"/>
                <w:b/>
                <w:bCs/>
                <w:sz w:val="16"/>
                <w:szCs w:val="16"/>
                <w:lang w:eastAsia="es-CO"/>
              </w:rPr>
            </w:pPr>
            <w:r w:rsidRPr="00104F4B">
              <w:rPr>
                <w:rFonts w:cs="Arial"/>
                <w:bCs/>
                <w:sz w:val="16"/>
                <w:szCs w:val="16"/>
                <w:lang w:eastAsia="es-CO"/>
              </w:rPr>
              <w:t>IV Trimestre</w:t>
            </w:r>
          </w:p>
        </w:tc>
        <w:tc>
          <w:tcPr>
            <w:tcW w:w="425" w:type="dxa"/>
            <w:shd w:val="clear" w:color="auto" w:fill="auto"/>
            <w:vAlign w:val="center"/>
            <w:hideMark/>
          </w:tcPr>
          <w:p w:rsidR="00D03FD5" w:rsidRPr="00104F4B" w:rsidRDefault="00D03FD5" w:rsidP="0039410F">
            <w:pPr>
              <w:rPr>
                <w:rFonts w:cs="Arial"/>
                <w:b/>
                <w:bCs/>
                <w:sz w:val="16"/>
                <w:szCs w:val="16"/>
                <w:lang w:eastAsia="es-CO"/>
              </w:rPr>
            </w:pPr>
            <w:r w:rsidRPr="00104F4B">
              <w:rPr>
                <w:rFonts w:cs="Arial"/>
                <w:b/>
                <w:bCs/>
                <w:sz w:val="16"/>
                <w:szCs w:val="16"/>
                <w:lang w:eastAsia="es-CO"/>
              </w:rPr>
              <w:t>7</w:t>
            </w:r>
          </w:p>
        </w:tc>
        <w:tc>
          <w:tcPr>
            <w:tcW w:w="2552" w:type="dxa"/>
            <w:shd w:val="clear" w:color="000000" w:fill="FFFFFF"/>
            <w:vAlign w:val="center"/>
          </w:tcPr>
          <w:p w:rsidR="00D03FD5" w:rsidRPr="00104F4B" w:rsidRDefault="00D03FD5" w:rsidP="0039410F">
            <w:pPr>
              <w:rPr>
                <w:rFonts w:cs="Arial"/>
                <w:color w:val="0070C0"/>
                <w:sz w:val="16"/>
                <w:szCs w:val="16"/>
                <w:lang w:eastAsia="es-CO"/>
              </w:rPr>
            </w:pPr>
            <w:r w:rsidRPr="00104F4B">
              <w:rPr>
                <w:rFonts w:cs="Arial"/>
                <w:sz w:val="16"/>
                <w:szCs w:val="16"/>
                <w:lang w:eastAsia="es-CO"/>
              </w:rPr>
              <w:t>Plan de Regularización y Manejo Cantón Occidental</w:t>
            </w:r>
          </w:p>
        </w:tc>
        <w:tc>
          <w:tcPr>
            <w:tcW w:w="992" w:type="dxa"/>
            <w:shd w:val="clear" w:color="000000" w:fill="FFFFFF"/>
            <w:noWrap/>
            <w:vAlign w:val="center"/>
          </w:tcPr>
          <w:p w:rsidR="00D03FD5" w:rsidRPr="00104F4B" w:rsidRDefault="00D03FD5" w:rsidP="0039410F">
            <w:pPr>
              <w:rPr>
                <w:rFonts w:cs="Arial"/>
                <w:color w:val="000000"/>
                <w:sz w:val="16"/>
                <w:szCs w:val="16"/>
                <w:lang w:eastAsia="es-CO"/>
              </w:rPr>
            </w:pPr>
          </w:p>
        </w:tc>
        <w:tc>
          <w:tcPr>
            <w:tcW w:w="1276" w:type="dxa"/>
            <w:shd w:val="clear" w:color="000000" w:fill="FFFFFF"/>
            <w:vAlign w:val="center"/>
          </w:tcPr>
          <w:p w:rsidR="00D03FD5" w:rsidRPr="00104F4B" w:rsidRDefault="00D03FD5" w:rsidP="00221927">
            <w:pPr>
              <w:jc w:val="right"/>
              <w:rPr>
                <w:rFonts w:cs="Arial"/>
                <w:sz w:val="16"/>
                <w:szCs w:val="16"/>
              </w:rPr>
            </w:pPr>
            <w:r w:rsidRPr="00104F4B">
              <w:rPr>
                <w:rFonts w:cs="Arial"/>
                <w:sz w:val="16"/>
                <w:szCs w:val="16"/>
              </w:rPr>
              <w:t>$     5.795</w:t>
            </w:r>
          </w:p>
        </w:tc>
        <w:tc>
          <w:tcPr>
            <w:tcW w:w="3969" w:type="dxa"/>
            <w:shd w:val="clear" w:color="000000" w:fill="FFFFFF"/>
          </w:tcPr>
          <w:p w:rsidR="00D03FD5" w:rsidRPr="00104F4B" w:rsidRDefault="00D03FD5" w:rsidP="0039410F">
            <w:pPr>
              <w:rPr>
                <w:rFonts w:cs="Arial"/>
                <w:color w:val="000000"/>
                <w:sz w:val="16"/>
                <w:szCs w:val="16"/>
                <w:lang w:eastAsia="es-CO"/>
              </w:rPr>
            </w:pPr>
            <w:r w:rsidRPr="00104F4B">
              <w:rPr>
                <w:rFonts w:cs="Arial"/>
                <w:sz w:val="16"/>
                <w:szCs w:val="16"/>
              </w:rPr>
              <w:t>Memorando de recomendación No. 20182050295833 (23.11.2018). Minuta en proceso de revisión del Ministerio de Defensa</w:t>
            </w:r>
          </w:p>
        </w:tc>
      </w:tr>
      <w:tr w:rsidR="00221927" w:rsidRPr="00104F4B" w:rsidTr="00221927">
        <w:trPr>
          <w:trHeight w:val="346"/>
        </w:trPr>
        <w:tc>
          <w:tcPr>
            <w:tcW w:w="993" w:type="dxa"/>
            <w:vMerge/>
            <w:tcBorders>
              <w:bottom w:val="single" w:sz="4" w:space="0" w:color="auto"/>
            </w:tcBorders>
            <w:shd w:val="clear" w:color="auto" w:fill="D9D9D9" w:themeFill="background1" w:themeFillShade="D9"/>
          </w:tcPr>
          <w:p w:rsidR="00D03FD5" w:rsidRPr="00104F4B" w:rsidRDefault="00D03FD5" w:rsidP="0039410F">
            <w:pPr>
              <w:rPr>
                <w:rFonts w:cs="Arial"/>
                <w:b/>
                <w:bCs/>
                <w:sz w:val="16"/>
                <w:szCs w:val="16"/>
                <w:lang w:eastAsia="es-CO"/>
              </w:rPr>
            </w:pPr>
          </w:p>
        </w:tc>
        <w:tc>
          <w:tcPr>
            <w:tcW w:w="425" w:type="dxa"/>
            <w:shd w:val="clear" w:color="auto" w:fill="auto"/>
            <w:vAlign w:val="center"/>
            <w:hideMark/>
          </w:tcPr>
          <w:p w:rsidR="00D03FD5" w:rsidRPr="00104F4B" w:rsidRDefault="00D03FD5" w:rsidP="0039410F">
            <w:pPr>
              <w:rPr>
                <w:rFonts w:cs="Arial"/>
                <w:b/>
                <w:bCs/>
                <w:sz w:val="16"/>
                <w:szCs w:val="16"/>
                <w:lang w:eastAsia="es-CO"/>
              </w:rPr>
            </w:pPr>
            <w:r w:rsidRPr="00104F4B">
              <w:rPr>
                <w:rFonts w:cs="Arial"/>
                <w:b/>
                <w:bCs/>
                <w:sz w:val="16"/>
                <w:szCs w:val="16"/>
                <w:lang w:eastAsia="es-CO"/>
              </w:rPr>
              <w:t>8</w:t>
            </w:r>
          </w:p>
        </w:tc>
        <w:tc>
          <w:tcPr>
            <w:tcW w:w="2552" w:type="dxa"/>
            <w:shd w:val="clear" w:color="000000" w:fill="FFFFFF"/>
            <w:vAlign w:val="center"/>
          </w:tcPr>
          <w:p w:rsidR="00D03FD5" w:rsidRPr="00104F4B" w:rsidRDefault="00D03FD5" w:rsidP="0039410F">
            <w:pPr>
              <w:rPr>
                <w:rFonts w:cs="Arial"/>
                <w:color w:val="0070C0"/>
                <w:sz w:val="16"/>
                <w:szCs w:val="16"/>
                <w:lang w:eastAsia="es-CO"/>
              </w:rPr>
            </w:pPr>
            <w:r w:rsidRPr="00104F4B">
              <w:rPr>
                <w:rFonts w:cs="Arial"/>
                <w:sz w:val="16"/>
                <w:szCs w:val="16"/>
                <w:lang w:eastAsia="es-CO"/>
              </w:rPr>
              <w:t>Convenio Específico Lagos de Torca (Estudios y Diseños Av. Polo)</w:t>
            </w:r>
          </w:p>
        </w:tc>
        <w:tc>
          <w:tcPr>
            <w:tcW w:w="992" w:type="dxa"/>
            <w:shd w:val="clear" w:color="000000" w:fill="FFFFFF"/>
            <w:noWrap/>
            <w:vAlign w:val="center"/>
          </w:tcPr>
          <w:p w:rsidR="00D03FD5" w:rsidRPr="00104F4B" w:rsidRDefault="00D03FD5" w:rsidP="0039410F">
            <w:pPr>
              <w:rPr>
                <w:rFonts w:cs="Arial"/>
                <w:color w:val="000000"/>
                <w:sz w:val="16"/>
                <w:szCs w:val="16"/>
                <w:lang w:eastAsia="es-CO"/>
              </w:rPr>
            </w:pPr>
          </w:p>
        </w:tc>
        <w:tc>
          <w:tcPr>
            <w:tcW w:w="1276" w:type="dxa"/>
            <w:shd w:val="clear" w:color="000000" w:fill="FFFFFF"/>
            <w:vAlign w:val="center"/>
          </w:tcPr>
          <w:p w:rsidR="00D03FD5" w:rsidRPr="00104F4B" w:rsidRDefault="00D03FD5" w:rsidP="00221927">
            <w:pPr>
              <w:jc w:val="right"/>
              <w:rPr>
                <w:rFonts w:cs="Arial"/>
                <w:color w:val="000000"/>
                <w:sz w:val="16"/>
                <w:szCs w:val="16"/>
                <w:lang w:eastAsia="es-CO"/>
              </w:rPr>
            </w:pPr>
            <w:r w:rsidRPr="00104F4B">
              <w:rPr>
                <w:rFonts w:cs="Arial"/>
                <w:color w:val="000000"/>
                <w:sz w:val="16"/>
                <w:szCs w:val="16"/>
                <w:lang w:eastAsia="es-CO"/>
              </w:rPr>
              <w:t xml:space="preserve"> $     1.209</w:t>
            </w:r>
          </w:p>
        </w:tc>
        <w:tc>
          <w:tcPr>
            <w:tcW w:w="3969" w:type="dxa"/>
            <w:shd w:val="clear" w:color="000000" w:fill="FFFFFF"/>
          </w:tcPr>
          <w:p w:rsidR="00D03FD5" w:rsidRPr="00104F4B" w:rsidRDefault="00D03FD5" w:rsidP="0039410F">
            <w:pPr>
              <w:rPr>
                <w:rFonts w:cs="Arial"/>
                <w:sz w:val="16"/>
                <w:szCs w:val="16"/>
              </w:rPr>
            </w:pPr>
            <w:r w:rsidRPr="00104F4B">
              <w:rPr>
                <w:rFonts w:cs="Arial"/>
                <w:sz w:val="16"/>
                <w:szCs w:val="16"/>
              </w:rPr>
              <w:t>Memorando de recomendación No. 20182050289483 (15.11.2018).</w:t>
            </w:r>
          </w:p>
          <w:p w:rsidR="00D03FD5" w:rsidRPr="00104F4B" w:rsidRDefault="00D03FD5" w:rsidP="0039410F">
            <w:pPr>
              <w:rPr>
                <w:rFonts w:cs="Arial"/>
                <w:sz w:val="16"/>
                <w:szCs w:val="16"/>
              </w:rPr>
            </w:pPr>
            <w:r w:rsidRPr="00104F4B">
              <w:rPr>
                <w:rFonts w:cs="Arial"/>
                <w:sz w:val="16"/>
                <w:szCs w:val="16"/>
              </w:rPr>
              <w:t xml:space="preserve">Proyecto de minuta acordado con el Fideicomiso Lagos de Torca. </w:t>
            </w:r>
            <w:r w:rsidRPr="00104F4B">
              <w:rPr>
                <w:rFonts w:cs="Arial"/>
                <w:color w:val="000000"/>
                <w:sz w:val="16"/>
                <w:szCs w:val="16"/>
                <w:lang w:eastAsia="es-CO"/>
              </w:rPr>
              <w:t>En trámite de firma en Dirección General</w:t>
            </w:r>
          </w:p>
        </w:tc>
      </w:tr>
      <w:tr w:rsidR="00D03FD5" w:rsidRPr="00104F4B" w:rsidTr="00221927">
        <w:trPr>
          <w:trHeight w:val="140"/>
        </w:trPr>
        <w:tc>
          <w:tcPr>
            <w:tcW w:w="993" w:type="dxa"/>
            <w:tcBorders>
              <w:top w:val="single" w:sz="4" w:space="0" w:color="auto"/>
            </w:tcBorders>
            <w:shd w:val="clear" w:color="auto" w:fill="D9D9D9" w:themeFill="background1" w:themeFillShade="D9"/>
          </w:tcPr>
          <w:p w:rsidR="00D03FD5" w:rsidRPr="00104F4B" w:rsidRDefault="00D03FD5" w:rsidP="0039410F">
            <w:pPr>
              <w:rPr>
                <w:rFonts w:cs="Arial"/>
                <w:b/>
                <w:bCs/>
                <w:sz w:val="16"/>
                <w:szCs w:val="16"/>
                <w:lang w:eastAsia="es-CO"/>
              </w:rPr>
            </w:pPr>
          </w:p>
        </w:tc>
        <w:tc>
          <w:tcPr>
            <w:tcW w:w="3969" w:type="dxa"/>
            <w:gridSpan w:val="3"/>
            <w:shd w:val="clear" w:color="auto" w:fill="D9D9D9" w:themeFill="background1" w:themeFillShade="D9"/>
            <w:vAlign w:val="center"/>
            <w:hideMark/>
          </w:tcPr>
          <w:p w:rsidR="00D03FD5" w:rsidRPr="00104F4B" w:rsidRDefault="00D03FD5" w:rsidP="0039410F">
            <w:pPr>
              <w:rPr>
                <w:rFonts w:cs="Arial"/>
                <w:color w:val="000000"/>
                <w:sz w:val="16"/>
                <w:szCs w:val="16"/>
                <w:lang w:eastAsia="es-CO"/>
              </w:rPr>
            </w:pPr>
            <w:r w:rsidRPr="00104F4B">
              <w:rPr>
                <w:rFonts w:cs="Arial"/>
                <w:b/>
                <w:color w:val="000000"/>
                <w:sz w:val="16"/>
                <w:szCs w:val="16"/>
                <w:lang w:eastAsia="es-CO"/>
              </w:rPr>
              <w:t>INVERSIÓN  TOTAL A REALIZAR A TRAVÉS DE CONVENIOS DE COOPERACIÓN</w:t>
            </w:r>
          </w:p>
        </w:tc>
        <w:tc>
          <w:tcPr>
            <w:tcW w:w="1276" w:type="dxa"/>
            <w:shd w:val="clear" w:color="auto" w:fill="D9D9D9" w:themeFill="background1" w:themeFillShade="D9"/>
            <w:vAlign w:val="center"/>
            <w:hideMark/>
          </w:tcPr>
          <w:p w:rsidR="00D03FD5" w:rsidRPr="00104F4B" w:rsidRDefault="00D03FD5" w:rsidP="0039410F">
            <w:pPr>
              <w:rPr>
                <w:rFonts w:cs="Arial"/>
                <w:b/>
                <w:color w:val="000000"/>
                <w:sz w:val="16"/>
                <w:szCs w:val="16"/>
                <w:lang w:eastAsia="es-CO"/>
              </w:rPr>
            </w:pPr>
            <w:r w:rsidRPr="00104F4B">
              <w:rPr>
                <w:rFonts w:cs="Arial"/>
                <w:color w:val="000000"/>
                <w:sz w:val="16"/>
                <w:szCs w:val="16"/>
                <w:lang w:eastAsia="es-CO"/>
              </w:rPr>
              <w:t xml:space="preserve"> </w:t>
            </w:r>
            <w:r w:rsidRPr="00104F4B">
              <w:rPr>
                <w:rFonts w:cs="Arial"/>
                <w:b/>
                <w:sz w:val="16"/>
                <w:szCs w:val="16"/>
                <w:lang w:eastAsia="es-CO"/>
              </w:rPr>
              <w:t>$        94.231</w:t>
            </w:r>
          </w:p>
        </w:tc>
        <w:tc>
          <w:tcPr>
            <w:tcW w:w="3969" w:type="dxa"/>
            <w:shd w:val="clear" w:color="auto" w:fill="D9D9D9" w:themeFill="background1" w:themeFillShade="D9"/>
          </w:tcPr>
          <w:p w:rsidR="00D03FD5" w:rsidRPr="00104F4B" w:rsidRDefault="00D03FD5" w:rsidP="0039410F">
            <w:pPr>
              <w:rPr>
                <w:rFonts w:cs="Arial"/>
                <w:color w:val="000000"/>
                <w:sz w:val="16"/>
                <w:szCs w:val="16"/>
                <w:lang w:eastAsia="es-CO"/>
              </w:rPr>
            </w:pPr>
          </w:p>
        </w:tc>
      </w:tr>
    </w:tbl>
    <w:p w:rsidR="00D03FD5" w:rsidRPr="00104F4B" w:rsidRDefault="00D03FD5" w:rsidP="00221927">
      <w:pPr>
        <w:spacing w:before="0" w:after="120" w:line="240" w:lineRule="atLeast"/>
        <w:ind w:right="142"/>
        <w:contextualSpacing/>
        <w:outlineLvl w:val="0"/>
        <w:rPr>
          <w:rFonts w:cs="Arial"/>
        </w:rPr>
      </w:pPr>
    </w:p>
    <w:p w:rsidR="00D03FD5" w:rsidRPr="00104F4B" w:rsidRDefault="00D03FD5" w:rsidP="00582748">
      <w:pPr>
        <w:pStyle w:val="Contenidodelatabla"/>
        <w:numPr>
          <w:ilvl w:val="0"/>
          <w:numId w:val="68"/>
        </w:numPr>
        <w:jc w:val="both"/>
        <w:rPr>
          <w:rFonts w:ascii="Arial" w:hAnsi="Arial" w:cs="Arial"/>
          <w:sz w:val="22"/>
          <w:szCs w:val="22"/>
        </w:rPr>
      </w:pPr>
      <w:r w:rsidRPr="00104F4B">
        <w:rPr>
          <w:rFonts w:ascii="Arial" w:hAnsi="Arial" w:cs="Arial"/>
          <w:sz w:val="22"/>
          <w:szCs w:val="22"/>
        </w:rPr>
        <w:t xml:space="preserve">Identificación de Obligaciones Urbanísticas: Se realizaron setenta (70) fichas que contienen el resumen de Instrumentos de Planeación, especificando las cargas urbanísticas y proyectos del Plan de Desarrollo con los cuales se cruzan. </w:t>
      </w:r>
    </w:p>
    <w:p w:rsidR="00D03FD5" w:rsidRPr="00104F4B" w:rsidRDefault="00D03FD5" w:rsidP="00582748">
      <w:pPr>
        <w:pStyle w:val="Contenidodelatabla"/>
        <w:numPr>
          <w:ilvl w:val="0"/>
          <w:numId w:val="68"/>
        </w:numPr>
        <w:jc w:val="both"/>
        <w:rPr>
          <w:rFonts w:ascii="Arial" w:hAnsi="Arial" w:cs="Arial"/>
          <w:sz w:val="22"/>
          <w:szCs w:val="22"/>
        </w:rPr>
      </w:pPr>
      <w:r w:rsidRPr="00104F4B">
        <w:rPr>
          <w:rFonts w:ascii="Arial" w:hAnsi="Arial" w:cs="Arial"/>
          <w:sz w:val="22"/>
          <w:szCs w:val="22"/>
        </w:rPr>
        <w:t xml:space="preserve">Se trabajó en el proceso de complemento de la información del aplicativo de urbanizadores en coordinación con la DTAI, STRT y la SGDU, en el marco del proyecto de Mejores Equipos de Trabajo del IDU, logrando el primer puesto lo que garantizará la materialización del proyecto,  el cual  busca unificar el manejo de la información relacionada con los Instrumentos de Planeación (Planes parciales, planes complementarios, actas SDM entre otros) y facilitar el acompañamiento del IDU al cumplimiento de las obligaciones urbanísticas. </w:t>
      </w:r>
    </w:p>
    <w:p w:rsidR="00D03FD5" w:rsidRPr="00104F4B" w:rsidRDefault="00D03FD5" w:rsidP="00582748">
      <w:pPr>
        <w:pStyle w:val="Contenidodelatabla"/>
        <w:numPr>
          <w:ilvl w:val="0"/>
          <w:numId w:val="68"/>
        </w:numPr>
        <w:spacing w:before="100" w:beforeAutospacing="1" w:after="100" w:afterAutospacing="1"/>
        <w:ind w:left="357" w:hanging="357"/>
        <w:jc w:val="both"/>
        <w:rPr>
          <w:rFonts w:ascii="Arial" w:hAnsi="Arial" w:cs="Arial"/>
          <w:sz w:val="22"/>
          <w:szCs w:val="22"/>
        </w:rPr>
      </w:pPr>
      <w:r w:rsidRPr="00104F4B">
        <w:rPr>
          <w:rFonts w:ascii="Arial" w:hAnsi="Arial" w:cs="Arial"/>
          <w:sz w:val="22"/>
          <w:szCs w:val="22"/>
        </w:rPr>
        <w:t>Se destaca la obtención de la certificación ISO 14001:2004 por parte de Bureau Veritas en el cumplimiento de los estándares ambientales y la actualización de la misma a la versión ISO 14001:2015.</w:t>
      </w:r>
    </w:p>
    <w:p w:rsidR="00D03FD5" w:rsidRPr="00104F4B" w:rsidRDefault="00D03FD5" w:rsidP="00582748">
      <w:pPr>
        <w:pStyle w:val="Contenidodelatabla"/>
        <w:numPr>
          <w:ilvl w:val="0"/>
          <w:numId w:val="68"/>
        </w:numPr>
        <w:spacing w:before="100" w:beforeAutospacing="1" w:after="100" w:afterAutospacing="1"/>
        <w:ind w:left="357" w:hanging="357"/>
        <w:jc w:val="both"/>
        <w:rPr>
          <w:rFonts w:ascii="Arial" w:hAnsi="Arial" w:cs="Arial"/>
          <w:sz w:val="22"/>
          <w:szCs w:val="22"/>
        </w:rPr>
      </w:pPr>
      <w:r w:rsidRPr="00104F4B">
        <w:rPr>
          <w:rFonts w:ascii="Arial" w:hAnsi="Arial" w:cs="Arial"/>
          <w:sz w:val="22"/>
          <w:szCs w:val="22"/>
        </w:rPr>
        <w:t xml:space="preserve">El avance en conocimiento de los procesos APP y la experiencia institucional adquirida, ha permitido dar respuesta oportuna a las diferentes solicitudes de concepto de proyectos de APP, </w:t>
      </w:r>
      <w:r w:rsidRPr="00104F4B">
        <w:rPr>
          <w:rFonts w:ascii="Arial" w:hAnsi="Arial" w:cs="Arial"/>
          <w:sz w:val="22"/>
          <w:szCs w:val="22"/>
        </w:rPr>
        <w:lastRenderedPageBreak/>
        <w:t>realizadas por la Secretaria Distrital de Movilidad, Transmilenio, Secretaria Distrital de Planeación, Gobernación de Cundinamarca, Agencia Nacional de Infraestructura y el Departamento Administrativo del Espacio Público DADEP.</w:t>
      </w:r>
    </w:p>
    <w:p w:rsidR="00D03FD5" w:rsidRPr="00104F4B" w:rsidRDefault="00D03FD5" w:rsidP="00582748">
      <w:pPr>
        <w:pStyle w:val="Contenidodelatabla"/>
        <w:numPr>
          <w:ilvl w:val="0"/>
          <w:numId w:val="68"/>
        </w:numPr>
        <w:spacing w:before="100" w:beforeAutospacing="1" w:after="100" w:afterAutospacing="1"/>
        <w:ind w:left="357" w:hanging="357"/>
        <w:jc w:val="both"/>
        <w:rPr>
          <w:rFonts w:ascii="Arial" w:hAnsi="Arial" w:cs="Arial"/>
          <w:sz w:val="22"/>
          <w:szCs w:val="22"/>
        </w:rPr>
      </w:pPr>
      <w:r w:rsidRPr="00104F4B">
        <w:rPr>
          <w:rFonts w:ascii="Arial" w:hAnsi="Arial" w:cs="Arial"/>
          <w:sz w:val="22"/>
          <w:szCs w:val="22"/>
        </w:rPr>
        <w:t>Con la expedición la ley 1508 de 2012, el Decreto reglamentario 1082 de 2015 y la Directiva 006 de 2018 emitida por el Alcalde Mayor de Bogotá,  se han gestionado la evaluación y verificación de cinco (5) propuestas de APP, así:  una (1) propuesta se encuentra en etapa de factibilidad, una (1) propuesta en etapa de prefactibilidad, una (1) propuesta en etapa prefactibilidad en espera de revisión, la cual está inscrita en segundo lugar en el RUAPP, dos (2) propuestas fueron rechazas y  seis (6) propuestas fueron evaluadas de otras entidades del Distrito.</w:t>
      </w:r>
    </w:p>
    <w:p w:rsidR="00D03FD5" w:rsidRPr="00104F4B" w:rsidRDefault="00D03FD5" w:rsidP="00582748">
      <w:pPr>
        <w:pStyle w:val="Contenidodelatabla"/>
        <w:numPr>
          <w:ilvl w:val="0"/>
          <w:numId w:val="68"/>
        </w:numPr>
        <w:jc w:val="both"/>
        <w:rPr>
          <w:rFonts w:ascii="Arial" w:hAnsi="Arial" w:cs="Arial"/>
          <w:sz w:val="22"/>
          <w:szCs w:val="22"/>
        </w:rPr>
      </w:pPr>
      <w:r w:rsidRPr="00104F4B">
        <w:rPr>
          <w:rFonts w:ascii="Arial" w:hAnsi="Arial" w:cs="Arial"/>
          <w:sz w:val="22"/>
          <w:szCs w:val="22"/>
        </w:rPr>
        <w:t>Se logró el fortalecimiento de la gestión Interinstitucional, para la ejecución de proyectos de infraestructura con alcance Regional.</w:t>
      </w:r>
    </w:p>
    <w:p w:rsidR="00D03FD5" w:rsidRPr="00104F4B" w:rsidRDefault="00D03FD5" w:rsidP="00582748">
      <w:pPr>
        <w:pStyle w:val="Contenidodelatabla"/>
        <w:numPr>
          <w:ilvl w:val="0"/>
          <w:numId w:val="68"/>
        </w:numPr>
        <w:jc w:val="both"/>
        <w:rPr>
          <w:rFonts w:ascii="Arial" w:hAnsi="Arial" w:cs="Arial"/>
          <w:sz w:val="22"/>
          <w:szCs w:val="22"/>
        </w:rPr>
      </w:pPr>
      <w:r w:rsidRPr="00104F4B">
        <w:rPr>
          <w:rFonts w:ascii="Arial" w:hAnsi="Arial" w:cs="Arial"/>
          <w:sz w:val="22"/>
          <w:szCs w:val="22"/>
        </w:rPr>
        <w:t>Se debe establecer claramente el papel del IDU en este tipo de contratos, dado que en su calidad de acompañamiento solo se podían efectuar sugerencias y recomendaciones, que el DNP atendía o no, dentro de sus posibilidades.</w:t>
      </w:r>
    </w:p>
    <w:p w:rsidR="00D03FD5" w:rsidRPr="00104F4B" w:rsidRDefault="00D03FD5" w:rsidP="00582748">
      <w:pPr>
        <w:pStyle w:val="Contenidodelatabla"/>
        <w:numPr>
          <w:ilvl w:val="0"/>
          <w:numId w:val="68"/>
        </w:numPr>
        <w:jc w:val="both"/>
        <w:rPr>
          <w:rFonts w:ascii="Arial" w:hAnsi="Arial" w:cs="Arial"/>
          <w:sz w:val="22"/>
          <w:szCs w:val="22"/>
        </w:rPr>
      </w:pPr>
      <w:r w:rsidRPr="00104F4B">
        <w:rPr>
          <w:rFonts w:ascii="Arial" w:hAnsi="Arial" w:cs="Arial"/>
          <w:sz w:val="22"/>
          <w:szCs w:val="22"/>
        </w:rPr>
        <w:t xml:space="preserve">El cambio conceptual en el uso de los sistemas de información que se ha venido construyendo en la presente administración, ha fortalecido la estructuración de los sistemas de información predial, especialmente, los relacionados con el Sistema de Predios, el Sistema de Información de Gestión Social - SIGES y el OpenERP, convirtiéndose éstos en herramientas fundamentales tanto para la trazabilidad de las actuaciones adelantadas por el equipo de trabajo, como para el aseguramiento de la integridad de la documentación. Para la vigencia 2019, se prevé dar continuidad a este fortalecimiento, trabajando en la integridad de las herramientas tecnológicas y el proceso de Gestión Predial. </w:t>
      </w:r>
    </w:p>
    <w:p w:rsidR="00D03FD5" w:rsidRPr="00104F4B" w:rsidRDefault="00D03FD5" w:rsidP="00582748">
      <w:pPr>
        <w:pStyle w:val="Contenidodelatabla"/>
        <w:numPr>
          <w:ilvl w:val="0"/>
          <w:numId w:val="68"/>
        </w:numPr>
        <w:jc w:val="both"/>
        <w:rPr>
          <w:rFonts w:ascii="Arial" w:hAnsi="Arial" w:cs="Arial"/>
          <w:sz w:val="22"/>
          <w:szCs w:val="22"/>
        </w:rPr>
      </w:pPr>
      <w:r w:rsidRPr="00104F4B">
        <w:rPr>
          <w:rFonts w:ascii="Arial" w:hAnsi="Arial" w:cs="Arial"/>
          <w:sz w:val="22"/>
          <w:szCs w:val="22"/>
        </w:rPr>
        <w:t xml:space="preserve">Se resalta la implementación de los mecanismos de seguimiento que garantizan el control de avance y ejecución de los proyectos y facilitan la toma de decisiones e intervención oportuna en los factores de mayor criticidad en la gestión predial. </w:t>
      </w:r>
    </w:p>
    <w:p w:rsidR="00D03FD5" w:rsidRPr="00104F4B" w:rsidRDefault="00D03FD5" w:rsidP="00582748">
      <w:pPr>
        <w:pStyle w:val="Contenidodelatabla"/>
        <w:numPr>
          <w:ilvl w:val="0"/>
          <w:numId w:val="68"/>
        </w:numPr>
        <w:jc w:val="both"/>
        <w:rPr>
          <w:rFonts w:ascii="Arial" w:hAnsi="Arial" w:cs="Arial"/>
          <w:sz w:val="22"/>
          <w:szCs w:val="22"/>
        </w:rPr>
      </w:pPr>
      <w:r w:rsidRPr="00104F4B">
        <w:rPr>
          <w:rFonts w:ascii="Arial" w:hAnsi="Arial" w:cs="Arial"/>
          <w:sz w:val="22"/>
          <w:szCs w:val="22"/>
        </w:rPr>
        <w:t>Trabajo permanente y articulado con las distintas dependencias del IDU, en la actualización de las Especificaciones técnicas generales de materiales y construcción para proyectos de infraestructura vial y de espacio público para la ejecución de las obras de infraestructura en Bogotá.</w:t>
      </w:r>
    </w:p>
    <w:p w:rsidR="00D03FD5" w:rsidRPr="00104F4B" w:rsidRDefault="00D03FD5" w:rsidP="00582748">
      <w:pPr>
        <w:pStyle w:val="Contenidodelatabla"/>
        <w:numPr>
          <w:ilvl w:val="0"/>
          <w:numId w:val="68"/>
        </w:numPr>
        <w:jc w:val="both"/>
        <w:rPr>
          <w:rFonts w:ascii="Arial" w:hAnsi="Arial" w:cs="Arial"/>
          <w:sz w:val="22"/>
          <w:szCs w:val="22"/>
        </w:rPr>
      </w:pPr>
      <w:r w:rsidRPr="00104F4B">
        <w:rPr>
          <w:rFonts w:ascii="Arial" w:hAnsi="Arial" w:cs="Arial"/>
          <w:sz w:val="22"/>
          <w:szCs w:val="22"/>
        </w:rPr>
        <w:t>Inclusión en las Especificaciones técnicas generales de nuevas alternativas de materiales para las obras a cargo del Instituto, como: Materiales granulares producto del reciclaje y aprovechamiento de residuos de construcción y demolición –RCD-, pisos para escalones de puentes tipo Transmilenio, y aplicación de grano de caucho reciclado en mezclas asfálticas por vía seca.</w:t>
      </w:r>
    </w:p>
    <w:p w:rsidR="00D03FD5" w:rsidRPr="00104F4B" w:rsidRDefault="00D03FD5" w:rsidP="00582748">
      <w:pPr>
        <w:pStyle w:val="Contenidodelatabla"/>
        <w:numPr>
          <w:ilvl w:val="0"/>
          <w:numId w:val="68"/>
        </w:numPr>
        <w:jc w:val="both"/>
        <w:rPr>
          <w:rFonts w:ascii="Arial" w:hAnsi="Arial" w:cs="Arial"/>
          <w:sz w:val="22"/>
          <w:szCs w:val="22"/>
        </w:rPr>
      </w:pPr>
      <w:r w:rsidRPr="00104F4B">
        <w:rPr>
          <w:rFonts w:ascii="Arial" w:hAnsi="Arial" w:cs="Arial"/>
          <w:sz w:val="22"/>
          <w:szCs w:val="22"/>
        </w:rPr>
        <w:t>Ejecución inventarios y diagnósticos de la malla vial (rural y urbana), espacio público y puentes (rurales y urbanos) de Bogotá D.C.</w:t>
      </w:r>
    </w:p>
    <w:p w:rsidR="00D03FD5" w:rsidRPr="00104F4B" w:rsidRDefault="00D03FD5" w:rsidP="00582748">
      <w:pPr>
        <w:pStyle w:val="Contenidodelatabla"/>
        <w:numPr>
          <w:ilvl w:val="0"/>
          <w:numId w:val="68"/>
        </w:numPr>
        <w:jc w:val="both"/>
        <w:rPr>
          <w:rFonts w:ascii="Arial" w:hAnsi="Arial" w:cs="Arial"/>
          <w:sz w:val="22"/>
          <w:szCs w:val="22"/>
        </w:rPr>
      </w:pPr>
      <w:r w:rsidRPr="00104F4B">
        <w:rPr>
          <w:rFonts w:ascii="Arial" w:hAnsi="Arial" w:cs="Arial"/>
          <w:sz w:val="22"/>
          <w:szCs w:val="22"/>
        </w:rPr>
        <w:t>Transferencia y difusión del conocimiento resultado de las actividades realizadas, a través de socializaciones (eventos) y publicaciones (Documentos publicados en intranet y pagina Web).</w:t>
      </w:r>
    </w:p>
    <w:p w:rsidR="00D03FD5" w:rsidRPr="00104F4B" w:rsidRDefault="00D03FD5" w:rsidP="00582748">
      <w:pPr>
        <w:pStyle w:val="Contenidodelatabla"/>
        <w:numPr>
          <w:ilvl w:val="0"/>
          <w:numId w:val="68"/>
        </w:numPr>
        <w:jc w:val="both"/>
        <w:rPr>
          <w:rFonts w:ascii="Arial" w:hAnsi="Arial" w:cs="Arial"/>
          <w:sz w:val="22"/>
          <w:szCs w:val="22"/>
        </w:rPr>
      </w:pPr>
      <w:r w:rsidRPr="00104F4B">
        <w:rPr>
          <w:rFonts w:ascii="Arial" w:hAnsi="Arial" w:cs="Arial"/>
          <w:sz w:val="22"/>
          <w:szCs w:val="22"/>
        </w:rPr>
        <w:t>Se realizaron dos fases de actualizaciones de la base de datos de Precios de Referencia, que sirvieron de insumo para el desarrollo de proyectos de infraestructura vial y espacio público, una en junio y otra en diciembre de 2018.</w:t>
      </w:r>
    </w:p>
    <w:p w:rsidR="00D03FD5" w:rsidRPr="00104F4B" w:rsidRDefault="00D03FD5" w:rsidP="00582748">
      <w:pPr>
        <w:pStyle w:val="Contenidodelatabla"/>
        <w:numPr>
          <w:ilvl w:val="0"/>
          <w:numId w:val="68"/>
        </w:numPr>
        <w:jc w:val="both"/>
        <w:rPr>
          <w:rFonts w:ascii="Arial" w:hAnsi="Arial" w:cs="Arial"/>
          <w:sz w:val="22"/>
          <w:szCs w:val="22"/>
        </w:rPr>
      </w:pPr>
      <w:r w:rsidRPr="00104F4B">
        <w:rPr>
          <w:rFonts w:ascii="Arial" w:hAnsi="Arial" w:cs="Arial"/>
          <w:sz w:val="22"/>
          <w:szCs w:val="22"/>
        </w:rPr>
        <w:t>Se realizó la publicación de la base de datos de precios de referencia en el mes de julio y en el mes de diciembre de 2018.</w:t>
      </w:r>
    </w:p>
    <w:p w:rsidR="00D03FD5" w:rsidRPr="00104F4B" w:rsidRDefault="00D03FD5" w:rsidP="00582748">
      <w:pPr>
        <w:pStyle w:val="Contenidodelatabla"/>
        <w:numPr>
          <w:ilvl w:val="0"/>
          <w:numId w:val="68"/>
        </w:numPr>
        <w:jc w:val="both"/>
        <w:rPr>
          <w:rFonts w:ascii="Arial" w:hAnsi="Arial" w:cs="Arial"/>
          <w:sz w:val="22"/>
          <w:szCs w:val="22"/>
        </w:rPr>
      </w:pPr>
      <w:r w:rsidRPr="00104F4B">
        <w:rPr>
          <w:rFonts w:ascii="Arial" w:hAnsi="Arial" w:cs="Arial"/>
          <w:sz w:val="22"/>
          <w:szCs w:val="22"/>
        </w:rPr>
        <w:t>Apoyo a la supervisión del contrato 1522-2017, para la adquisición de un software para la administración de la base de precios de referencia del IDU.</w:t>
      </w:r>
    </w:p>
    <w:p w:rsidR="00D03FD5" w:rsidRPr="00104F4B" w:rsidRDefault="00D03FD5" w:rsidP="00582748">
      <w:pPr>
        <w:pStyle w:val="Contenidodelatabla"/>
        <w:numPr>
          <w:ilvl w:val="0"/>
          <w:numId w:val="68"/>
        </w:numPr>
        <w:jc w:val="both"/>
        <w:rPr>
          <w:rFonts w:ascii="Arial" w:hAnsi="Arial" w:cs="Arial"/>
          <w:sz w:val="22"/>
          <w:szCs w:val="22"/>
        </w:rPr>
      </w:pPr>
      <w:r w:rsidRPr="00104F4B">
        <w:rPr>
          <w:rFonts w:ascii="Arial" w:hAnsi="Arial" w:cs="Arial"/>
          <w:sz w:val="22"/>
          <w:szCs w:val="22"/>
        </w:rPr>
        <w:t xml:space="preserve">Se crearon o actualizaron los siguientes servicios geográficos o aplicativos: Frentes de Obra, Plan de Desarrollo 2016-2020, Sistema de Información Geográfica SIGIDU, Diagnóstico de la malla vial de Bogotá 2016 (Diseño Aplicativo), Inventario de la Infraestructura Vial, Servicio </w:t>
      </w:r>
      <w:r w:rsidRPr="00104F4B">
        <w:rPr>
          <w:rFonts w:ascii="Arial" w:hAnsi="Arial" w:cs="Arial"/>
          <w:sz w:val="22"/>
          <w:szCs w:val="22"/>
        </w:rPr>
        <w:lastRenderedPageBreak/>
        <w:t>Inventario de Puentes, Infraestructura Cicloinclusiva, Directorio de proveedores, Servicios Inventario de Predios, Diagnóstico Básico del Espacio Público, Servicio Inventario de Puentes, Servicios Inventario de Predios (Diseño Aplicativo).</w:t>
      </w:r>
    </w:p>
    <w:p w:rsidR="00D03FD5" w:rsidRPr="00104F4B" w:rsidRDefault="00D03FD5" w:rsidP="00582748">
      <w:pPr>
        <w:pStyle w:val="Contenidodelatabla"/>
        <w:numPr>
          <w:ilvl w:val="0"/>
          <w:numId w:val="68"/>
        </w:numPr>
        <w:jc w:val="both"/>
        <w:rPr>
          <w:rFonts w:ascii="Arial" w:hAnsi="Arial" w:cs="Arial"/>
          <w:sz w:val="22"/>
          <w:szCs w:val="22"/>
        </w:rPr>
      </w:pPr>
      <w:r w:rsidRPr="00104F4B">
        <w:rPr>
          <w:rFonts w:ascii="Arial" w:hAnsi="Arial" w:cs="Arial"/>
          <w:sz w:val="22"/>
          <w:szCs w:val="22"/>
        </w:rPr>
        <w:t xml:space="preserve">El Directorio es actualizado dos (2) veces al mes, para un total de veinticuatro (24) actualizaciones a la fecha, las cuales se pueden descargar de la página web https://www.idu.gov.co/page/siipviales/ambiental/portafolio. </w:t>
      </w:r>
    </w:p>
    <w:p w:rsidR="00D03FD5" w:rsidRPr="00104F4B" w:rsidRDefault="00D03FD5" w:rsidP="00582748">
      <w:pPr>
        <w:pStyle w:val="Contenidodelatabla"/>
        <w:numPr>
          <w:ilvl w:val="0"/>
          <w:numId w:val="68"/>
        </w:numPr>
        <w:jc w:val="both"/>
        <w:rPr>
          <w:rFonts w:ascii="Arial" w:hAnsi="Arial" w:cs="Arial"/>
          <w:sz w:val="22"/>
          <w:szCs w:val="22"/>
        </w:rPr>
      </w:pPr>
      <w:r w:rsidRPr="00104F4B">
        <w:rPr>
          <w:rFonts w:ascii="Arial" w:hAnsi="Arial" w:cs="Arial"/>
          <w:sz w:val="22"/>
          <w:szCs w:val="22"/>
        </w:rPr>
        <w:t>Se encuentran georreferenciados ciento cuarenta (143) proveedores, en la base de datos SIGIDU, para creación e implementación del nuevo visor del directorio de proveedores mediante el Servicio Geográfico del Directorio.</w:t>
      </w:r>
    </w:p>
    <w:p w:rsidR="00D03FD5" w:rsidRPr="00104F4B" w:rsidRDefault="00D03FD5" w:rsidP="00582748">
      <w:pPr>
        <w:pStyle w:val="Contenidodelatabla"/>
        <w:numPr>
          <w:ilvl w:val="0"/>
          <w:numId w:val="68"/>
        </w:numPr>
        <w:jc w:val="both"/>
        <w:rPr>
          <w:rFonts w:ascii="Arial" w:hAnsi="Arial" w:cs="Arial"/>
          <w:sz w:val="22"/>
          <w:szCs w:val="22"/>
        </w:rPr>
      </w:pPr>
      <w:r w:rsidRPr="00104F4B">
        <w:rPr>
          <w:rFonts w:ascii="Arial" w:hAnsi="Arial" w:cs="Arial"/>
          <w:sz w:val="22"/>
          <w:szCs w:val="22"/>
        </w:rPr>
        <w:t xml:space="preserve">Se ha trabajado de manera articulada con las Direcciones Técnicas de la SGDU, la Subdirección General Jurídica y la Dirección Técnica de Gestión Contractual, para lograr una liquidación efectiva, realizando el seguimiento en cada uno de los contratos y atendiendo las recomendaciones consultadas con el área jurídica.  </w:t>
      </w:r>
    </w:p>
    <w:p w:rsidR="00D03FD5" w:rsidRPr="00104F4B" w:rsidRDefault="00D03FD5" w:rsidP="00582748">
      <w:pPr>
        <w:pStyle w:val="Contenidodelatabla"/>
        <w:numPr>
          <w:ilvl w:val="0"/>
          <w:numId w:val="68"/>
        </w:numPr>
        <w:jc w:val="both"/>
        <w:rPr>
          <w:rFonts w:ascii="Arial" w:hAnsi="Arial" w:cs="Arial"/>
          <w:sz w:val="22"/>
          <w:szCs w:val="22"/>
        </w:rPr>
      </w:pPr>
      <w:r w:rsidRPr="00104F4B">
        <w:rPr>
          <w:rFonts w:ascii="Arial" w:hAnsi="Arial" w:cs="Arial"/>
          <w:sz w:val="22"/>
          <w:szCs w:val="22"/>
        </w:rPr>
        <w:t>Se simplifico el trámite de firmas de las actas de pago al eliminar la firma del ordenador del gasto del formato FODP08 - ACTA PAGO CONSULTORIA PARA ESTUDIOS Y DISEÑOS del Acta de Pago y FODP09 - ACTA PAGO INTERVENTORIA PARA ESTUDIOS Y DISEÑOS.</w:t>
      </w:r>
    </w:p>
    <w:p w:rsidR="00D03FD5" w:rsidRDefault="00524EDD" w:rsidP="00770D4A">
      <w:pPr>
        <w:pStyle w:val="Ttulo1"/>
        <w:rPr>
          <w:rFonts w:ascii="Arial" w:hAnsi="Arial" w:cs="Arial"/>
          <w:sz w:val="22"/>
          <w:szCs w:val="22"/>
          <w:lang w:val="es-CO"/>
        </w:rPr>
      </w:pPr>
      <w:bookmarkStart w:id="73" w:name="_Toc536195561"/>
      <w:r w:rsidRPr="00104F4B">
        <w:rPr>
          <w:rFonts w:ascii="Arial" w:hAnsi="Arial" w:cs="Arial"/>
          <w:sz w:val="22"/>
          <w:szCs w:val="22"/>
          <w:lang w:val="es-CO"/>
        </w:rPr>
        <w:t>6.3 Recomendaciones para el mejoramiento de la gestión</w:t>
      </w:r>
      <w:bookmarkEnd w:id="73"/>
    </w:p>
    <w:p w:rsidR="005C3D90" w:rsidRPr="005C3D90" w:rsidRDefault="005C3D90" w:rsidP="005C3D90">
      <w:pPr>
        <w:rPr>
          <w:lang w:val="es-CO"/>
        </w:rPr>
      </w:pPr>
    </w:p>
    <w:p w:rsidR="00524EDD" w:rsidRPr="00104F4B" w:rsidRDefault="00524EDD" w:rsidP="00582748">
      <w:pPr>
        <w:pStyle w:val="Contenidodelatabla"/>
        <w:numPr>
          <w:ilvl w:val="0"/>
          <w:numId w:val="68"/>
        </w:numPr>
        <w:jc w:val="both"/>
        <w:rPr>
          <w:rFonts w:ascii="Arial" w:hAnsi="Arial" w:cs="Arial"/>
          <w:sz w:val="22"/>
          <w:szCs w:val="22"/>
        </w:rPr>
      </w:pPr>
      <w:r w:rsidRPr="00104F4B">
        <w:rPr>
          <w:rFonts w:ascii="Arial" w:hAnsi="Arial" w:cs="Arial"/>
          <w:sz w:val="22"/>
          <w:szCs w:val="22"/>
        </w:rPr>
        <w:t>Se recomienda continuar con el proceso de elaboración y adopción del “Manual Intervención de Urbanizadores y/o Terceros”, de acuerdo con los lineamientos de la Subdirección General Jurídica, donde se busca unificar la metodología para el recibo de obras ejecutadas por Urbanizadores y/o Terceros.</w:t>
      </w:r>
    </w:p>
    <w:p w:rsidR="00524EDD" w:rsidRPr="00104F4B" w:rsidRDefault="00524EDD" w:rsidP="00582748">
      <w:pPr>
        <w:pStyle w:val="Contenidodelatabla"/>
        <w:numPr>
          <w:ilvl w:val="0"/>
          <w:numId w:val="68"/>
        </w:numPr>
        <w:jc w:val="both"/>
        <w:rPr>
          <w:rFonts w:ascii="Arial" w:hAnsi="Arial" w:cs="Arial"/>
          <w:sz w:val="22"/>
          <w:szCs w:val="22"/>
        </w:rPr>
      </w:pPr>
      <w:r w:rsidRPr="00104F4B">
        <w:rPr>
          <w:rFonts w:ascii="Arial" w:hAnsi="Arial" w:cs="Arial"/>
          <w:sz w:val="22"/>
          <w:szCs w:val="22"/>
        </w:rPr>
        <w:t xml:space="preserve">Implementar acciones que garanticen el equilibrio de la inversión en el avance de la obra privada dentro del predio en concordancia con el progreso del cumplimiento de las cargas y acciones urbanísticas. </w:t>
      </w:r>
    </w:p>
    <w:p w:rsidR="00524EDD" w:rsidRPr="00104F4B" w:rsidRDefault="00524EDD" w:rsidP="00582748">
      <w:pPr>
        <w:pStyle w:val="Contenidodelatabla"/>
        <w:numPr>
          <w:ilvl w:val="0"/>
          <w:numId w:val="68"/>
        </w:numPr>
        <w:jc w:val="both"/>
        <w:rPr>
          <w:rFonts w:ascii="Arial" w:hAnsi="Arial" w:cs="Arial"/>
          <w:sz w:val="22"/>
          <w:szCs w:val="22"/>
        </w:rPr>
      </w:pPr>
      <w:r w:rsidRPr="00104F4B">
        <w:rPr>
          <w:rFonts w:ascii="Arial" w:hAnsi="Arial" w:cs="Arial"/>
          <w:sz w:val="22"/>
          <w:szCs w:val="22"/>
        </w:rPr>
        <w:t>Efectuar desde la DTP, con el acompañamiento de la SGI y la SGDU, el desarrollo de unos anexos técnicos tipo que facilite la gestión de los solicitantes.</w:t>
      </w:r>
    </w:p>
    <w:p w:rsidR="00524EDD" w:rsidRPr="00104F4B" w:rsidRDefault="00524EDD" w:rsidP="00582748">
      <w:pPr>
        <w:pStyle w:val="Contenidodelatabla"/>
        <w:numPr>
          <w:ilvl w:val="0"/>
          <w:numId w:val="68"/>
        </w:numPr>
        <w:jc w:val="both"/>
        <w:rPr>
          <w:rFonts w:ascii="Arial" w:hAnsi="Arial" w:cs="Arial"/>
          <w:sz w:val="22"/>
          <w:szCs w:val="22"/>
        </w:rPr>
      </w:pPr>
      <w:r w:rsidRPr="00104F4B">
        <w:rPr>
          <w:rFonts w:ascii="Arial" w:hAnsi="Arial" w:cs="Arial"/>
          <w:sz w:val="22"/>
          <w:szCs w:val="22"/>
        </w:rPr>
        <w:t>A nivel de capacidad de respuesta por el IDU, consideramos necesario ampliar el equipo de especialistas de la DTP, en razón a las demoras en la respuesta al solicitante de las no conformidades de lo radicado.</w:t>
      </w:r>
    </w:p>
    <w:p w:rsidR="00524EDD" w:rsidRPr="00104F4B" w:rsidRDefault="00524EDD" w:rsidP="00582748">
      <w:pPr>
        <w:pStyle w:val="Contenidodelatabla"/>
        <w:numPr>
          <w:ilvl w:val="0"/>
          <w:numId w:val="68"/>
        </w:numPr>
        <w:jc w:val="both"/>
        <w:rPr>
          <w:rFonts w:ascii="Arial" w:hAnsi="Arial" w:cs="Arial"/>
          <w:sz w:val="22"/>
          <w:szCs w:val="22"/>
        </w:rPr>
      </w:pPr>
      <w:r w:rsidRPr="00104F4B">
        <w:rPr>
          <w:rFonts w:ascii="Arial" w:hAnsi="Arial" w:cs="Arial"/>
          <w:sz w:val="22"/>
          <w:szCs w:val="22"/>
        </w:rPr>
        <w:t xml:space="preserve">Continuar con el apoyo y participación en las instancias de gestión y coordinación ambiental que requiera el Instituto, en el marco de la competencia de la SGDU.     </w:t>
      </w:r>
    </w:p>
    <w:p w:rsidR="00524EDD" w:rsidRPr="00104F4B" w:rsidRDefault="00524EDD" w:rsidP="00582748">
      <w:pPr>
        <w:pStyle w:val="Contenidodelatabla"/>
        <w:numPr>
          <w:ilvl w:val="0"/>
          <w:numId w:val="68"/>
        </w:numPr>
        <w:jc w:val="both"/>
        <w:rPr>
          <w:rFonts w:ascii="Arial" w:hAnsi="Arial" w:cs="Arial"/>
          <w:sz w:val="22"/>
          <w:szCs w:val="22"/>
        </w:rPr>
      </w:pPr>
      <w:r w:rsidRPr="00104F4B">
        <w:rPr>
          <w:rFonts w:ascii="Arial" w:hAnsi="Arial" w:cs="Arial"/>
          <w:sz w:val="22"/>
          <w:szCs w:val="22"/>
        </w:rPr>
        <w:t>Continuar con la evaluación de las Propuestas de Iniciativa Privada en la etapa de Prefactibilidad: “Autopista Urbana Norte de Bogotá” en los términos de la Ley 1508, Decreto 1082 de 2015 y Directiva 006 de 2018.</w:t>
      </w:r>
    </w:p>
    <w:p w:rsidR="00524EDD" w:rsidRPr="00104F4B" w:rsidRDefault="00524EDD" w:rsidP="00582748">
      <w:pPr>
        <w:pStyle w:val="Contenidodelatabla"/>
        <w:numPr>
          <w:ilvl w:val="0"/>
          <w:numId w:val="68"/>
        </w:numPr>
        <w:jc w:val="both"/>
        <w:rPr>
          <w:rFonts w:ascii="Arial" w:hAnsi="Arial" w:cs="Arial"/>
          <w:sz w:val="22"/>
          <w:szCs w:val="22"/>
        </w:rPr>
      </w:pPr>
      <w:r w:rsidRPr="00104F4B">
        <w:rPr>
          <w:rFonts w:ascii="Arial" w:hAnsi="Arial" w:cs="Arial"/>
          <w:sz w:val="22"/>
          <w:szCs w:val="22"/>
        </w:rPr>
        <w:t>Realizar seguimiento al Convenio No.1442-009 de 2018 de colaboración y cooperación interadministrativo para la adecuada aprobación de factibilidad, adjudicación y ejecución del proyecto de asociación público-privada de iniciativa privada Avenida Longitudinal de Occidente -Alo-Tramo Sur desde Chusacá hasta la Calle 13, entre Bogotá Distrito capital, el Instituto de Desarrollo Urbano y la Agencia Nacional de Infraestructura- ANI.</w:t>
      </w:r>
    </w:p>
    <w:p w:rsidR="00524EDD" w:rsidRPr="00104F4B" w:rsidRDefault="00524EDD" w:rsidP="00582748">
      <w:pPr>
        <w:pStyle w:val="Contenidodelatabla"/>
        <w:numPr>
          <w:ilvl w:val="0"/>
          <w:numId w:val="68"/>
        </w:numPr>
        <w:jc w:val="both"/>
        <w:rPr>
          <w:rFonts w:ascii="Arial" w:hAnsi="Arial" w:cs="Arial"/>
          <w:sz w:val="22"/>
          <w:szCs w:val="22"/>
        </w:rPr>
      </w:pPr>
      <w:r w:rsidRPr="00104F4B">
        <w:rPr>
          <w:rFonts w:ascii="Arial" w:hAnsi="Arial" w:cs="Arial"/>
          <w:sz w:val="22"/>
          <w:szCs w:val="22"/>
        </w:rPr>
        <w:t>Gestionar el convenio de cooperación entre la ANI, el Distrito y el IDU, para la entrega del corredor vial en el territorio Distrital del proyecto Accenorte Fase II de iniciativa pública, con el fin de atender las observaciones realizada por el Ministerio de Hacienda y Crédito Público.</w:t>
      </w:r>
    </w:p>
    <w:p w:rsidR="00524EDD" w:rsidRPr="00104F4B" w:rsidRDefault="00524EDD" w:rsidP="00582748">
      <w:pPr>
        <w:pStyle w:val="Contenidodelatabla"/>
        <w:numPr>
          <w:ilvl w:val="0"/>
          <w:numId w:val="68"/>
        </w:numPr>
        <w:jc w:val="both"/>
        <w:rPr>
          <w:rFonts w:ascii="Arial" w:hAnsi="Arial" w:cs="Arial"/>
          <w:sz w:val="22"/>
          <w:szCs w:val="22"/>
        </w:rPr>
      </w:pPr>
      <w:r w:rsidRPr="00104F4B">
        <w:rPr>
          <w:rFonts w:ascii="Arial" w:hAnsi="Arial" w:cs="Arial"/>
          <w:sz w:val="22"/>
          <w:szCs w:val="22"/>
        </w:rPr>
        <w:t>Realizar las gestiones pertinentes para la actualización del “Manual Para la Gestión y Evaluación de Propuestas de Asociación Público Privada en Etapas de Prefactibilidad y Factibilidad”.</w:t>
      </w:r>
    </w:p>
    <w:p w:rsidR="00524EDD" w:rsidRPr="00104F4B" w:rsidRDefault="00524EDD" w:rsidP="00582748">
      <w:pPr>
        <w:pStyle w:val="Contenidodelatabla"/>
        <w:numPr>
          <w:ilvl w:val="0"/>
          <w:numId w:val="68"/>
        </w:numPr>
        <w:jc w:val="both"/>
        <w:rPr>
          <w:rFonts w:ascii="Arial" w:hAnsi="Arial" w:cs="Arial"/>
          <w:sz w:val="22"/>
          <w:szCs w:val="22"/>
        </w:rPr>
      </w:pPr>
      <w:r w:rsidRPr="00104F4B">
        <w:rPr>
          <w:rFonts w:ascii="Arial" w:hAnsi="Arial" w:cs="Arial"/>
          <w:sz w:val="22"/>
          <w:szCs w:val="22"/>
        </w:rPr>
        <w:t xml:space="preserve">La DTDP trabaja en los ejercicios de planificación de la vigencia 2019 previendo desde estos, el fortalecimiento de su equipo de trabajo y de los sistemas de seguimiento con el fin de garantizar </w:t>
      </w:r>
      <w:r w:rsidRPr="00104F4B">
        <w:rPr>
          <w:rFonts w:ascii="Arial" w:hAnsi="Arial" w:cs="Arial"/>
          <w:sz w:val="22"/>
          <w:szCs w:val="22"/>
        </w:rPr>
        <w:lastRenderedPageBreak/>
        <w:t xml:space="preserve">el cumplimiento de las metas institucionales y las previstas en el actual Plan de Desarrollo Distrital. </w:t>
      </w:r>
    </w:p>
    <w:p w:rsidR="00524EDD" w:rsidRPr="00104F4B" w:rsidRDefault="00524EDD" w:rsidP="00582748">
      <w:pPr>
        <w:pStyle w:val="Contenidodelatabla"/>
        <w:numPr>
          <w:ilvl w:val="0"/>
          <w:numId w:val="68"/>
        </w:numPr>
        <w:jc w:val="both"/>
        <w:rPr>
          <w:rFonts w:ascii="Arial" w:hAnsi="Arial" w:cs="Arial"/>
          <w:sz w:val="22"/>
          <w:szCs w:val="22"/>
        </w:rPr>
      </w:pPr>
      <w:r w:rsidRPr="00104F4B">
        <w:rPr>
          <w:rFonts w:ascii="Arial" w:hAnsi="Arial" w:cs="Arial"/>
          <w:sz w:val="22"/>
          <w:szCs w:val="22"/>
        </w:rPr>
        <w:t xml:space="preserve">Incluye lo anterior, el planteamiento de alternativas que faciliten operativamente los flujos de trabajo con entidades tales como SNR, UAECD y ESP, conllevando al </w:t>
      </w:r>
    </w:p>
    <w:p w:rsidR="00524EDD" w:rsidRPr="00104F4B" w:rsidRDefault="00524EDD" w:rsidP="00582748">
      <w:pPr>
        <w:pStyle w:val="Contenidodelatabla"/>
        <w:numPr>
          <w:ilvl w:val="0"/>
          <w:numId w:val="68"/>
        </w:numPr>
        <w:jc w:val="both"/>
        <w:rPr>
          <w:rFonts w:ascii="Arial" w:hAnsi="Arial" w:cs="Arial"/>
          <w:sz w:val="22"/>
          <w:szCs w:val="22"/>
        </w:rPr>
      </w:pPr>
      <w:r w:rsidRPr="00104F4B">
        <w:rPr>
          <w:rFonts w:ascii="Arial" w:hAnsi="Arial" w:cs="Arial"/>
          <w:sz w:val="22"/>
          <w:szCs w:val="22"/>
        </w:rPr>
        <w:t>Garantizar la actualización constante de los insumos de diagnóstico e inventario de la infraestructura vial y de espació público de la ciudad. Igualmente, consolidar un sistema de gestión o administración de la infraestructura a cargo del IDU que permita dar lineamientos para la planeación de los proyectos de conservación.</w:t>
      </w:r>
    </w:p>
    <w:p w:rsidR="00524EDD" w:rsidRPr="00104F4B" w:rsidRDefault="00524EDD" w:rsidP="00582748">
      <w:pPr>
        <w:pStyle w:val="Contenidodelatabla"/>
        <w:numPr>
          <w:ilvl w:val="0"/>
          <w:numId w:val="68"/>
        </w:numPr>
        <w:jc w:val="both"/>
        <w:rPr>
          <w:rFonts w:ascii="Arial" w:hAnsi="Arial" w:cs="Arial"/>
          <w:sz w:val="22"/>
          <w:szCs w:val="22"/>
        </w:rPr>
      </w:pPr>
      <w:r w:rsidRPr="00104F4B">
        <w:rPr>
          <w:rFonts w:ascii="Arial" w:hAnsi="Arial" w:cs="Arial"/>
          <w:sz w:val="22"/>
          <w:szCs w:val="22"/>
        </w:rPr>
        <w:t>Realizar actualización y generación constante de las especificaciones y documentos técnicos para la ejecución de los proyectos de construcción y conservación, de acuerdo a las necesidades del Instituto.</w:t>
      </w:r>
    </w:p>
    <w:p w:rsidR="00524EDD" w:rsidRPr="00104F4B" w:rsidRDefault="00524EDD" w:rsidP="00582748">
      <w:pPr>
        <w:pStyle w:val="Contenidodelatabla"/>
        <w:numPr>
          <w:ilvl w:val="0"/>
          <w:numId w:val="68"/>
        </w:numPr>
        <w:jc w:val="both"/>
        <w:rPr>
          <w:rFonts w:ascii="Arial" w:hAnsi="Arial" w:cs="Arial"/>
          <w:sz w:val="22"/>
          <w:szCs w:val="22"/>
        </w:rPr>
      </w:pPr>
      <w:r w:rsidRPr="00104F4B">
        <w:rPr>
          <w:rFonts w:ascii="Arial" w:hAnsi="Arial" w:cs="Arial"/>
          <w:sz w:val="22"/>
          <w:szCs w:val="22"/>
        </w:rPr>
        <w:t>Fortalecer la aplicación y generación de nuevas alternativas en las obras desarrolladas por la Entidad, sobre productos, técnicas y tecnologías que sean ambiental y técnicamente sostenibles.</w:t>
      </w:r>
    </w:p>
    <w:p w:rsidR="00524EDD" w:rsidRPr="00104F4B" w:rsidRDefault="00524EDD" w:rsidP="00582748">
      <w:pPr>
        <w:pStyle w:val="Contenidodelatabla"/>
        <w:numPr>
          <w:ilvl w:val="0"/>
          <w:numId w:val="68"/>
        </w:numPr>
        <w:jc w:val="both"/>
        <w:rPr>
          <w:rFonts w:ascii="Arial" w:hAnsi="Arial" w:cs="Arial"/>
          <w:sz w:val="22"/>
          <w:szCs w:val="22"/>
        </w:rPr>
      </w:pPr>
      <w:r w:rsidRPr="00104F4B">
        <w:rPr>
          <w:rFonts w:ascii="Arial" w:hAnsi="Arial" w:cs="Arial"/>
          <w:sz w:val="22"/>
          <w:szCs w:val="22"/>
        </w:rPr>
        <w:t>Ajustar el modelo de la recolección de cotizaciones de insumos para la actualización de la base de datos de precios de referencia para el desarrollo de proyectos de infraestructura vial y espacio público, dada la dificultad para el acopio de información (SECOP II).</w:t>
      </w:r>
    </w:p>
    <w:p w:rsidR="00524EDD" w:rsidRPr="00104F4B" w:rsidRDefault="00524EDD" w:rsidP="00582748">
      <w:pPr>
        <w:pStyle w:val="Contenidodelatabla"/>
        <w:numPr>
          <w:ilvl w:val="0"/>
          <w:numId w:val="68"/>
        </w:numPr>
        <w:jc w:val="both"/>
        <w:rPr>
          <w:rFonts w:ascii="Arial" w:hAnsi="Arial" w:cs="Arial"/>
          <w:sz w:val="22"/>
          <w:szCs w:val="22"/>
        </w:rPr>
      </w:pPr>
      <w:r w:rsidRPr="00104F4B">
        <w:rPr>
          <w:rFonts w:ascii="Arial" w:hAnsi="Arial" w:cs="Arial"/>
          <w:sz w:val="22"/>
          <w:szCs w:val="22"/>
        </w:rPr>
        <w:t>Continuar con la evaluación de calidad de la información atributiva del sistema de información Geográfica SIGIDU</w:t>
      </w:r>
    </w:p>
    <w:p w:rsidR="00524EDD" w:rsidRPr="00104F4B" w:rsidRDefault="00524EDD" w:rsidP="00582748">
      <w:pPr>
        <w:pStyle w:val="Contenidodelatabla"/>
        <w:numPr>
          <w:ilvl w:val="0"/>
          <w:numId w:val="68"/>
        </w:numPr>
        <w:jc w:val="both"/>
        <w:rPr>
          <w:rFonts w:ascii="Arial" w:hAnsi="Arial" w:cs="Arial"/>
          <w:sz w:val="22"/>
          <w:szCs w:val="22"/>
        </w:rPr>
      </w:pPr>
      <w:r w:rsidRPr="00104F4B">
        <w:rPr>
          <w:rFonts w:ascii="Arial" w:hAnsi="Arial" w:cs="Arial"/>
          <w:sz w:val="22"/>
          <w:szCs w:val="22"/>
        </w:rPr>
        <w:t>Realizar la actualización, el mantenimiento y soporte anual de la plataforma utilizada para el almacenamiento, captura, cargue y despliegue del sistema de información geográfica.</w:t>
      </w:r>
    </w:p>
    <w:p w:rsidR="00524EDD" w:rsidRPr="00104F4B" w:rsidRDefault="00524EDD" w:rsidP="00582748">
      <w:pPr>
        <w:pStyle w:val="Contenidodelatabla"/>
        <w:numPr>
          <w:ilvl w:val="0"/>
          <w:numId w:val="68"/>
        </w:numPr>
        <w:jc w:val="both"/>
        <w:rPr>
          <w:rFonts w:ascii="Arial" w:hAnsi="Arial" w:cs="Arial"/>
          <w:sz w:val="22"/>
          <w:szCs w:val="22"/>
        </w:rPr>
      </w:pPr>
      <w:r w:rsidRPr="00104F4B">
        <w:rPr>
          <w:rFonts w:ascii="Arial" w:hAnsi="Arial" w:cs="Arial"/>
          <w:sz w:val="22"/>
          <w:szCs w:val="22"/>
        </w:rPr>
        <w:t>Fortalecer tecnológicamente los procesos de captura de información.</w:t>
      </w:r>
    </w:p>
    <w:p w:rsidR="00524EDD" w:rsidRPr="00104F4B" w:rsidRDefault="00524EDD" w:rsidP="00582748">
      <w:pPr>
        <w:pStyle w:val="Contenidodelatabla"/>
        <w:numPr>
          <w:ilvl w:val="0"/>
          <w:numId w:val="68"/>
        </w:numPr>
        <w:jc w:val="both"/>
        <w:rPr>
          <w:rFonts w:ascii="Arial" w:hAnsi="Arial" w:cs="Arial"/>
          <w:sz w:val="22"/>
          <w:szCs w:val="22"/>
        </w:rPr>
      </w:pPr>
      <w:r w:rsidRPr="00104F4B">
        <w:rPr>
          <w:rFonts w:ascii="Arial" w:hAnsi="Arial" w:cs="Arial"/>
          <w:sz w:val="22"/>
          <w:szCs w:val="22"/>
        </w:rPr>
        <w:t xml:space="preserve">Realizar captura permanente de la información que sirve como base para el diagnóstico del espacio público.  </w:t>
      </w:r>
    </w:p>
    <w:p w:rsidR="00524EDD" w:rsidRPr="00104F4B" w:rsidRDefault="00524EDD" w:rsidP="00582748">
      <w:pPr>
        <w:pStyle w:val="Contenidodelatabla"/>
        <w:numPr>
          <w:ilvl w:val="0"/>
          <w:numId w:val="68"/>
        </w:numPr>
        <w:jc w:val="both"/>
        <w:rPr>
          <w:rFonts w:ascii="Arial" w:hAnsi="Arial" w:cs="Arial"/>
          <w:sz w:val="22"/>
          <w:szCs w:val="22"/>
        </w:rPr>
      </w:pPr>
      <w:r w:rsidRPr="00104F4B">
        <w:rPr>
          <w:rFonts w:ascii="Arial" w:hAnsi="Arial" w:cs="Arial"/>
          <w:sz w:val="22"/>
          <w:szCs w:val="22"/>
        </w:rPr>
        <w:t xml:space="preserve">Se considera prioritario realizar alianzas estratégicas con Entidades de orden Distrital y/o Nacional, para la revisión y aprobación de productos. </w:t>
      </w:r>
    </w:p>
    <w:p w:rsidR="00524EDD" w:rsidRPr="00104F4B" w:rsidRDefault="0039410F" w:rsidP="00770D4A">
      <w:pPr>
        <w:pStyle w:val="Ttulo1"/>
        <w:rPr>
          <w:rFonts w:ascii="Arial" w:hAnsi="Arial" w:cs="Arial"/>
          <w:sz w:val="22"/>
          <w:szCs w:val="22"/>
          <w:lang w:val="es-CO"/>
        </w:rPr>
      </w:pPr>
      <w:bookmarkStart w:id="74" w:name="_Toc536195562"/>
      <w:r w:rsidRPr="00104F4B">
        <w:rPr>
          <w:rFonts w:ascii="Arial" w:hAnsi="Arial" w:cs="Arial"/>
          <w:sz w:val="22"/>
          <w:szCs w:val="22"/>
          <w:lang w:val="es-CO"/>
        </w:rPr>
        <w:t>6.4 Dificultades en la ejecución de la gestión a cargo</w:t>
      </w:r>
      <w:bookmarkEnd w:id="74"/>
    </w:p>
    <w:p w:rsidR="00A2637D" w:rsidRPr="00104F4B" w:rsidRDefault="00A2637D" w:rsidP="00770D4A">
      <w:pPr>
        <w:rPr>
          <w:rFonts w:cs="Arial"/>
          <w:lang w:val="es-CO"/>
        </w:rPr>
      </w:pPr>
    </w:p>
    <w:p w:rsidR="005D246F" w:rsidRPr="00104F4B" w:rsidRDefault="005D246F" w:rsidP="00582748">
      <w:pPr>
        <w:pStyle w:val="Contenidodelatabla"/>
        <w:numPr>
          <w:ilvl w:val="0"/>
          <w:numId w:val="69"/>
        </w:numPr>
        <w:jc w:val="both"/>
        <w:rPr>
          <w:rFonts w:ascii="Arial" w:hAnsi="Arial" w:cs="Arial"/>
          <w:color w:val="222222"/>
          <w:sz w:val="22"/>
          <w:szCs w:val="22"/>
          <w:shd w:val="clear" w:color="auto" w:fill="FFFFFF"/>
        </w:rPr>
      </w:pPr>
      <w:r w:rsidRPr="00104F4B">
        <w:rPr>
          <w:rFonts w:ascii="Arial" w:hAnsi="Arial" w:cs="Arial"/>
          <w:sz w:val="22"/>
          <w:szCs w:val="22"/>
        </w:rPr>
        <w:t>Debilidades en la canalización de las solicitudes de desarrollo de proyectos a nivel de preinvensión, por cuanto las mismas se reciben por varias fuentes internas y externas.</w:t>
      </w:r>
    </w:p>
    <w:p w:rsidR="005D246F" w:rsidRPr="00104F4B" w:rsidRDefault="005D246F" w:rsidP="00582748">
      <w:pPr>
        <w:pStyle w:val="Contenidodelatabla"/>
        <w:numPr>
          <w:ilvl w:val="0"/>
          <w:numId w:val="69"/>
        </w:numPr>
        <w:jc w:val="both"/>
        <w:rPr>
          <w:rFonts w:ascii="Arial" w:hAnsi="Arial" w:cs="Arial"/>
          <w:sz w:val="22"/>
          <w:szCs w:val="22"/>
        </w:rPr>
      </w:pPr>
      <w:r w:rsidRPr="00104F4B">
        <w:rPr>
          <w:rFonts w:ascii="Arial" w:hAnsi="Arial" w:cs="Arial"/>
          <w:sz w:val="22"/>
          <w:szCs w:val="22"/>
        </w:rPr>
        <w:t xml:space="preserve">Trámite de avales o aprobaciones por parte de las Entidades Distritales y Nacionales, así como las Empresas de Servicios Públicos, los cuales, por el gran número de proyectos que se desarrollan paralelamente, no permite que sean atendidos en un tiempo prudencial, requiriendo en la mayoría de los casos una priorización de proyectos al interior de cada Entidad. </w:t>
      </w:r>
    </w:p>
    <w:p w:rsidR="005D246F" w:rsidRPr="00104F4B" w:rsidRDefault="005D246F" w:rsidP="00582748">
      <w:pPr>
        <w:pStyle w:val="Contenidodelatabla"/>
        <w:numPr>
          <w:ilvl w:val="0"/>
          <w:numId w:val="69"/>
        </w:numPr>
        <w:jc w:val="both"/>
        <w:rPr>
          <w:rFonts w:ascii="Arial" w:hAnsi="Arial" w:cs="Arial"/>
          <w:sz w:val="22"/>
          <w:szCs w:val="22"/>
        </w:rPr>
      </w:pPr>
      <w:r w:rsidRPr="00104F4B">
        <w:rPr>
          <w:rFonts w:ascii="Arial" w:hAnsi="Arial" w:cs="Arial"/>
          <w:sz w:val="22"/>
          <w:szCs w:val="22"/>
        </w:rPr>
        <w:t>Retrasos en la entrega de los productos, lo cual ha generado que se produzcan apremios e incluso procesos sancionatorios por el presunto incumplimiento.</w:t>
      </w:r>
    </w:p>
    <w:p w:rsidR="005D246F" w:rsidRPr="00104F4B" w:rsidRDefault="005D246F" w:rsidP="00582748">
      <w:pPr>
        <w:pStyle w:val="Contenidodelatabla"/>
        <w:numPr>
          <w:ilvl w:val="0"/>
          <w:numId w:val="69"/>
        </w:numPr>
        <w:jc w:val="both"/>
        <w:rPr>
          <w:rFonts w:ascii="Arial" w:hAnsi="Arial" w:cs="Arial"/>
          <w:sz w:val="22"/>
          <w:szCs w:val="22"/>
        </w:rPr>
      </w:pPr>
      <w:r w:rsidRPr="00104F4B">
        <w:rPr>
          <w:rFonts w:ascii="Arial" w:hAnsi="Arial" w:cs="Arial"/>
          <w:sz w:val="22"/>
          <w:szCs w:val="22"/>
        </w:rPr>
        <w:t>La imposibilidad de realizar algunos pagos a las interventorías por no contar con los informes mensuales aprobados, el cual es uno de los requisitos para el pago.</w:t>
      </w:r>
    </w:p>
    <w:p w:rsidR="005D246F" w:rsidRPr="00104F4B" w:rsidRDefault="005D246F" w:rsidP="00582748">
      <w:pPr>
        <w:pStyle w:val="Contenidodelatabla"/>
        <w:numPr>
          <w:ilvl w:val="0"/>
          <w:numId w:val="69"/>
        </w:numPr>
        <w:jc w:val="both"/>
        <w:rPr>
          <w:rFonts w:ascii="Arial" w:hAnsi="Arial" w:cs="Arial"/>
          <w:sz w:val="22"/>
          <w:szCs w:val="22"/>
        </w:rPr>
      </w:pPr>
      <w:r w:rsidRPr="00104F4B">
        <w:rPr>
          <w:rFonts w:ascii="Arial" w:hAnsi="Arial" w:cs="Arial"/>
          <w:sz w:val="22"/>
          <w:szCs w:val="22"/>
        </w:rPr>
        <w:t>Baja ejecución presupuestal debido a que la forma de pago de los contratos de consultoría e interventoría se encuentra vinculada a la aprobación de los productos, pactados a precio global, por lo que no se puede asegurar una ejecución mensual, debido al desarrollo de las consultorías y en parte a que los productos son interdependientes y dependen de avales por parte de externos, los cuales toman un tiempo importante en ser logrados.</w:t>
      </w:r>
    </w:p>
    <w:p w:rsidR="005D246F" w:rsidRPr="00104F4B" w:rsidRDefault="005D246F" w:rsidP="00582748">
      <w:pPr>
        <w:pStyle w:val="Contenidodelatabla"/>
        <w:numPr>
          <w:ilvl w:val="0"/>
          <w:numId w:val="69"/>
        </w:numPr>
        <w:jc w:val="both"/>
        <w:rPr>
          <w:rFonts w:ascii="Arial" w:hAnsi="Arial" w:cs="Arial"/>
          <w:sz w:val="22"/>
          <w:szCs w:val="22"/>
        </w:rPr>
      </w:pPr>
      <w:r w:rsidRPr="00104F4B">
        <w:rPr>
          <w:rFonts w:ascii="Arial" w:hAnsi="Arial" w:cs="Arial"/>
          <w:sz w:val="22"/>
          <w:szCs w:val="22"/>
        </w:rPr>
        <w:t xml:space="preserve">Demoras por parte de consultorías e interventorías en la entrega de productos, lo cual implica reprogramaciones e incumplimiento de los cronogramas internos para estructurar las etapas siguientes en el ciclo de vida del proyecto. </w:t>
      </w:r>
    </w:p>
    <w:p w:rsidR="005D246F" w:rsidRPr="00104F4B" w:rsidRDefault="005D246F" w:rsidP="00582748">
      <w:pPr>
        <w:pStyle w:val="Contenidodelatabla"/>
        <w:numPr>
          <w:ilvl w:val="0"/>
          <w:numId w:val="69"/>
        </w:numPr>
        <w:jc w:val="both"/>
        <w:rPr>
          <w:rFonts w:ascii="Arial" w:hAnsi="Arial" w:cs="Arial"/>
          <w:sz w:val="22"/>
          <w:szCs w:val="22"/>
        </w:rPr>
      </w:pPr>
      <w:r w:rsidRPr="00104F4B">
        <w:rPr>
          <w:rFonts w:ascii="Arial" w:hAnsi="Arial" w:cs="Arial"/>
          <w:sz w:val="22"/>
          <w:szCs w:val="22"/>
        </w:rPr>
        <w:lastRenderedPageBreak/>
        <w:t>Baja asignación presupuestal para la estructuración de programas de conservación, frente a las necesidades de inversión, lo que no permite mejorar la cobertura de la malla vial para elevar su nivel de servicio.</w:t>
      </w:r>
    </w:p>
    <w:p w:rsidR="005D246F" w:rsidRPr="00104F4B" w:rsidRDefault="005D246F" w:rsidP="00582748">
      <w:pPr>
        <w:pStyle w:val="Contenidodelatabla"/>
        <w:numPr>
          <w:ilvl w:val="0"/>
          <w:numId w:val="69"/>
        </w:numPr>
        <w:jc w:val="both"/>
        <w:rPr>
          <w:rFonts w:ascii="Arial" w:hAnsi="Arial" w:cs="Arial"/>
          <w:sz w:val="22"/>
          <w:szCs w:val="22"/>
        </w:rPr>
      </w:pPr>
      <w:r w:rsidRPr="00104F4B">
        <w:rPr>
          <w:rFonts w:ascii="Arial" w:hAnsi="Arial" w:cs="Arial"/>
          <w:sz w:val="22"/>
          <w:szCs w:val="22"/>
        </w:rPr>
        <w:t>Alta rotación de Alcaldes Locales y de los profesionales que conforman los equipos técnicos y de planeación de los Fondos de Desarrollo Local, situación que genera retrocesos en los procesos y trámites requeridos para la emisión de conceptos previos y favorables a los proyectos de inversión local en infraestructura vial y espacio público, conforme a lo estipulado en la Directiva 012 de 2016 de la Alcaldía Mayor.</w:t>
      </w:r>
    </w:p>
    <w:p w:rsidR="005D246F" w:rsidRPr="00104F4B" w:rsidRDefault="005D246F" w:rsidP="00582748">
      <w:pPr>
        <w:pStyle w:val="Contenidodelatabla"/>
        <w:numPr>
          <w:ilvl w:val="0"/>
          <w:numId w:val="69"/>
        </w:numPr>
        <w:jc w:val="both"/>
        <w:rPr>
          <w:rFonts w:ascii="Arial" w:hAnsi="Arial" w:cs="Arial"/>
          <w:sz w:val="22"/>
          <w:szCs w:val="22"/>
        </w:rPr>
      </w:pPr>
      <w:r w:rsidRPr="00104F4B">
        <w:rPr>
          <w:rFonts w:ascii="Arial" w:hAnsi="Arial" w:cs="Arial"/>
          <w:sz w:val="22"/>
          <w:szCs w:val="22"/>
        </w:rPr>
        <w:t>Falta de coordinación interinstitucional de los proyectos entendiendo que se amerita la articulación y gestión de acciones complementarias de los diferentes sectores distritales de hábitat, movilidad, cultura, recreación y deporte, desarrollo económico, industria y turismo, seguridad y convivencia, planeación, integración social y ambiente para garantizar la gestión y sostenibilidad de los proyectos.</w:t>
      </w:r>
    </w:p>
    <w:p w:rsidR="005D246F" w:rsidRPr="00104F4B" w:rsidRDefault="005D246F" w:rsidP="00582748">
      <w:pPr>
        <w:pStyle w:val="Contenidodelatabla"/>
        <w:numPr>
          <w:ilvl w:val="0"/>
          <w:numId w:val="69"/>
        </w:numPr>
        <w:jc w:val="both"/>
        <w:rPr>
          <w:rFonts w:ascii="Arial" w:hAnsi="Arial" w:cs="Arial"/>
          <w:sz w:val="22"/>
          <w:szCs w:val="22"/>
        </w:rPr>
      </w:pPr>
      <w:r w:rsidRPr="00104F4B">
        <w:rPr>
          <w:rFonts w:ascii="Arial" w:hAnsi="Arial" w:cs="Arial"/>
          <w:sz w:val="22"/>
          <w:szCs w:val="22"/>
        </w:rPr>
        <w:t>Debilidades en la aplicación de los procedimientos acordados con las Empresas de Servicios Públicos a través de los convenios, especialmente, el procedimiento elaboración de diseños (Mesas de Decisión Técnica).</w:t>
      </w:r>
    </w:p>
    <w:p w:rsidR="005D246F" w:rsidRPr="00104F4B" w:rsidRDefault="005D246F" w:rsidP="00582748">
      <w:pPr>
        <w:pStyle w:val="Contenidodelatabla"/>
        <w:numPr>
          <w:ilvl w:val="0"/>
          <w:numId w:val="69"/>
        </w:numPr>
        <w:jc w:val="both"/>
        <w:rPr>
          <w:rFonts w:ascii="Arial" w:hAnsi="Arial" w:cs="Arial"/>
          <w:sz w:val="22"/>
          <w:szCs w:val="22"/>
        </w:rPr>
      </w:pPr>
      <w:r w:rsidRPr="00104F4B">
        <w:rPr>
          <w:rFonts w:ascii="Arial" w:hAnsi="Arial" w:cs="Arial"/>
          <w:sz w:val="22"/>
          <w:szCs w:val="22"/>
        </w:rPr>
        <w:t xml:space="preserve">Falta de coordinación en el proceso de formulación y adopción de los instrumentos, ya que la definición de acciones de mitigación o de obligaciones a cargo de los instrumentos en algunos casos se generan sin tener en cuenta los proyectos de ciudad que se encuentran en curso, esta situación es ocasionada por desconocimiento de la información de las demás entidades.  </w:t>
      </w:r>
    </w:p>
    <w:p w:rsidR="005D246F" w:rsidRPr="00104F4B" w:rsidRDefault="005D246F" w:rsidP="00582748">
      <w:pPr>
        <w:pStyle w:val="Contenidodelatabla"/>
        <w:numPr>
          <w:ilvl w:val="0"/>
          <w:numId w:val="69"/>
        </w:numPr>
        <w:jc w:val="both"/>
        <w:rPr>
          <w:rFonts w:ascii="Arial" w:hAnsi="Arial" w:cs="Arial"/>
          <w:sz w:val="22"/>
          <w:szCs w:val="22"/>
        </w:rPr>
      </w:pPr>
      <w:r w:rsidRPr="00104F4B">
        <w:rPr>
          <w:rFonts w:ascii="Arial" w:hAnsi="Arial" w:cs="Arial"/>
          <w:sz w:val="22"/>
          <w:szCs w:val="22"/>
        </w:rPr>
        <w:t>Falta definir una instancia donde se realice seguimiento a la puesta en marcha de los Instrumentos de Planeación adoptados en el marco del POT, de tal forma que sea posible retomar las lecciones aprendidas y ajustar los instrumentos para que sea más eficiente su implementación.</w:t>
      </w:r>
    </w:p>
    <w:p w:rsidR="005D246F" w:rsidRPr="00104F4B" w:rsidRDefault="005D246F" w:rsidP="00582748">
      <w:pPr>
        <w:pStyle w:val="Contenidodelatabla"/>
        <w:numPr>
          <w:ilvl w:val="0"/>
          <w:numId w:val="69"/>
        </w:numPr>
        <w:jc w:val="both"/>
        <w:rPr>
          <w:rFonts w:ascii="Arial" w:hAnsi="Arial" w:cs="Arial"/>
          <w:sz w:val="22"/>
          <w:szCs w:val="22"/>
        </w:rPr>
      </w:pPr>
      <w:r w:rsidRPr="00104F4B">
        <w:rPr>
          <w:rFonts w:ascii="Arial" w:hAnsi="Arial" w:cs="Arial"/>
          <w:sz w:val="22"/>
          <w:szCs w:val="22"/>
        </w:rPr>
        <w:t xml:space="preserve">En el caso de los Planes Complementarios, (PI, PRM, etc.), no existe un procedimiento definido en un Acto Administrativo, (Acuerdo, Decreto, Resolución), que defina y precise la participación y los términos de las diferentes entidades que deberían hacer parte del proceso, situación que no permite que, entre otras acciones de coordinación, se realicen las reservas en las bases de datos del IDU requeridas. </w:t>
      </w:r>
    </w:p>
    <w:p w:rsidR="005D246F" w:rsidRPr="00104F4B" w:rsidRDefault="005D246F" w:rsidP="00582748">
      <w:pPr>
        <w:pStyle w:val="Contenidodelatabla"/>
        <w:numPr>
          <w:ilvl w:val="0"/>
          <w:numId w:val="69"/>
        </w:numPr>
        <w:jc w:val="both"/>
        <w:rPr>
          <w:rFonts w:ascii="Arial" w:hAnsi="Arial" w:cs="Arial"/>
          <w:sz w:val="22"/>
          <w:szCs w:val="22"/>
        </w:rPr>
      </w:pPr>
      <w:r w:rsidRPr="00104F4B">
        <w:rPr>
          <w:rFonts w:ascii="Arial" w:hAnsi="Arial" w:cs="Arial"/>
          <w:sz w:val="22"/>
          <w:szCs w:val="22"/>
        </w:rPr>
        <w:t xml:space="preserve">Para las solicitudes de conceptos de Planes Parciales de Desarrollo, los términos de respuesta, de quince (15) días hábiles, se establecen en el Decreto 380 de 2010; estos términos en función del volumen de solicitudes y sumado a otras tareas del equipo, no se pueden cumplir en la totalidad de los casos. </w:t>
      </w:r>
    </w:p>
    <w:p w:rsidR="005D246F" w:rsidRPr="00104F4B" w:rsidRDefault="005D246F" w:rsidP="00582748">
      <w:pPr>
        <w:pStyle w:val="Contenidodelatabla"/>
        <w:numPr>
          <w:ilvl w:val="0"/>
          <w:numId w:val="69"/>
        </w:numPr>
        <w:jc w:val="both"/>
        <w:rPr>
          <w:rFonts w:ascii="Arial" w:hAnsi="Arial" w:cs="Arial"/>
          <w:sz w:val="22"/>
          <w:szCs w:val="22"/>
        </w:rPr>
      </w:pPr>
      <w:r w:rsidRPr="00104F4B">
        <w:rPr>
          <w:rFonts w:ascii="Arial" w:hAnsi="Arial" w:cs="Arial"/>
          <w:sz w:val="22"/>
          <w:szCs w:val="22"/>
        </w:rPr>
        <w:t>La SDP solicita concepto al Instituto para los PPRU y PPD en las fases de determinantes, formulación y formulación ajustada, sin que medie una revisión por parte de dicha entidad del cumplimiento de las recomendaciones y observaciones realizadas en los conceptos emitidos por las entidades y empresas de SSPP; esto provoca deficiencias y reprocesos que dificultan la gestión previa a la adopción del Instrumento a través del Acto Administrativo correspondiente.</w:t>
      </w:r>
    </w:p>
    <w:p w:rsidR="005D246F" w:rsidRPr="00104F4B" w:rsidRDefault="005D246F" w:rsidP="00582748">
      <w:pPr>
        <w:pStyle w:val="Contenidodelatabla"/>
        <w:numPr>
          <w:ilvl w:val="0"/>
          <w:numId w:val="69"/>
        </w:numPr>
        <w:jc w:val="both"/>
        <w:rPr>
          <w:rFonts w:ascii="Arial" w:hAnsi="Arial" w:cs="Arial"/>
          <w:sz w:val="22"/>
          <w:szCs w:val="22"/>
        </w:rPr>
      </w:pPr>
      <w:r w:rsidRPr="00104F4B">
        <w:rPr>
          <w:rFonts w:ascii="Arial" w:hAnsi="Arial" w:cs="Arial"/>
          <w:sz w:val="22"/>
          <w:szCs w:val="22"/>
        </w:rPr>
        <w:t xml:space="preserve">La elaboración de estudios previos (Suscritos por la SGDU, SGI y DG) y anexos técnicos (Suscritos por la SGDU, SGI, DTP, DTC) son documentos que se desarrollan con la participación y aprobación de varias áreas de la entidad, lo que genera un proceso dispendioso de elaboración de documentos, generación de observaciones de las áreas y ajustes a los documentos y demás trámites requeridos para la obtención de vistos buenos para la posterior firma por parte de la Dirección General, situación que genera demoras en el proceso de generación de un convenio. </w:t>
      </w:r>
    </w:p>
    <w:p w:rsidR="005D246F" w:rsidRPr="00104F4B" w:rsidRDefault="005D246F" w:rsidP="00582748">
      <w:pPr>
        <w:pStyle w:val="Contenidodelatabla"/>
        <w:numPr>
          <w:ilvl w:val="0"/>
          <w:numId w:val="69"/>
        </w:numPr>
        <w:jc w:val="both"/>
        <w:rPr>
          <w:rFonts w:ascii="Arial" w:hAnsi="Arial" w:cs="Arial"/>
          <w:sz w:val="22"/>
          <w:szCs w:val="22"/>
        </w:rPr>
      </w:pPr>
      <w:r w:rsidRPr="00104F4B">
        <w:rPr>
          <w:rFonts w:ascii="Arial" w:hAnsi="Arial" w:cs="Arial"/>
          <w:sz w:val="22"/>
          <w:szCs w:val="22"/>
        </w:rPr>
        <w:t>Es el Cumplimiento de los requisitos y condiciones establecidas en el Decreto 942 de 2014, dado que al no poder cumplir los solicitantes todos los requerimientos que exige el Decreto y el IDU, obligan a desistir del proceso al interesado desde la primera gestión de información.</w:t>
      </w:r>
    </w:p>
    <w:p w:rsidR="005D246F" w:rsidRPr="00104F4B" w:rsidRDefault="005D246F" w:rsidP="00582748">
      <w:pPr>
        <w:pStyle w:val="Contenidodelatabla"/>
        <w:numPr>
          <w:ilvl w:val="0"/>
          <w:numId w:val="69"/>
        </w:numPr>
        <w:jc w:val="both"/>
        <w:rPr>
          <w:rFonts w:ascii="Arial" w:hAnsi="Arial" w:cs="Arial"/>
          <w:sz w:val="22"/>
          <w:szCs w:val="22"/>
        </w:rPr>
      </w:pPr>
      <w:r w:rsidRPr="00104F4B">
        <w:rPr>
          <w:rFonts w:ascii="Arial" w:hAnsi="Arial" w:cs="Arial"/>
          <w:sz w:val="22"/>
          <w:szCs w:val="22"/>
        </w:rPr>
        <w:lastRenderedPageBreak/>
        <w:t>Frente a la ejecución de los diferentes componentes que hacen parte de la gestión predial incluyendo los administrativos y financieros, la respuesta tardía por parte de la UAECD ante los requerimientos de elaboración de avalúos comerciales, y las ESP a los requerimientos en materia de taponamiento y desconexión de servicios públicos, son los que han generado el mayor impacto en el cumplimiento de las metas.</w:t>
      </w:r>
    </w:p>
    <w:p w:rsidR="005D246F" w:rsidRPr="00104F4B" w:rsidRDefault="005D246F" w:rsidP="00582748">
      <w:pPr>
        <w:pStyle w:val="Contenidodelatabla"/>
        <w:numPr>
          <w:ilvl w:val="0"/>
          <w:numId w:val="69"/>
        </w:numPr>
        <w:jc w:val="both"/>
        <w:rPr>
          <w:rFonts w:ascii="Arial" w:hAnsi="Arial" w:cs="Arial"/>
          <w:sz w:val="22"/>
          <w:szCs w:val="22"/>
        </w:rPr>
      </w:pPr>
      <w:r w:rsidRPr="00104F4B">
        <w:rPr>
          <w:rFonts w:ascii="Arial" w:hAnsi="Arial" w:cs="Arial"/>
          <w:sz w:val="22"/>
          <w:szCs w:val="22"/>
        </w:rPr>
        <w:t>Frente al proceso de adquisición predial se presentan otras problemáticas de orden jurídico, social y técnico, tales como sucesiones liquidas, falsas tradiciones, patrimonios de familia, poseedores, diferencias de áreas, incumplimiento de cláusulas de los contratos de promesa de compraventa por parte de los vendedores, inmuebles con medidas cautelares o sobre los cuales se adelantan procesos de pertenencias entre otros; situaciones que deben ser solucionadas en desarrollo del proceso y requieren de tiempos que en la mayoría de casos no dependen de la DTDP. Igualmente, intervienen terceras personas (Titular del inmueble, Oficina de Registro de Instrumentos Públicos, Notarías, Entidades Financieras), los cuales impactan significativamente el proceso de adquisición y el cumplimiento de los pagos.</w:t>
      </w:r>
    </w:p>
    <w:p w:rsidR="005D246F" w:rsidRPr="00104F4B" w:rsidRDefault="005D246F" w:rsidP="00582748">
      <w:pPr>
        <w:pStyle w:val="Contenidodelatabla"/>
        <w:numPr>
          <w:ilvl w:val="0"/>
          <w:numId w:val="69"/>
        </w:numPr>
        <w:jc w:val="both"/>
        <w:rPr>
          <w:rFonts w:ascii="Arial" w:hAnsi="Arial" w:cs="Arial"/>
          <w:sz w:val="22"/>
          <w:szCs w:val="22"/>
        </w:rPr>
      </w:pPr>
      <w:r w:rsidRPr="00104F4B">
        <w:rPr>
          <w:rFonts w:ascii="Arial" w:hAnsi="Arial" w:cs="Arial"/>
          <w:sz w:val="22"/>
          <w:szCs w:val="22"/>
        </w:rPr>
        <w:t>Dificultad en la consolidación de los diferentes documentos técnicos que se elaboran en cada una de las entidades del Distrito con el fin de revisar sus contenidos y retroalimentar el trabajo de actualización de especificaciones y documentos técnicos.</w:t>
      </w:r>
    </w:p>
    <w:p w:rsidR="005D246F" w:rsidRPr="00104F4B" w:rsidRDefault="005D246F" w:rsidP="00582748">
      <w:pPr>
        <w:pStyle w:val="Contenidodelatabla"/>
        <w:numPr>
          <w:ilvl w:val="0"/>
          <w:numId w:val="69"/>
        </w:numPr>
        <w:jc w:val="both"/>
        <w:rPr>
          <w:rFonts w:ascii="Arial" w:hAnsi="Arial" w:cs="Arial"/>
          <w:sz w:val="22"/>
          <w:szCs w:val="22"/>
        </w:rPr>
      </w:pPr>
      <w:r w:rsidRPr="00104F4B">
        <w:rPr>
          <w:rFonts w:ascii="Arial" w:hAnsi="Arial" w:cs="Arial"/>
          <w:sz w:val="22"/>
          <w:szCs w:val="22"/>
        </w:rPr>
        <w:t>Durante la ejecución del proceso de actualización de la base de datos se encontraron dificultades en la consecución de las cotizaciones, en razón a que los proveedores son renuentes a la entrega de información al Instituto, dado que no es el comprador directo de los materiales de construcción.</w:t>
      </w:r>
    </w:p>
    <w:p w:rsidR="005D246F" w:rsidRPr="00104F4B" w:rsidRDefault="005D246F" w:rsidP="00582748">
      <w:pPr>
        <w:pStyle w:val="Contenidodelatabla"/>
        <w:numPr>
          <w:ilvl w:val="0"/>
          <w:numId w:val="69"/>
        </w:numPr>
        <w:jc w:val="both"/>
        <w:rPr>
          <w:rFonts w:ascii="Arial" w:hAnsi="Arial" w:cs="Arial"/>
          <w:sz w:val="22"/>
          <w:szCs w:val="22"/>
        </w:rPr>
      </w:pPr>
      <w:r w:rsidRPr="00104F4B">
        <w:rPr>
          <w:rFonts w:ascii="Arial" w:hAnsi="Arial" w:cs="Arial"/>
          <w:sz w:val="22"/>
          <w:szCs w:val="22"/>
        </w:rPr>
        <w:t>Se inició el proceso de recopilación de cotizaciones a través de SECOP II, pero no se tuvo la respuesta esperada de los posibles proveedores.</w:t>
      </w:r>
    </w:p>
    <w:p w:rsidR="005D246F" w:rsidRPr="00104F4B" w:rsidRDefault="005D246F" w:rsidP="00582748">
      <w:pPr>
        <w:pStyle w:val="Contenidodelatabla"/>
        <w:numPr>
          <w:ilvl w:val="0"/>
          <w:numId w:val="69"/>
        </w:numPr>
        <w:jc w:val="both"/>
        <w:rPr>
          <w:rFonts w:ascii="Arial" w:hAnsi="Arial" w:cs="Arial"/>
          <w:sz w:val="22"/>
          <w:szCs w:val="22"/>
        </w:rPr>
      </w:pPr>
      <w:r w:rsidRPr="00104F4B">
        <w:rPr>
          <w:rFonts w:ascii="Arial" w:hAnsi="Arial" w:cs="Arial"/>
          <w:sz w:val="22"/>
          <w:szCs w:val="22"/>
        </w:rPr>
        <w:t>Las Entidades Distritales no reportan a tiempo la información para realizar la actualización de la base de datos del SIGIDU.</w:t>
      </w:r>
    </w:p>
    <w:p w:rsidR="005D246F" w:rsidRPr="00104F4B" w:rsidRDefault="005D246F" w:rsidP="00582748">
      <w:pPr>
        <w:pStyle w:val="Contenidodelatabla"/>
        <w:numPr>
          <w:ilvl w:val="0"/>
          <w:numId w:val="69"/>
        </w:numPr>
        <w:jc w:val="both"/>
        <w:rPr>
          <w:rFonts w:ascii="Arial" w:hAnsi="Arial" w:cs="Arial"/>
          <w:sz w:val="22"/>
          <w:szCs w:val="22"/>
        </w:rPr>
      </w:pPr>
      <w:r w:rsidRPr="00104F4B">
        <w:rPr>
          <w:rFonts w:ascii="Arial" w:hAnsi="Arial" w:cs="Arial"/>
          <w:sz w:val="22"/>
          <w:szCs w:val="22"/>
        </w:rPr>
        <w:t xml:space="preserve">Los proveedores activos en el directorio en su mayoría no están reportando el formato FO-IC-06, debido a que las empresas se ubican fuera de la ciudad, lo cual dificulta la radicación de reportes.  </w:t>
      </w:r>
    </w:p>
    <w:p w:rsidR="005D246F" w:rsidRPr="00104F4B" w:rsidRDefault="005D246F" w:rsidP="00582748">
      <w:pPr>
        <w:pStyle w:val="Contenidodelatabla"/>
        <w:numPr>
          <w:ilvl w:val="0"/>
          <w:numId w:val="69"/>
        </w:numPr>
        <w:jc w:val="both"/>
        <w:rPr>
          <w:rFonts w:ascii="Arial" w:hAnsi="Arial" w:cs="Arial"/>
          <w:sz w:val="22"/>
          <w:szCs w:val="22"/>
        </w:rPr>
      </w:pPr>
      <w:r w:rsidRPr="00104F4B">
        <w:rPr>
          <w:rFonts w:ascii="Arial" w:hAnsi="Arial" w:cs="Arial"/>
          <w:sz w:val="22"/>
          <w:szCs w:val="22"/>
        </w:rPr>
        <w:t>No están inscritos la totalidad de los proveedores que suministran los materiales a los contratos IDU.</w:t>
      </w:r>
    </w:p>
    <w:p w:rsidR="005D246F" w:rsidRPr="00104F4B" w:rsidRDefault="005D246F" w:rsidP="00582748">
      <w:pPr>
        <w:pStyle w:val="Contenidodelatabla"/>
        <w:numPr>
          <w:ilvl w:val="0"/>
          <w:numId w:val="69"/>
        </w:numPr>
        <w:jc w:val="both"/>
        <w:rPr>
          <w:rFonts w:ascii="Arial" w:hAnsi="Arial" w:cs="Arial"/>
          <w:sz w:val="22"/>
          <w:szCs w:val="22"/>
        </w:rPr>
      </w:pPr>
      <w:r w:rsidRPr="00104F4B">
        <w:rPr>
          <w:rFonts w:ascii="Arial" w:hAnsi="Arial" w:cs="Arial"/>
          <w:sz w:val="22"/>
          <w:szCs w:val="22"/>
        </w:rPr>
        <w:t>Las aprobaciones de entidades y ESP están superando los tiempos estipulados en los contratos.</w:t>
      </w:r>
    </w:p>
    <w:p w:rsidR="004700E2" w:rsidRPr="00104F4B" w:rsidRDefault="004700E2" w:rsidP="004700E2">
      <w:pPr>
        <w:tabs>
          <w:tab w:val="left" w:pos="567"/>
        </w:tabs>
        <w:ind w:left="567" w:right="49" w:hanging="567"/>
        <w:jc w:val="center"/>
        <w:rPr>
          <w:rFonts w:cs="Arial"/>
          <w:b/>
          <w:sz w:val="24"/>
        </w:rPr>
      </w:pPr>
    </w:p>
    <w:p w:rsidR="004700E2" w:rsidRDefault="004700E2" w:rsidP="004700E2">
      <w:pPr>
        <w:tabs>
          <w:tab w:val="left" w:pos="567"/>
        </w:tabs>
        <w:ind w:left="567" w:right="49" w:hanging="567"/>
        <w:jc w:val="center"/>
        <w:rPr>
          <w:rFonts w:cs="Arial"/>
          <w:b/>
          <w:sz w:val="24"/>
        </w:rPr>
      </w:pPr>
    </w:p>
    <w:p w:rsidR="005C3D90" w:rsidRDefault="005C3D90" w:rsidP="004700E2">
      <w:pPr>
        <w:tabs>
          <w:tab w:val="left" w:pos="567"/>
        </w:tabs>
        <w:ind w:left="567" w:right="49" w:hanging="567"/>
        <w:jc w:val="center"/>
        <w:rPr>
          <w:rFonts w:cs="Arial"/>
          <w:b/>
          <w:sz w:val="24"/>
        </w:rPr>
      </w:pPr>
    </w:p>
    <w:p w:rsidR="005C3D90" w:rsidRDefault="005C3D90" w:rsidP="004700E2">
      <w:pPr>
        <w:tabs>
          <w:tab w:val="left" w:pos="567"/>
        </w:tabs>
        <w:ind w:left="567" w:right="49" w:hanging="567"/>
        <w:jc w:val="center"/>
        <w:rPr>
          <w:rFonts w:cs="Arial"/>
          <w:b/>
          <w:sz w:val="24"/>
        </w:rPr>
      </w:pPr>
    </w:p>
    <w:p w:rsidR="005C3D90" w:rsidRDefault="005C3D90" w:rsidP="004700E2">
      <w:pPr>
        <w:tabs>
          <w:tab w:val="left" w:pos="567"/>
        </w:tabs>
        <w:ind w:left="567" w:right="49" w:hanging="567"/>
        <w:jc w:val="center"/>
        <w:rPr>
          <w:rFonts w:cs="Arial"/>
          <w:b/>
          <w:sz w:val="24"/>
        </w:rPr>
      </w:pPr>
    </w:p>
    <w:p w:rsidR="005C3D90" w:rsidRDefault="005C3D90" w:rsidP="004700E2">
      <w:pPr>
        <w:tabs>
          <w:tab w:val="left" w:pos="567"/>
        </w:tabs>
        <w:ind w:left="567" w:right="49" w:hanging="567"/>
        <w:jc w:val="center"/>
        <w:rPr>
          <w:rFonts w:cs="Arial"/>
          <w:b/>
          <w:sz w:val="24"/>
        </w:rPr>
      </w:pPr>
    </w:p>
    <w:p w:rsidR="005C3D90" w:rsidRDefault="005C3D90" w:rsidP="004700E2">
      <w:pPr>
        <w:tabs>
          <w:tab w:val="left" w:pos="567"/>
        </w:tabs>
        <w:ind w:left="567" w:right="49" w:hanging="567"/>
        <w:jc w:val="center"/>
        <w:rPr>
          <w:rFonts w:cs="Arial"/>
          <w:b/>
          <w:sz w:val="24"/>
        </w:rPr>
      </w:pPr>
    </w:p>
    <w:p w:rsidR="005C3D90" w:rsidRDefault="005C3D90" w:rsidP="004700E2">
      <w:pPr>
        <w:tabs>
          <w:tab w:val="left" w:pos="567"/>
        </w:tabs>
        <w:ind w:left="567" w:right="49" w:hanging="567"/>
        <w:jc w:val="center"/>
        <w:rPr>
          <w:rFonts w:cs="Arial"/>
          <w:b/>
          <w:sz w:val="24"/>
        </w:rPr>
      </w:pPr>
    </w:p>
    <w:p w:rsidR="005C3D90" w:rsidRDefault="005C3D90" w:rsidP="004700E2">
      <w:pPr>
        <w:tabs>
          <w:tab w:val="left" w:pos="567"/>
        </w:tabs>
        <w:ind w:left="567" w:right="49" w:hanging="567"/>
        <w:jc w:val="center"/>
        <w:rPr>
          <w:rFonts w:cs="Arial"/>
          <w:b/>
          <w:sz w:val="24"/>
        </w:rPr>
      </w:pPr>
    </w:p>
    <w:p w:rsidR="005C3D90" w:rsidRDefault="005C3D90" w:rsidP="004700E2">
      <w:pPr>
        <w:tabs>
          <w:tab w:val="left" w:pos="567"/>
        </w:tabs>
        <w:ind w:left="567" w:right="49" w:hanging="567"/>
        <w:jc w:val="center"/>
        <w:rPr>
          <w:rFonts w:cs="Arial"/>
          <w:b/>
          <w:sz w:val="24"/>
        </w:rPr>
      </w:pPr>
    </w:p>
    <w:p w:rsidR="005C3D90" w:rsidRDefault="005C3D90" w:rsidP="004700E2">
      <w:pPr>
        <w:tabs>
          <w:tab w:val="left" w:pos="567"/>
        </w:tabs>
        <w:ind w:left="567" w:right="49" w:hanging="567"/>
        <w:jc w:val="center"/>
        <w:rPr>
          <w:rFonts w:cs="Arial"/>
          <w:b/>
          <w:sz w:val="24"/>
        </w:rPr>
      </w:pPr>
    </w:p>
    <w:p w:rsidR="005C3D90" w:rsidRPr="00104F4B" w:rsidRDefault="005C3D90" w:rsidP="004700E2">
      <w:pPr>
        <w:tabs>
          <w:tab w:val="left" w:pos="567"/>
        </w:tabs>
        <w:ind w:left="567" w:right="49" w:hanging="567"/>
        <w:jc w:val="center"/>
        <w:rPr>
          <w:rFonts w:cs="Arial"/>
          <w:b/>
          <w:sz w:val="24"/>
        </w:rPr>
      </w:pPr>
    </w:p>
    <w:p w:rsidR="004700E2" w:rsidRPr="00104F4B" w:rsidRDefault="004700E2" w:rsidP="004700E2">
      <w:pPr>
        <w:pStyle w:val="Ttulo1"/>
        <w:jc w:val="center"/>
        <w:rPr>
          <w:rFonts w:ascii="Arial" w:hAnsi="Arial" w:cs="Arial"/>
          <w:sz w:val="22"/>
          <w:szCs w:val="22"/>
        </w:rPr>
      </w:pPr>
      <w:bookmarkStart w:id="75" w:name="_Toc536195563"/>
      <w:r w:rsidRPr="00104F4B">
        <w:rPr>
          <w:rFonts w:ascii="Arial" w:hAnsi="Arial" w:cs="Arial"/>
          <w:sz w:val="22"/>
          <w:szCs w:val="22"/>
        </w:rPr>
        <w:t>CAPITULO 7. GESTIÓN CORPORATIVA</w:t>
      </w:r>
      <w:bookmarkEnd w:id="75"/>
    </w:p>
    <w:p w:rsidR="00E60777" w:rsidRPr="00104F4B" w:rsidRDefault="00E60777" w:rsidP="00E60777">
      <w:pPr>
        <w:rPr>
          <w:rFonts w:cs="Arial"/>
        </w:rPr>
      </w:pPr>
    </w:p>
    <w:p w:rsidR="004700E2" w:rsidRPr="00104F4B" w:rsidRDefault="004700E2" w:rsidP="004700E2">
      <w:pPr>
        <w:tabs>
          <w:tab w:val="left" w:pos="0"/>
        </w:tabs>
        <w:ind w:right="49"/>
        <w:rPr>
          <w:rFonts w:cs="Arial"/>
          <w:color w:val="222222"/>
          <w:szCs w:val="22"/>
          <w:lang w:eastAsia="es-CO"/>
        </w:rPr>
      </w:pPr>
      <w:r w:rsidRPr="00104F4B">
        <w:rPr>
          <w:rFonts w:cs="Arial"/>
          <w:color w:val="222222"/>
          <w:szCs w:val="22"/>
          <w:lang w:eastAsia="es-CO"/>
        </w:rPr>
        <w:t>La Subdirección General de gestión corporativa, tiene en sus funciones llevar la se Secretaría Técnica de la Junta directiva del IDU, de la cual son miembros los directores y gerentes públicos de Nivel Distrital; ejerciendo esta función se llevaron a cabo proyectos de gran relevancia para la Entidad entre los que se encuentran:</w:t>
      </w:r>
    </w:p>
    <w:p w:rsidR="004700E2" w:rsidRPr="00104F4B" w:rsidRDefault="004700E2" w:rsidP="004700E2">
      <w:pPr>
        <w:pStyle w:val="Ttulo1"/>
        <w:rPr>
          <w:rFonts w:ascii="Arial" w:hAnsi="Arial" w:cs="Arial"/>
          <w:sz w:val="22"/>
          <w:szCs w:val="22"/>
        </w:rPr>
      </w:pPr>
      <w:bookmarkStart w:id="76" w:name="_Toc536195564"/>
      <w:r w:rsidRPr="00104F4B">
        <w:rPr>
          <w:rFonts w:ascii="Arial" w:hAnsi="Arial" w:cs="Arial"/>
          <w:sz w:val="22"/>
          <w:szCs w:val="22"/>
        </w:rPr>
        <w:t>7.1 Gestiones a Cargo</w:t>
      </w:r>
      <w:bookmarkEnd w:id="76"/>
    </w:p>
    <w:p w:rsidR="004700E2" w:rsidRPr="00104F4B" w:rsidRDefault="004700E2" w:rsidP="004700E2">
      <w:pPr>
        <w:tabs>
          <w:tab w:val="left" w:pos="567"/>
        </w:tabs>
        <w:ind w:left="567" w:right="49" w:hanging="567"/>
        <w:rPr>
          <w:rFonts w:cs="Arial"/>
          <w:b/>
          <w:szCs w:val="22"/>
        </w:rPr>
      </w:pPr>
      <w:r w:rsidRPr="00104F4B">
        <w:rPr>
          <w:rFonts w:cs="Arial"/>
          <w:b/>
          <w:szCs w:val="22"/>
        </w:rPr>
        <w:t>Gestión Consejo Directivo</w:t>
      </w:r>
    </w:p>
    <w:p w:rsidR="004700E2" w:rsidRPr="00104F4B" w:rsidRDefault="004700E2" w:rsidP="00582748">
      <w:pPr>
        <w:pStyle w:val="Prrafodelista"/>
        <w:numPr>
          <w:ilvl w:val="0"/>
          <w:numId w:val="70"/>
        </w:numPr>
        <w:spacing w:before="0"/>
        <w:ind w:left="426" w:hanging="426"/>
        <w:contextualSpacing/>
        <w:rPr>
          <w:rFonts w:ascii="Arial" w:hAnsi="Arial" w:cs="Arial"/>
        </w:rPr>
      </w:pPr>
      <w:r w:rsidRPr="00104F4B">
        <w:rPr>
          <w:rFonts w:ascii="Arial" w:hAnsi="Arial" w:cs="Arial"/>
        </w:rPr>
        <w:t>Presentación de los proyectos de valorización para dar cumplimiento a la realización de obras de infraestructura y espacio público referenciados en el Plan de Desarrollo.</w:t>
      </w:r>
    </w:p>
    <w:p w:rsidR="004700E2" w:rsidRPr="00104F4B" w:rsidRDefault="004700E2" w:rsidP="00582748">
      <w:pPr>
        <w:pStyle w:val="Prrafodelista"/>
        <w:numPr>
          <w:ilvl w:val="0"/>
          <w:numId w:val="70"/>
        </w:numPr>
        <w:spacing w:before="0"/>
        <w:ind w:left="426" w:hanging="426"/>
        <w:contextualSpacing/>
        <w:rPr>
          <w:rFonts w:ascii="Arial" w:hAnsi="Arial" w:cs="Arial"/>
        </w:rPr>
      </w:pPr>
      <w:r w:rsidRPr="00104F4B">
        <w:rPr>
          <w:rFonts w:ascii="Arial" w:hAnsi="Arial" w:cs="Arial"/>
        </w:rPr>
        <w:t>Informe sobre enajenación de parqueaderos de propiedad del IDU.</w:t>
      </w:r>
    </w:p>
    <w:p w:rsidR="004700E2" w:rsidRPr="00104F4B" w:rsidRDefault="004700E2" w:rsidP="00582748">
      <w:pPr>
        <w:pStyle w:val="Prrafodelista"/>
        <w:numPr>
          <w:ilvl w:val="0"/>
          <w:numId w:val="70"/>
        </w:numPr>
        <w:spacing w:before="0"/>
        <w:ind w:left="426" w:hanging="426"/>
        <w:contextualSpacing/>
        <w:rPr>
          <w:rFonts w:ascii="Arial" w:hAnsi="Arial" w:cs="Arial"/>
        </w:rPr>
      </w:pPr>
      <w:r w:rsidRPr="00104F4B">
        <w:rPr>
          <w:rFonts w:ascii="Arial" w:hAnsi="Arial" w:cs="Arial"/>
        </w:rPr>
        <w:t>Informe sobre la enajenación a título oneroso del predio El Retiro por parte del IDU a la Secretaría Distrital de Cultura, Recreación y Deporte.</w:t>
      </w:r>
    </w:p>
    <w:p w:rsidR="004700E2" w:rsidRPr="00104F4B" w:rsidRDefault="004700E2" w:rsidP="004700E2">
      <w:pPr>
        <w:shd w:val="clear" w:color="auto" w:fill="FFFFFF"/>
        <w:ind w:right="49"/>
        <w:rPr>
          <w:rFonts w:cs="Arial"/>
          <w:bCs/>
          <w:color w:val="222222"/>
          <w:szCs w:val="22"/>
          <w:lang w:eastAsia="es-CO"/>
        </w:rPr>
      </w:pPr>
      <w:r w:rsidRPr="00104F4B">
        <w:rPr>
          <w:rFonts w:cs="Arial"/>
          <w:color w:val="222222"/>
          <w:szCs w:val="22"/>
          <w:lang w:eastAsia="es-CO"/>
        </w:rPr>
        <w:t> </w:t>
      </w:r>
      <w:r w:rsidRPr="00104F4B">
        <w:rPr>
          <w:rFonts w:cs="Arial"/>
          <w:b/>
          <w:bCs/>
          <w:color w:val="222222"/>
          <w:szCs w:val="22"/>
          <w:lang w:eastAsia="es-CO"/>
        </w:rPr>
        <w:t>Apoyo Técnico y Logístico</w:t>
      </w:r>
      <w:r w:rsidRPr="00104F4B">
        <w:rPr>
          <w:rFonts w:cs="Arial"/>
          <w:b/>
          <w:bCs/>
          <w:color w:val="222222"/>
          <w:lang w:eastAsia="es-CO"/>
        </w:rPr>
        <w:t xml:space="preserve">: </w:t>
      </w:r>
      <w:r w:rsidRPr="00104F4B">
        <w:rPr>
          <w:rFonts w:cs="Arial"/>
          <w:bCs/>
          <w:color w:val="222222"/>
          <w:szCs w:val="22"/>
          <w:lang w:eastAsia="es-CO"/>
        </w:rPr>
        <w:t>En materia contractual, se lideraron actividades de gerencia pública, para la optimizar y brindar transparencia del proceso de contratación de prestación de servicios profesionales y de apoyo a la gestión, de tal forma que se redujeran tiempos y posibles reprocesos en los procedimientos establecidos documentando y digitalizando el procedimiento en los sistemas de información de la entidad.</w:t>
      </w:r>
    </w:p>
    <w:p w:rsidR="004700E2" w:rsidRPr="00104F4B" w:rsidRDefault="004700E2" w:rsidP="004700E2">
      <w:pPr>
        <w:shd w:val="clear" w:color="auto" w:fill="FFFFFF"/>
        <w:ind w:right="49"/>
        <w:rPr>
          <w:rFonts w:cs="Arial"/>
          <w:color w:val="222222"/>
          <w:szCs w:val="22"/>
          <w:lang w:eastAsia="es-CO"/>
        </w:rPr>
      </w:pPr>
      <w:r w:rsidRPr="00104F4B">
        <w:rPr>
          <w:rFonts w:cs="Arial"/>
          <w:b/>
          <w:bCs/>
          <w:color w:val="222222"/>
          <w:szCs w:val="22"/>
          <w:lang w:eastAsia="es-CO"/>
        </w:rPr>
        <w:t>Sistemas de Información y Tecnologías de la Información y las Comunicaciones</w:t>
      </w:r>
      <w:r w:rsidRPr="00104F4B">
        <w:rPr>
          <w:rFonts w:cs="Arial"/>
          <w:b/>
          <w:bCs/>
          <w:color w:val="222222"/>
          <w:lang w:eastAsia="es-CO"/>
        </w:rPr>
        <w:t xml:space="preserve">: </w:t>
      </w:r>
      <w:r w:rsidRPr="00104F4B">
        <w:rPr>
          <w:rFonts w:cs="Arial"/>
          <w:color w:val="222222"/>
          <w:szCs w:val="22"/>
          <w:lang w:eastAsia="es-CO"/>
        </w:rPr>
        <w:t xml:space="preserve">Al respecto, la SGGC apropió los recursos necesarios en materia de infraestructura y soporte para otorgarle a la entidad mejoras en materia de software y de infraestructura tecnológica, con resultados exitosos en proyectos como la puesta en marcha del ambiente WEB de sistemas de información en los que resaltan aplicativos como Valoricemos, Orfeo, Stone,  el módulo de pago a terceros (SIGPAGOS), el visor de obras de la entidad, licenciamientos destinados a la seguridad informática, entre otros. </w:t>
      </w:r>
    </w:p>
    <w:p w:rsidR="004700E2" w:rsidRPr="00104F4B" w:rsidRDefault="004700E2" w:rsidP="004700E2">
      <w:pPr>
        <w:shd w:val="clear" w:color="auto" w:fill="FFFFFF"/>
        <w:rPr>
          <w:rFonts w:cs="Arial"/>
          <w:b/>
          <w:bCs/>
          <w:color w:val="222222"/>
          <w:lang w:eastAsia="es-CO"/>
        </w:rPr>
      </w:pPr>
      <w:r w:rsidRPr="00104F4B">
        <w:rPr>
          <w:rFonts w:cs="Arial"/>
          <w:b/>
          <w:bCs/>
          <w:color w:val="222222"/>
          <w:szCs w:val="22"/>
          <w:lang w:eastAsia="es-CO"/>
        </w:rPr>
        <w:t>Gestión documental</w:t>
      </w:r>
    </w:p>
    <w:p w:rsidR="004700E2" w:rsidRPr="00104F4B" w:rsidRDefault="004700E2" w:rsidP="00582748">
      <w:pPr>
        <w:pStyle w:val="Prrafodelista"/>
        <w:numPr>
          <w:ilvl w:val="0"/>
          <w:numId w:val="77"/>
        </w:numPr>
        <w:shd w:val="clear" w:color="auto" w:fill="FFFFFF"/>
        <w:spacing w:before="0"/>
        <w:contextualSpacing/>
        <w:rPr>
          <w:rFonts w:ascii="Arial" w:hAnsi="Arial" w:cs="Arial"/>
        </w:rPr>
      </w:pPr>
      <w:r w:rsidRPr="00104F4B">
        <w:rPr>
          <w:rFonts w:ascii="Arial" w:hAnsi="Arial" w:cs="Arial"/>
        </w:rPr>
        <w:t>Convalidación de las Tablas de Valoración Documental por parte del Consejo de Archivo Distrital del Bogotá</w:t>
      </w:r>
    </w:p>
    <w:p w:rsidR="004700E2" w:rsidRPr="00104F4B" w:rsidRDefault="004700E2" w:rsidP="00582748">
      <w:pPr>
        <w:pStyle w:val="Prrafodelista"/>
        <w:numPr>
          <w:ilvl w:val="0"/>
          <w:numId w:val="77"/>
        </w:numPr>
        <w:shd w:val="clear" w:color="auto" w:fill="FFFFFF"/>
        <w:spacing w:before="0"/>
        <w:contextualSpacing/>
        <w:rPr>
          <w:rFonts w:ascii="Arial" w:hAnsi="Arial" w:cs="Arial"/>
        </w:rPr>
      </w:pPr>
      <w:r w:rsidRPr="00104F4B">
        <w:rPr>
          <w:rFonts w:ascii="Arial" w:hAnsi="Arial" w:cs="Arial"/>
        </w:rPr>
        <w:t>actualización del Programa de Gestión Documental dentro de la estrategia liderada por la Alcaldía Mayor, denominada Programa IGA +10, componente de Gestión Documental.</w:t>
      </w:r>
    </w:p>
    <w:p w:rsidR="004700E2" w:rsidRPr="00104F4B" w:rsidRDefault="004700E2" w:rsidP="004700E2">
      <w:pPr>
        <w:shd w:val="clear" w:color="auto" w:fill="FFFFFF"/>
        <w:rPr>
          <w:rFonts w:cs="Arial"/>
          <w:color w:val="222222"/>
          <w:lang w:eastAsia="es-CO"/>
        </w:rPr>
      </w:pPr>
      <w:r w:rsidRPr="00104F4B">
        <w:rPr>
          <w:rFonts w:cs="Arial"/>
          <w:b/>
          <w:bCs/>
          <w:color w:val="222222"/>
          <w:szCs w:val="22"/>
          <w:lang w:eastAsia="es-CO"/>
        </w:rPr>
        <w:t>Programa de Comunicaciones, Sistema Integrado de Gestión, Estudios Técnicos Transversales y Participación Ciudadana</w:t>
      </w:r>
      <w:r w:rsidRPr="00104F4B">
        <w:rPr>
          <w:rFonts w:cs="Arial"/>
          <w:b/>
          <w:bCs/>
          <w:color w:val="222222"/>
          <w:lang w:eastAsia="es-CO"/>
        </w:rPr>
        <w:t xml:space="preserve">: </w:t>
      </w:r>
      <w:r w:rsidRPr="00104F4B">
        <w:rPr>
          <w:rFonts w:cs="Arial"/>
          <w:color w:val="222222"/>
          <w:szCs w:val="22"/>
          <w:lang w:eastAsia="es-CO"/>
        </w:rPr>
        <w:t>La SGGC, atendió la ordenación del gasto de las oficinas asesoras y aseguró recursos necesarios para los estudios técnicos transversales de la entidad, de forma tal que se adelantaran los procesos que aportan la mejora continua misional, buena imagen y difusión de proyectos que adelanta el IDU.</w:t>
      </w:r>
    </w:p>
    <w:p w:rsidR="004700E2" w:rsidRPr="00104F4B" w:rsidRDefault="004700E2" w:rsidP="004700E2">
      <w:pPr>
        <w:shd w:val="clear" w:color="auto" w:fill="FFFFFF"/>
        <w:rPr>
          <w:rFonts w:cs="Arial"/>
          <w:color w:val="222222"/>
          <w:szCs w:val="22"/>
          <w:lang w:eastAsia="es-CO"/>
        </w:rPr>
      </w:pPr>
      <w:r w:rsidRPr="00104F4B">
        <w:rPr>
          <w:rFonts w:cs="Arial"/>
          <w:color w:val="222222"/>
          <w:szCs w:val="22"/>
          <w:lang w:eastAsia="es-CO"/>
        </w:rPr>
        <w:t>En lo relacionado con el programa de comunicaciones de la entidad se apropiaron los recursos necesarios y se atendieron los compromisos para llevar a cabo el monitoreo de medios, el Plan de difusión y medios, además de garantizar todo lo concerniente a las piezas impresos y material publicitario indispensable para la gestión social del lDU y las obras que ejecuta.</w:t>
      </w:r>
    </w:p>
    <w:p w:rsidR="004700E2" w:rsidRPr="00104F4B" w:rsidRDefault="004700E2" w:rsidP="004700E2">
      <w:pPr>
        <w:shd w:val="clear" w:color="auto" w:fill="FFFFFF"/>
        <w:rPr>
          <w:rFonts w:cs="Arial"/>
          <w:color w:val="222222"/>
          <w:szCs w:val="22"/>
          <w:lang w:eastAsia="es-CO"/>
        </w:rPr>
      </w:pPr>
      <w:r w:rsidRPr="00104F4B">
        <w:rPr>
          <w:rFonts w:cs="Arial"/>
          <w:color w:val="222222"/>
          <w:szCs w:val="22"/>
          <w:lang w:eastAsia="es-CO"/>
        </w:rPr>
        <w:t xml:space="preserve">Por otra parte, la Oficina Asesora de Comunicaciones lideró en la vigencia 2018 un proyecto que pretende dar a conocer la opinión de los ciudadanos sobre las obras de infraestructura adelantadas por el Instituto de Desarrollo Urbano y el impacto que éstas generan en la vida de los ciudadanos, </w:t>
      </w:r>
      <w:r w:rsidRPr="00104F4B">
        <w:rPr>
          <w:rFonts w:cs="Arial"/>
          <w:color w:val="222222"/>
          <w:szCs w:val="22"/>
          <w:lang w:eastAsia="es-CO"/>
        </w:rPr>
        <w:lastRenderedPageBreak/>
        <w:t>esto fundamentado en un marco teórico otorgado mediante la contratación de una firma encuestadora especializada que otorgue los resultados de la percepción esperada.</w:t>
      </w:r>
    </w:p>
    <w:p w:rsidR="004700E2" w:rsidRPr="00104F4B" w:rsidRDefault="004700E2" w:rsidP="004700E2">
      <w:pPr>
        <w:shd w:val="clear" w:color="auto" w:fill="FFFFFF"/>
        <w:rPr>
          <w:rFonts w:cs="Arial"/>
          <w:color w:val="222222"/>
          <w:szCs w:val="22"/>
          <w:lang w:eastAsia="es-CO"/>
        </w:rPr>
      </w:pPr>
      <w:r w:rsidRPr="00104F4B">
        <w:rPr>
          <w:rFonts w:cs="Arial"/>
          <w:b/>
          <w:bCs/>
          <w:color w:val="222222"/>
          <w:szCs w:val="22"/>
          <w:lang w:eastAsia="es-CO"/>
        </w:rPr>
        <w:t>Plan de Continuidad del Negocio</w:t>
      </w:r>
      <w:r w:rsidRPr="00104F4B">
        <w:rPr>
          <w:rFonts w:cs="Arial"/>
          <w:b/>
          <w:bCs/>
          <w:color w:val="222222"/>
          <w:lang w:eastAsia="es-CO"/>
        </w:rPr>
        <w:t xml:space="preserve">: </w:t>
      </w:r>
      <w:r w:rsidRPr="00104F4B">
        <w:rPr>
          <w:rFonts w:cs="Arial"/>
          <w:color w:val="222222"/>
          <w:szCs w:val="22"/>
          <w:lang w:eastAsia="es-CO"/>
        </w:rPr>
        <w:t>Elaboración e implementación, hasta la etapa de pruebas, del Plan de Continuidad de Negocio el cual le permite al IDU estar preparado frente a eventos de interrupción, recuperar los procesos críticos y garantizar el servicio al cliente.</w:t>
      </w:r>
    </w:p>
    <w:p w:rsidR="004700E2" w:rsidRPr="00104F4B" w:rsidRDefault="004700E2" w:rsidP="004700E2">
      <w:pPr>
        <w:pStyle w:val="Ttulo1"/>
        <w:rPr>
          <w:rFonts w:ascii="Arial" w:hAnsi="Arial" w:cs="Arial"/>
          <w:sz w:val="22"/>
          <w:szCs w:val="22"/>
        </w:rPr>
      </w:pPr>
      <w:bookmarkStart w:id="77" w:name="_Toc536195565"/>
      <w:r w:rsidRPr="00104F4B">
        <w:rPr>
          <w:rFonts w:ascii="Arial" w:hAnsi="Arial" w:cs="Arial"/>
          <w:sz w:val="22"/>
          <w:szCs w:val="22"/>
        </w:rPr>
        <w:t>7.1.1 DIRECCIÓN TÉCNICA ADMINISTRATIVA Y FINANCIERA</w:t>
      </w:r>
      <w:bookmarkEnd w:id="77"/>
    </w:p>
    <w:p w:rsidR="004700E2" w:rsidRPr="00104F4B" w:rsidRDefault="004700E2" w:rsidP="004700E2">
      <w:pPr>
        <w:rPr>
          <w:rFonts w:cs="Arial"/>
          <w:b/>
          <w:szCs w:val="22"/>
        </w:rPr>
      </w:pPr>
      <w:r w:rsidRPr="00104F4B">
        <w:rPr>
          <w:rFonts w:cs="Arial"/>
          <w:b/>
          <w:szCs w:val="22"/>
        </w:rPr>
        <w:t>Gestión de Recursos Físicos</w:t>
      </w:r>
    </w:p>
    <w:p w:rsidR="004700E2" w:rsidRPr="00104F4B" w:rsidRDefault="004700E2" w:rsidP="004700E2">
      <w:pPr>
        <w:ind w:right="-235"/>
        <w:rPr>
          <w:rFonts w:cs="Arial"/>
          <w:b/>
          <w:szCs w:val="22"/>
        </w:rPr>
      </w:pPr>
      <w:r w:rsidRPr="00104F4B">
        <w:rPr>
          <w:rFonts w:cs="Arial"/>
          <w:b/>
          <w:szCs w:val="22"/>
        </w:rPr>
        <w:t>Infraestructura y mantenimiento</w:t>
      </w:r>
    </w:p>
    <w:p w:rsidR="004700E2" w:rsidRPr="00104F4B" w:rsidRDefault="004700E2" w:rsidP="00582748">
      <w:pPr>
        <w:pStyle w:val="Prrafodelista"/>
        <w:numPr>
          <w:ilvl w:val="0"/>
          <w:numId w:val="70"/>
        </w:numPr>
        <w:spacing w:before="0"/>
        <w:ind w:left="709" w:hanging="426"/>
        <w:contextualSpacing/>
        <w:rPr>
          <w:rFonts w:ascii="Arial" w:hAnsi="Arial" w:cs="Arial"/>
        </w:rPr>
      </w:pPr>
      <w:r w:rsidRPr="00104F4B">
        <w:rPr>
          <w:rFonts w:ascii="Arial" w:hAnsi="Arial" w:cs="Arial"/>
        </w:rPr>
        <w:t>Instalación y puesta en funcionamiento de dos ascensores eléctricos nuevos para la sede principal, así como la respectiva certificación por parte de la entidad competente, lo que garantiza el cumplimiento de todas las medidas de seguridad y su acondicionamiento técnico correcto.</w:t>
      </w:r>
    </w:p>
    <w:p w:rsidR="004700E2" w:rsidRPr="00104F4B" w:rsidRDefault="004700E2" w:rsidP="00582748">
      <w:pPr>
        <w:pStyle w:val="Prrafodelista"/>
        <w:numPr>
          <w:ilvl w:val="0"/>
          <w:numId w:val="70"/>
        </w:numPr>
        <w:spacing w:before="0"/>
        <w:ind w:left="709" w:hanging="426"/>
        <w:contextualSpacing/>
        <w:rPr>
          <w:rFonts w:ascii="Arial" w:hAnsi="Arial" w:cs="Arial"/>
        </w:rPr>
      </w:pPr>
      <w:r w:rsidRPr="00104F4B">
        <w:rPr>
          <w:rFonts w:ascii="Arial" w:hAnsi="Arial" w:cs="Arial"/>
        </w:rPr>
        <w:t>Actualización y normalización del sistema eléctrico de baja tensión, minimizando al máximo el riesgo eléctrico en las instalaciones de la sede principal; adecuación de cuarto eléctrico con nuevos tableros de medida y acometidas respectivas.</w:t>
      </w:r>
    </w:p>
    <w:p w:rsidR="004700E2" w:rsidRPr="00104F4B" w:rsidRDefault="004700E2" w:rsidP="00582748">
      <w:pPr>
        <w:pStyle w:val="Prrafodelista"/>
        <w:numPr>
          <w:ilvl w:val="0"/>
          <w:numId w:val="70"/>
        </w:numPr>
        <w:spacing w:before="0"/>
        <w:ind w:left="709" w:hanging="426"/>
        <w:contextualSpacing/>
        <w:rPr>
          <w:rFonts w:ascii="Arial" w:hAnsi="Arial" w:cs="Arial"/>
        </w:rPr>
      </w:pPr>
      <w:r w:rsidRPr="00104F4B">
        <w:rPr>
          <w:rFonts w:ascii="Arial" w:hAnsi="Arial" w:cs="Arial"/>
        </w:rPr>
        <w:t>Mantenimientos preventivos y correctivos de los sistemas mecánicos instalados en la sede principal y que permiten el adecuado funcionamiento de las instalaciones, como sistema hidráulico de bombeo, plantas eléctricas de emergencia y sistemas de aire acondicionado.</w:t>
      </w:r>
    </w:p>
    <w:p w:rsidR="004700E2" w:rsidRPr="00104F4B" w:rsidRDefault="004700E2" w:rsidP="00582748">
      <w:pPr>
        <w:pStyle w:val="Prrafodelista"/>
        <w:numPr>
          <w:ilvl w:val="0"/>
          <w:numId w:val="70"/>
        </w:numPr>
        <w:spacing w:before="0"/>
        <w:ind w:left="709" w:hanging="426"/>
        <w:contextualSpacing/>
        <w:rPr>
          <w:rFonts w:ascii="Arial" w:hAnsi="Arial" w:cs="Arial"/>
        </w:rPr>
      </w:pPr>
      <w:r w:rsidRPr="00104F4B">
        <w:rPr>
          <w:rFonts w:ascii="Arial" w:hAnsi="Arial" w:cs="Arial"/>
        </w:rPr>
        <w:t>Modernización del sistema de telefonía fija; se cambia la infraestructura de la planta telefónica ya obsoleta por servicio de telefonía IP, lo que permite menores costos en las comunicaciones y mayor calidad y confluencia de herramientas colaborativas.</w:t>
      </w:r>
    </w:p>
    <w:p w:rsidR="004700E2" w:rsidRPr="00104F4B" w:rsidRDefault="004700E2" w:rsidP="00582748">
      <w:pPr>
        <w:pStyle w:val="Prrafodelista"/>
        <w:numPr>
          <w:ilvl w:val="0"/>
          <w:numId w:val="70"/>
        </w:numPr>
        <w:spacing w:before="0"/>
        <w:ind w:left="709" w:hanging="426"/>
        <w:contextualSpacing/>
        <w:rPr>
          <w:rFonts w:ascii="Arial" w:hAnsi="Arial" w:cs="Arial"/>
        </w:rPr>
      </w:pPr>
      <w:r w:rsidRPr="00104F4B">
        <w:rPr>
          <w:rFonts w:ascii="Arial" w:hAnsi="Arial" w:cs="Arial"/>
        </w:rPr>
        <w:t>Adquisición e instalación de tres toboganes de salvamento como medios de evacuación alternos para el edificio sede principal, que brindan mayor seguridad a los ocupantes del edificio en caso de emergencia.</w:t>
      </w:r>
    </w:p>
    <w:p w:rsidR="004700E2" w:rsidRPr="00104F4B" w:rsidRDefault="004700E2" w:rsidP="004700E2">
      <w:pPr>
        <w:ind w:right="-235"/>
        <w:rPr>
          <w:rFonts w:cs="Arial"/>
          <w:b/>
          <w:szCs w:val="22"/>
        </w:rPr>
      </w:pPr>
      <w:r w:rsidRPr="00104F4B">
        <w:rPr>
          <w:rFonts w:cs="Arial"/>
          <w:b/>
          <w:szCs w:val="22"/>
        </w:rPr>
        <w:t>Almacén e Inventarios</w:t>
      </w:r>
    </w:p>
    <w:p w:rsidR="004700E2" w:rsidRPr="00104F4B" w:rsidRDefault="004700E2" w:rsidP="00582748">
      <w:pPr>
        <w:pStyle w:val="Prrafodelista"/>
        <w:numPr>
          <w:ilvl w:val="0"/>
          <w:numId w:val="70"/>
        </w:numPr>
        <w:spacing w:before="0"/>
        <w:ind w:left="709" w:hanging="426"/>
        <w:contextualSpacing/>
        <w:rPr>
          <w:rFonts w:ascii="Arial" w:hAnsi="Arial" w:cs="Arial"/>
        </w:rPr>
      </w:pPr>
      <w:r w:rsidRPr="00104F4B">
        <w:rPr>
          <w:rFonts w:ascii="Arial" w:hAnsi="Arial" w:cs="Arial"/>
        </w:rPr>
        <w:t>Depuración de inventarios y baja de bienes autorizada por el Comité de Control Financiero, Contable y de Inventarios.</w:t>
      </w:r>
    </w:p>
    <w:p w:rsidR="004700E2" w:rsidRPr="00104F4B" w:rsidRDefault="004700E2" w:rsidP="00582748">
      <w:pPr>
        <w:pStyle w:val="Prrafodelista"/>
        <w:numPr>
          <w:ilvl w:val="0"/>
          <w:numId w:val="70"/>
        </w:numPr>
        <w:spacing w:before="0"/>
        <w:ind w:left="709" w:hanging="426"/>
        <w:contextualSpacing/>
        <w:rPr>
          <w:rFonts w:ascii="Arial" w:hAnsi="Arial" w:cs="Arial"/>
        </w:rPr>
      </w:pPr>
      <w:r w:rsidRPr="00104F4B">
        <w:rPr>
          <w:rFonts w:ascii="Arial" w:hAnsi="Arial" w:cs="Arial"/>
        </w:rPr>
        <w:t>Aplicación de las Normas Internacionales de Información Financiera (NIIF)</w:t>
      </w:r>
    </w:p>
    <w:p w:rsidR="004700E2" w:rsidRPr="00104F4B" w:rsidRDefault="004700E2" w:rsidP="004700E2">
      <w:pPr>
        <w:ind w:right="-235"/>
        <w:rPr>
          <w:rFonts w:cs="Arial"/>
          <w:b/>
          <w:szCs w:val="22"/>
        </w:rPr>
      </w:pPr>
      <w:r w:rsidRPr="00104F4B">
        <w:rPr>
          <w:rFonts w:cs="Arial"/>
          <w:b/>
          <w:szCs w:val="22"/>
        </w:rPr>
        <w:t>Gestión Documental</w:t>
      </w:r>
    </w:p>
    <w:p w:rsidR="004700E2" w:rsidRPr="00104F4B" w:rsidRDefault="004700E2" w:rsidP="00582748">
      <w:pPr>
        <w:pStyle w:val="Prrafodelista"/>
        <w:numPr>
          <w:ilvl w:val="0"/>
          <w:numId w:val="70"/>
        </w:numPr>
        <w:spacing w:before="0"/>
        <w:ind w:left="709" w:hanging="426"/>
        <w:contextualSpacing/>
        <w:rPr>
          <w:rFonts w:ascii="Arial" w:hAnsi="Arial" w:cs="Arial"/>
        </w:rPr>
      </w:pPr>
      <w:r w:rsidRPr="00104F4B">
        <w:rPr>
          <w:rFonts w:ascii="Arial" w:hAnsi="Arial" w:cs="Arial"/>
        </w:rPr>
        <w:t>Convalidación de las Tablas de Valoración Documental por parte del Consejo de Archivo Distrital del Bogotá.</w:t>
      </w:r>
    </w:p>
    <w:p w:rsidR="004700E2" w:rsidRPr="00104F4B" w:rsidRDefault="004700E2" w:rsidP="00582748">
      <w:pPr>
        <w:pStyle w:val="Prrafodelista"/>
        <w:numPr>
          <w:ilvl w:val="0"/>
          <w:numId w:val="70"/>
        </w:numPr>
        <w:spacing w:before="0"/>
        <w:ind w:left="709" w:hanging="426"/>
        <w:contextualSpacing/>
        <w:rPr>
          <w:rFonts w:ascii="Arial" w:hAnsi="Arial" w:cs="Arial"/>
        </w:rPr>
      </w:pPr>
      <w:r w:rsidRPr="00104F4B">
        <w:rPr>
          <w:rFonts w:ascii="Arial" w:hAnsi="Arial" w:cs="Arial"/>
        </w:rPr>
        <w:t xml:space="preserve">Actualización del Programa de Gestión Documental dentro de la estrategia liderada por la Alcaldía Mayor, denominada Programa IGA +10, componente de Gestión Documental. </w:t>
      </w:r>
    </w:p>
    <w:p w:rsidR="004700E2" w:rsidRPr="00104F4B" w:rsidRDefault="004700E2" w:rsidP="00582748">
      <w:pPr>
        <w:pStyle w:val="Prrafodelista"/>
        <w:numPr>
          <w:ilvl w:val="0"/>
          <w:numId w:val="70"/>
        </w:numPr>
        <w:spacing w:before="0"/>
        <w:ind w:left="709" w:hanging="426"/>
        <w:contextualSpacing/>
        <w:rPr>
          <w:rFonts w:ascii="Arial" w:hAnsi="Arial" w:cs="Arial"/>
        </w:rPr>
      </w:pPr>
      <w:r w:rsidRPr="00104F4B">
        <w:rPr>
          <w:rFonts w:ascii="Arial" w:hAnsi="Arial" w:cs="Arial"/>
        </w:rPr>
        <w:t>Procesamiento técnico y digitalización de los expedientes que conforman la serie Contratos.</w:t>
      </w:r>
    </w:p>
    <w:p w:rsidR="004700E2" w:rsidRPr="00104F4B" w:rsidRDefault="004700E2" w:rsidP="004700E2">
      <w:pPr>
        <w:ind w:right="-235"/>
        <w:rPr>
          <w:rFonts w:cs="Arial"/>
          <w:szCs w:val="22"/>
        </w:rPr>
      </w:pPr>
      <w:r w:rsidRPr="00104F4B">
        <w:rPr>
          <w:rFonts w:cs="Arial"/>
          <w:b/>
          <w:szCs w:val="22"/>
        </w:rPr>
        <w:t>Centro de Documentación</w:t>
      </w:r>
      <w:r w:rsidRPr="00104F4B">
        <w:rPr>
          <w:rFonts w:cs="Arial"/>
          <w:b/>
        </w:rPr>
        <w:t xml:space="preserve">: </w:t>
      </w:r>
      <w:r w:rsidRPr="00104F4B">
        <w:rPr>
          <w:rFonts w:cs="Arial"/>
          <w:szCs w:val="22"/>
        </w:rPr>
        <w:t xml:space="preserve">Publicación en el repositorio institucional de los informes finales de los contratos de factibilidad y prefactibilidad de los proyectos de infraestructura viabilizados, los cuales son y serán insumo para los procesos licitatorios de las construcciones de tipo misional. </w:t>
      </w:r>
    </w:p>
    <w:p w:rsidR="004700E2" w:rsidRPr="00104F4B" w:rsidRDefault="004700E2" w:rsidP="004700E2">
      <w:pPr>
        <w:pStyle w:val="Textoindependiente"/>
        <w:rPr>
          <w:rFonts w:ascii="Arial" w:hAnsi="Arial" w:cs="Arial"/>
          <w:b/>
          <w:szCs w:val="22"/>
          <w:lang w:val="es-CO"/>
        </w:rPr>
      </w:pPr>
      <w:r w:rsidRPr="00104F4B">
        <w:rPr>
          <w:rFonts w:ascii="Arial" w:hAnsi="Arial" w:cs="Arial"/>
          <w:b/>
          <w:szCs w:val="22"/>
          <w:lang w:val="es-CO"/>
        </w:rPr>
        <w:t>Gestión de Recursos Humanos</w:t>
      </w:r>
    </w:p>
    <w:p w:rsidR="004700E2" w:rsidRPr="00104F4B" w:rsidRDefault="004700E2" w:rsidP="004700E2">
      <w:pPr>
        <w:ind w:right="-235"/>
        <w:rPr>
          <w:rFonts w:cs="Arial"/>
          <w:szCs w:val="22"/>
        </w:rPr>
      </w:pPr>
      <w:r w:rsidRPr="00104F4B">
        <w:rPr>
          <w:rFonts w:cs="Arial"/>
          <w:b/>
          <w:szCs w:val="22"/>
        </w:rPr>
        <w:t>Plan Institucional de Capacitación</w:t>
      </w:r>
      <w:r w:rsidRPr="00104F4B">
        <w:rPr>
          <w:rFonts w:cs="Arial"/>
          <w:b/>
        </w:rPr>
        <w:t xml:space="preserve">: </w:t>
      </w:r>
      <w:r w:rsidRPr="00104F4B">
        <w:rPr>
          <w:rFonts w:cs="Arial"/>
          <w:szCs w:val="22"/>
        </w:rPr>
        <w:t>El Plan Institucional de Capacitación - PIC 2018, se enfocó hacia el fortalecimiento de las competencias transversales y técnicas, en busca de cerrar las brechas existentes en los servidores de la Entidad, y desarrollar las capacidades, destrezas y habilidades, valores y competencias, para elevar la productividad y el sentido de pertenencia. El PIC 2018 se estructuró alrededor de los siguientes componentes:</w:t>
      </w:r>
    </w:p>
    <w:p w:rsidR="004700E2" w:rsidRPr="007C5EDF" w:rsidRDefault="004700E2" w:rsidP="007C5EDF">
      <w:pPr>
        <w:spacing w:before="0"/>
        <w:contextualSpacing/>
        <w:rPr>
          <w:rFonts w:cs="Arial"/>
        </w:rPr>
      </w:pPr>
      <w:r w:rsidRPr="007C5EDF">
        <w:rPr>
          <w:rFonts w:cs="Arial"/>
        </w:rPr>
        <w:lastRenderedPageBreak/>
        <w:t>Proyectos</w:t>
      </w:r>
      <w:r w:rsidR="005C3D90" w:rsidRPr="007C5EDF">
        <w:rPr>
          <w:rFonts w:cs="Arial"/>
        </w:rPr>
        <w:t xml:space="preserve"> de Aprendizaje en Equipo (PAE), Programas Institucionales, </w:t>
      </w:r>
      <w:r w:rsidRPr="007C5EDF">
        <w:rPr>
          <w:rFonts w:cs="Arial"/>
        </w:rPr>
        <w:t>Diagnóstic</w:t>
      </w:r>
      <w:r w:rsidR="005C3D90" w:rsidRPr="007C5EDF">
        <w:rPr>
          <w:rFonts w:cs="Arial"/>
        </w:rPr>
        <w:t xml:space="preserve">o de Aprendizaje Organizacional, </w:t>
      </w:r>
      <w:r w:rsidRPr="007C5EDF">
        <w:rPr>
          <w:rFonts w:cs="Arial"/>
        </w:rPr>
        <w:t>Sistema Integrado d</w:t>
      </w:r>
      <w:r w:rsidR="005C3D90" w:rsidRPr="007C5EDF">
        <w:rPr>
          <w:rFonts w:cs="Arial"/>
        </w:rPr>
        <w:t xml:space="preserve">e Gestión (SIG), </w:t>
      </w:r>
      <w:r w:rsidRPr="007C5EDF">
        <w:rPr>
          <w:rFonts w:cs="Arial"/>
        </w:rPr>
        <w:t>Planes de Mejoramiento Individual.</w:t>
      </w:r>
    </w:p>
    <w:p w:rsidR="004700E2" w:rsidRPr="00104F4B" w:rsidRDefault="004700E2" w:rsidP="004700E2">
      <w:pPr>
        <w:ind w:right="-235"/>
        <w:rPr>
          <w:rFonts w:cs="Arial"/>
          <w:szCs w:val="22"/>
        </w:rPr>
      </w:pPr>
      <w:r w:rsidRPr="00104F4B">
        <w:rPr>
          <w:rFonts w:cs="Arial"/>
          <w:b/>
          <w:szCs w:val="22"/>
        </w:rPr>
        <w:t>Teletrabajo</w:t>
      </w:r>
      <w:r w:rsidRPr="00104F4B">
        <w:rPr>
          <w:rFonts w:cs="Arial"/>
          <w:b/>
        </w:rPr>
        <w:t xml:space="preserve">: </w:t>
      </w:r>
      <w:r w:rsidRPr="00104F4B">
        <w:rPr>
          <w:rFonts w:cs="Arial"/>
          <w:szCs w:val="22"/>
        </w:rPr>
        <w:t>Durante la vigencia 2018, se realizó la actualización del Libro Blanco de Teletrabajo IDU, así como, una nueva convocatoria para, para lo cual se realizó un análisis de los empleos teletrabajables; el resultado indica que 164 servidores pueden optar por esta modalidad; el proceso de formalización se encuentra en trámite.</w:t>
      </w:r>
    </w:p>
    <w:p w:rsidR="004700E2" w:rsidRPr="00104F4B" w:rsidRDefault="004700E2" w:rsidP="004700E2">
      <w:pPr>
        <w:rPr>
          <w:rFonts w:cs="Arial"/>
          <w:szCs w:val="22"/>
          <w:highlight w:val="yellow"/>
        </w:rPr>
      </w:pPr>
      <w:r w:rsidRPr="00104F4B">
        <w:rPr>
          <w:rFonts w:cs="Arial"/>
          <w:szCs w:val="22"/>
        </w:rPr>
        <w:t>Actualmente, la Entidad cuenta con 12 teletrabajadores formalizados que vienen con esta modalidad de trabajo desde vigencias anteriores; 6 servidores cumplen labores administrativas en áreas misionales y 6 en áreas de apoyo.</w:t>
      </w:r>
    </w:p>
    <w:p w:rsidR="004700E2" w:rsidRPr="00104F4B" w:rsidRDefault="004700E2" w:rsidP="004700E2">
      <w:pPr>
        <w:ind w:right="-235"/>
        <w:rPr>
          <w:rStyle w:val="Textoennegrita"/>
          <w:rFonts w:cs="Arial"/>
          <w:b w:val="0"/>
          <w:szCs w:val="22"/>
        </w:rPr>
      </w:pPr>
      <w:r w:rsidRPr="00104F4B">
        <w:rPr>
          <w:rFonts w:cs="Arial"/>
          <w:b/>
          <w:szCs w:val="22"/>
        </w:rPr>
        <w:t>Sistema de Estímulos</w:t>
      </w:r>
      <w:r w:rsidRPr="00104F4B">
        <w:rPr>
          <w:rFonts w:cs="Arial"/>
          <w:b/>
        </w:rPr>
        <w:t xml:space="preserve">: </w:t>
      </w:r>
      <w:r w:rsidRPr="00104F4B">
        <w:rPr>
          <w:rFonts w:cs="Arial"/>
          <w:szCs w:val="22"/>
        </w:rPr>
        <w:t xml:space="preserve">El Sistema de Estímulos, se desarrolló con base en lo establecido la Resolución No. 2772 de 2018. </w:t>
      </w:r>
      <w:r w:rsidRPr="00104F4B">
        <w:rPr>
          <w:rStyle w:val="Textoennegrita"/>
          <w:rFonts w:cs="Arial"/>
          <w:b w:val="0"/>
          <w:szCs w:val="22"/>
        </w:rPr>
        <w:t>A continuación, se presentan las actividades ejecutadas:</w:t>
      </w:r>
    </w:p>
    <w:tbl>
      <w:tblPr>
        <w:tblW w:w="91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907"/>
        <w:gridCol w:w="5221"/>
      </w:tblGrid>
      <w:tr w:rsidR="004700E2" w:rsidRPr="00104F4B" w:rsidTr="004700E2">
        <w:trPr>
          <w:trHeight w:val="233"/>
          <w:tblHeader/>
          <w:jc w:val="center"/>
        </w:trPr>
        <w:tc>
          <w:tcPr>
            <w:tcW w:w="3907" w:type="dxa"/>
            <w:shd w:val="clear" w:color="auto" w:fill="DEEAF6"/>
            <w:noWrap/>
            <w:vAlign w:val="center"/>
          </w:tcPr>
          <w:p w:rsidR="004700E2" w:rsidRPr="00104F4B" w:rsidRDefault="004700E2" w:rsidP="004700E2">
            <w:pPr>
              <w:rPr>
                <w:rFonts w:cs="Arial"/>
                <w:b/>
                <w:color w:val="000000"/>
                <w:sz w:val="16"/>
                <w:szCs w:val="16"/>
              </w:rPr>
            </w:pPr>
            <w:r w:rsidRPr="00104F4B">
              <w:rPr>
                <w:rFonts w:cs="Arial"/>
                <w:b/>
                <w:color w:val="000000"/>
                <w:sz w:val="16"/>
                <w:szCs w:val="16"/>
              </w:rPr>
              <w:t>ACTIVIDADES BIENESTAR SOCIAL</w:t>
            </w:r>
          </w:p>
        </w:tc>
        <w:tc>
          <w:tcPr>
            <w:tcW w:w="5221" w:type="dxa"/>
            <w:shd w:val="clear" w:color="auto" w:fill="DEEAF6"/>
            <w:vAlign w:val="center"/>
          </w:tcPr>
          <w:p w:rsidR="004700E2" w:rsidRPr="00104F4B" w:rsidRDefault="004700E2" w:rsidP="004700E2">
            <w:pPr>
              <w:rPr>
                <w:rFonts w:cs="Arial"/>
                <w:b/>
                <w:color w:val="000000"/>
                <w:sz w:val="16"/>
                <w:szCs w:val="16"/>
              </w:rPr>
            </w:pPr>
            <w:r w:rsidRPr="00104F4B">
              <w:rPr>
                <w:rFonts w:cs="Arial"/>
                <w:b/>
                <w:bCs/>
                <w:color w:val="000000"/>
                <w:sz w:val="16"/>
                <w:szCs w:val="16"/>
              </w:rPr>
              <w:t>ACTIVIDADES BIENESTAR DE CALIDAD DE VIDA LABORAL</w:t>
            </w:r>
          </w:p>
        </w:tc>
      </w:tr>
      <w:tr w:rsidR="004700E2" w:rsidRPr="00104F4B" w:rsidTr="00E60777">
        <w:trPr>
          <w:trHeight w:val="279"/>
          <w:jc w:val="center"/>
        </w:trPr>
        <w:tc>
          <w:tcPr>
            <w:tcW w:w="3907" w:type="dxa"/>
            <w:shd w:val="clear" w:color="auto" w:fill="auto"/>
            <w:noWrap/>
            <w:vAlign w:val="center"/>
            <w:hideMark/>
          </w:tcPr>
          <w:p w:rsidR="004700E2" w:rsidRPr="00104F4B" w:rsidRDefault="004700E2" w:rsidP="004700E2">
            <w:pPr>
              <w:rPr>
                <w:rFonts w:cs="Arial"/>
                <w:color w:val="000000"/>
                <w:sz w:val="16"/>
                <w:szCs w:val="16"/>
              </w:rPr>
            </w:pPr>
            <w:r w:rsidRPr="00104F4B">
              <w:rPr>
                <w:rFonts w:cs="Arial"/>
                <w:color w:val="000000"/>
                <w:sz w:val="16"/>
                <w:szCs w:val="16"/>
              </w:rPr>
              <w:t>Juegos Deportivos Distritales</w:t>
            </w:r>
          </w:p>
        </w:tc>
        <w:tc>
          <w:tcPr>
            <w:tcW w:w="5221" w:type="dxa"/>
            <w:vAlign w:val="center"/>
          </w:tcPr>
          <w:p w:rsidR="004700E2" w:rsidRPr="00104F4B" w:rsidRDefault="004700E2" w:rsidP="004700E2">
            <w:pPr>
              <w:rPr>
                <w:rFonts w:cs="Arial"/>
                <w:color w:val="000000"/>
                <w:sz w:val="16"/>
                <w:szCs w:val="16"/>
              </w:rPr>
            </w:pPr>
            <w:r w:rsidRPr="00104F4B">
              <w:rPr>
                <w:rFonts w:cs="Arial"/>
                <w:color w:val="000000"/>
                <w:sz w:val="16"/>
                <w:szCs w:val="16"/>
              </w:rPr>
              <w:t>Talleres líderes IDU (Directivos)</w:t>
            </w:r>
          </w:p>
        </w:tc>
      </w:tr>
      <w:tr w:rsidR="004700E2" w:rsidRPr="00104F4B" w:rsidTr="004700E2">
        <w:trPr>
          <w:trHeight w:val="233"/>
          <w:jc w:val="center"/>
        </w:trPr>
        <w:tc>
          <w:tcPr>
            <w:tcW w:w="3907" w:type="dxa"/>
            <w:shd w:val="clear" w:color="auto" w:fill="auto"/>
            <w:noWrap/>
            <w:vAlign w:val="center"/>
            <w:hideMark/>
          </w:tcPr>
          <w:p w:rsidR="004700E2" w:rsidRPr="00104F4B" w:rsidRDefault="004700E2" w:rsidP="004700E2">
            <w:pPr>
              <w:rPr>
                <w:rFonts w:cs="Arial"/>
                <w:color w:val="000000"/>
                <w:sz w:val="16"/>
                <w:szCs w:val="16"/>
              </w:rPr>
            </w:pPr>
            <w:r w:rsidRPr="00104F4B">
              <w:rPr>
                <w:rFonts w:cs="Arial"/>
                <w:color w:val="000000"/>
                <w:sz w:val="16"/>
                <w:szCs w:val="16"/>
              </w:rPr>
              <w:t>Olimpiadas Deportivas IDU</w:t>
            </w:r>
          </w:p>
        </w:tc>
        <w:tc>
          <w:tcPr>
            <w:tcW w:w="5221" w:type="dxa"/>
            <w:vAlign w:val="center"/>
          </w:tcPr>
          <w:p w:rsidR="004700E2" w:rsidRPr="00104F4B" w:rsidRDefault="004700E2" w:rsidP="004700E2">
            <w:pPr>
              <w:rPr>
                <w:rFonts w:cs="Arial"/>
                <w:color w:val="000000"/>
                <w:sz w:val="16"/>
                <w:szCs w:val="16"/>
              </w:rPr>
            </w:pPr>
            <w:r w:rsidRPr="00104F4B">
              <w:rPr>
                <w:rFonts w:cs="Arial"/>
                <w:color w:val="000000"/>
                <w:sz w:val="16"/>
                <w:szCs w:val="16"/>
              </w:rPr>
              <w:t>Talleres líderes IDU (servidores no directivos)</w:t>
            </w:r>
          </w:p>
        </w:tc>
      </w:tr>
      <w:tr w:rsidR="004700E2" w:rsidRPr="00104F4B" w:rsidTr="004700E2">
        <w:trPr>
          <w:trHeight w:val="233"/>
          <w:jc w:val="center"/>
        </w:trPr>
        <w:tc>
          <w:tcPr>
            <w:tcW w:w="3907" w:type="dxa"/>
            <w:shd w:val="clear" w:color="auto" w:fill="auto"/>
            <w:noWrap/>
            <w:vAlign w:val="center"/>
            <w:hideMark/>
          </w:tcPr>
          <w:p w:rsidR="004700E2" w:rsidRPr="00104F4B" w:rsidRDefault="004700E2" w:rsidP="004700E2">
            <w:pPr>
              <w:rPr>
                <w:rFonts w:cs="Arial"/>
                <w:color w:val="000000"/>
                <w:sz w:val="16"/>
                <w:szCs w:val="16"/>
              </w:rPr>
            </w:pPr>
            <w:r w:rsidRPr="00104F4B">
              <w:rPr>
                <w:rFonts w:cs="Arial"/>
                <w:color w:val="000000"/>
                <w:sz w:val="16"/>
                <w:szCs w:val="16"/>
              </w:rPr>
              <w:t>Media Maratón de Bogotá</w:t>
            </w:r>
          </w:p>
        </w:tc>
        <w:tc>
          <w:tcPr>
            <w:tcW w:w="5221" w:type="dxa"/>
            <w:vAlign w:val="center"/>
          </w:tcPr>
          <w:p w:rsidR="004700E2" w:rsidRPr="00104F4B" w:rsidRDefault="004700E2" w:rsidP="004700E2">
            <w:pPr>
              <w:rPr>
                <w:rFonts w:cs="Arial"/>
                <w:color w:val="000000"/>
                <w:sz w:val="16"/>
                <w:szCs w:val="16"/>
              </w:rPr>
            </w:pPr>
            <w:r w:rsidRPr="00104F4B">
              <w:rPr>
                <w:rFonts w:cs="Arial"/>
                <w:color w:val="000000"/>
                <w:sz w:val="16"/>
                <w:szCs w:val="16"/>
              </w:rPr>
              <w:t>Termómetro clima  organizacional</w:t>
            </w:r>
          </w:p>
        </w:tc>
      </w:tr>
      <w:tr w:rsidR="004700E2" w:rsidRPr="00104F4B" w:rsidTr="004700E2">
        <w:trPr>
          <w:trHeight w:val="233"/>
          <w:jc w:val="center"/>
        </w:trPr>
        <w:tc>
          <w:tcPr>
            <w:tcW w:w="3907" w:type="dxa"/>
            <w:shd w:val="clear" w:color="auto" w:fill="auto"/>
            <w:noWrap/>
            <w:vAlign w:val="center"/>
            <w:hideMark/>
          </w:tcPr>
          <w:p w:rsidR="004700E2" w:rsidRPr="00104F4B" w:rsidRDefault="004700E2" w:rsidP="004700E2">
            <w:pPr>
              <w:rPr>
                <w:rFonts w:cs="Arial"/>
                <w:color w:val="000000"/>
                <w:sz w:val="16"/>
                <w:szCs w:val="16"/>
              </w:rPr>
            </w:pPr>
            <w:r w:rsidRPr="00104F4B">
              <w:rPr>
                <w:rFonts w:cs="Arial"/>
                <w:color w:val="000000"/>
                <w:sz w:val="16"/>
                <w:szCs w:val="16"/>
              </w:rPr>
              <w:t>Recorridos de Obra</w:t>
            </w:r>
          </w:p>
        </w:tc>
        <w:tc>
          <w:tcPr>
            <w:tcW w:w="5221" w:type="dxa"/>
            <w:vAlign w:val="center"/>
          </w:tcPr>
          <w:p w:rsidR="004700E2" w:rsidRPr="00104F4B" w:rsidRDefault="004700E2" w:rsidP="004700E2">
            <w:pPr>
              <w:rPr>
                <w:rFonts w:cs="Arial"/>
                <w:color w:val="000000"/>
                <w:sz w:val="16"/>
                <w:szCs w:val="16"/>
              </w:rPr>
            </w:pPr>
            <w:r w:rsidRPr="00104F4B">
              <w:rPr>
                <w:rFonts w:cs="Arial"/>
                <w:color w:val="000000"/>
                <w:sz w:val="16"/>
                <w:szCs w:val="16"/>
              </w:rPr>
              <w:t>Intervención clima organizacional</w:t>
            </w:r>
          </w:p>
        </w:tc>
      </w:tr>
      <w:tr w:rsidR="004700E2" w:rsidRPr="00104F4B" w:rsidTr="004700E2">
        <w:trPr>
          <w:trHeight w:val="233"/>
          <w:jc w:val="center"/>
        </w:trPr>
        <w:tc>
          <w:tcPr>
            <w:tcW w:w="3907" w:type="dxa"/>
            <w:shd w:val="clear" w:color="auto" w:fill="auto"/>
            <w:noWrap/>
            <w:vAlign w:val="center"/>
            <w:hideMark/>
          </w:tcPr>
          <w:p w:rsidR="004700E2" w:rsidRPr="00104F4B" w:rsidRDefault="004700E2" w:rsidP="004700E2">
            <w:pPr>
              <w:rPr>
                <w:rFonts w:cs="Arial"/>
                <w:color w:val="000000"/>
                <w:sz w:val="16"/>
                <w:szCs w:val="16"/>
              </w:rPr>
            </w:pPr>
            <w:r w:rsidRPr="00104F4B">
              <w:rPr>
                <w:rFonts w:cs="Arial"/>
                <w:color w:val="000000"/>
                <w:sz w:val="16"/>
                <w:szCs w:val="16"/>
              </w:rPr>
              <w:t>Día de la Familia</w:t>
            </w:r>
          </w:p>
        </w:tc>
        <w:tc>
          <w:tcPr>
            <w:tcW w:w="5221" w:type="dxa"/>
            <w:vAlign w:val="center"/>
          </w:tcPr>
          <w:p w:rsidR="004700E2" w:rsidRPr="00104F4B" w:rsidRDefault="004700E2" w:rsidP="004700E2">
            <w:pPr>
              <w:rPr>
                <w:rFonts w:cs="Arial"/>
                <w:color w:val="000000"/>
                <w:sz w:val="16"/>
                <w:szCs w:val="16"/>
              </w:rPr>
            </w:pPr>
            <w:r w:rsidRPr="00104F4B">
              <w:rPr>
                <w:rFonts w:cs="Arial"/>
                <w:color w:val="000000"/>
                <w:sz w:val="16"/>
                <w:szCs w:val="16"/>
              </w:rPr>
              <w:t>Talleres Pre-pensionados (Programa Mentores)</w:t>
            </w:r>
          </w:p>
        </w:tc>
      </w:tr>
      <w:tr w:rsidR="004700E2" w:rsidRPr="00104F4B" w:rsidTr="004700E2">
        <w:trPr>
          <w:trHeight w:val="233"/>
          <w:jc w:val="center"/>
        </w:trPr>
        <w:tc>
          <w:tcPr>
            <w:tcW w:w="3907" w:type="dxa"/>
            <w:shd w:val="clear" w:color="auto" w:fill="auto"/>
            <w:noWrap/>
            <w:vAlign w:val="center"/>
            <w:hideMark/>
          </w:tcPr>
          <w:p w:rsidR="004700E2" w:rsidRPr="00104F4B" w:rsidRDefault="004700E2" w:rsidP="004700E2">
            <w:pPr>
              <w:rPr>
                <w:rFonts w:cs="Arial"/>
                <w:color w:val="000000"/>
                <w:sz w:val="16"/>
                <w:szCs w:val="16"/>
              </w:rPr>
            </w:pPr>
            <w:r w:rsidRPr="00104F4B">
              <w:rPr>
                <w:rFonts w:cs="Arial"/>
                <w:color w:val="000000"/>
                <w:sz w:val="16"/>
                <w:szCs w:val="16"/>
              </w:rPr>
              <w:t>Vacaciones Recreativas</w:t>
            </w:r>
          </w:p>
        </w:tc>
        <w:tc>
          <w:tcPr>
            <w:tcW w:w="5221" w:type="dxa"/>
            <w:vAlign w:val="center"/>
          </w:tcPr>
          <w:p w:rsidR="004700E2" w:rsidRPr="00104F4B" w:rsidRDefault="004700E2" w:rsidP="004700E2">
            <w:pPr>
              <w:rPr>
                <w:rFonts w:cs="Arial"/>
                <w:color w:val="000000"/>
                <w:sz w:val="16"/>
                <w:szCs w:val="16"/>
              </w:rPr>
            </w:pPr>
            <w:r w:rsidRPr="00104F4B">
              <w:rPr>
                <w:rFonts w:cs="Arial"/>
                <w:color w:val="000000"/>
                <w:sz w:val="16"/>
                <w:szCs w:val="16"/>
              </w:rPr>
              <w:t>Encuentros de gestores de integridad</w:t>
            </w:r>
          </w:p>
        </w:tc>
      </w:tr>
      <w:tr w:rsidR="004700E2" w:rsidRPr="00104F4B" w:rsidTr="004700E2">
        <w:trPr>
          <w:trHeight w:val="233"/>
          <w:jc w:val="center"/>
        </w:trPr>
        <w:tc>
          <w:tcPr>
            <w:tcW w:w="3907" w:type="dxa"/>
            <w:shd w:val="clear" w:color="auto" w:fill="auto"/>
            <w:noWrap/>
            <w:vAlign w:val="center"/>
            <w:hideMark/>
          </w:tcPr>
          <w:p w:rsidR="004700E2" w:rsidRPr="00104F4B" w:rsidRDefault="004700E2" w:rsidP="004700E2">
            <w:pPr>
              <w:rPr>
                <w:rFonts w:cs="Arial"/>
                <w:color w:val="000000"/>
                <w:sz w:val="16"/>
                <w:szCs w:val="16"/>
              </w:rPr>
            </w:pPr>
            <w:r w:rsidRPr="00104F4B">
              <w:rPr>
                <w:rFonts w:cs="Arial"/>
                <w:color w:val="000000"/>
                <w:sz w:val="16"/>
                <w:szCs w:val="16"/>
              </w:rPr>
              <w:t>Día de los Niños</w:t>
            </w:r>
          </w:p>
        </w:tc>
        <w:tc>
          <w:tcPr>
            <w:tcW w:w="5221" w:type="dxa"/>
            <w:vAlign w:val="center"/>
          </w:tcPr>
          <w:p w:rsidR="004700E2" w:rsidRPr="00104F4B" w:rsidRDefault="004700E2" w:rsidP="004700E2">
            <w:pPr>
              <w:rPr>
                <w:rFonts w:cs="Arial"/>
                <w:color w:val="000000"/>
                <w:sz w:val="16"/>
                <w:szCs w:val="16"/>
              </w:rPr>
            </w:pPr>
            <w:r w:rsidRPr="00104F4B">
              <w:rPr>
                <w:rFonts w:cs="Arial"/>
                <w:color w:val="000000"/>
                <w:sz w:val="16"/>
                <w:szCs w:val="16"/>
              </w:rPr>
              <w:t>Nuestra Casa Vive el Mundial</w:t>
            </w:r>
          </w:p>
        </w:tc>
      </w:tr>
      <w:tr w:rsidR="004700E2" w:rsidRPr="00104F4B" w:rsidTr="004700E2">
        <w:trPr>
          <w:trHeight w:val="233"/>
          <w:jc w:val="center"/>
        </w:trPr>
        <w:tc>
          <w:tcPr>
            <w:tcW w:w="3907" w:type="dxa"/>
            <w:shd w:val="clear" w:color="auto" w:fill="auto"/>
            <w:noWrap/>
            <w:vAlign w:val="center"/>
            <w:hideMark/>
          </w:tcPr>
          <w:p w:rsidR="004700E2" w:rsidRPr="00104F4B" w:rsidRDefault="004700E2" w:rsidP="004700E2">
            <w:pPr>
              <w:rPr>
                <w:rFonts w:cs="Arial"/>
                <w:color w:val="000000"/>
                <w:sz w:val="16"/>
                <w:szCs w:val="16"/>
              </w:rPr>
            </w:pPr>
            <w:r w:rsidRPr="00104F4B">
              <w:rPr>
                <w:rFonts w:cs="Arial"/>
                <w:color w:val="000000"/>
                <w:sz w:val="16"/>
                <w:szCs w:val="16"/>
              </w:rPr>
              <w:t>Semana Cultural</w:t>
            </w:r>
          </w:p>
        </w:tc>
        <w:tc>
          <w:tcPr>
            <w:tcW w:w="5221" w:type="dxa"/>
            <w:vAlign w:val="center"/>
          </w:tcPr>
          <w:p w:rsidR="004700E2" w:rsidRPr="00104F4B" w:rsidRDefault="004700E2" w:rsidP="004700E2">
            <w:pPr>
              <w:rPr>
                <w:rFonts w:cs="Arial"/>
                <w:color w:val="000000"/>
                <w:sz w:val="16"/>
                <w:szCs w:val="16"/>
              </w:rPr>
            </w:pPr>
            <w:r w:rsidRPr="00104F4B">
              <w:rPr>
                <w:rFonts w:cs="Arial"/>
                <w:color w:val="000000"/>
                <w:sz w:val="16"/>
                <w:szCs w:val="16"/>
              </w:rPr>
              <w:t>Suscripción Pacto de Integridad</w:t>
            </w:r>
          </w:p>
        </w:tc>
      </w:tr>
      <w:tr w:rsidR="004700E2" w:rsidRPr="00104F4B" w:rsidTr="004700E2">
        <w:trPr>
          <w:trHeight w:val="233"/>
          <w:jc w:val="center"/>
        </w:trPr>
        <w:tc>
          <w:tcPr>
            <w:tcW w:w="3907" w:type="dxa"/>
            <w:shd w:val="clear" w:color="auto" w:fill="auto"/>
            <w:noWrap/>
            <w:vAlign w:val="center"/>
            <w:hideMark/>
          </w:tcPr>
          <w:p w:rsidR="004700E2" w:rsidRPr="00104F4B" w:rsidRDefault="004700E2" w:rsidP="004700E2">
            <w:pPr>
              <w:rPr>
                <w:rFonts w:cs="Arial"/>
                <w:color w:val="000000"/>
                <w:sz w:val="16"/>
                <w:szCs w:val="16"/>
              </w:rPr>
            </w:pPr>
            <w:r w:rsidRPr="00104F4B">
              <w:rPr>
                <w:rFonts w:cs="Arial"/>
                <w:color w:val="000000"/>
                <w:sz w:val="16"/>
                <w:szCs w:val="16"/>
              </w:rPr>
              <w:t>Grupos Artísticos Institucionales</w:t>
            </w:r>
          </w:p>
        </w:tc>
        <w:tc>
          <w:tcPr>
            <w:tcW w:w="5221" w:type="dxa"/>
            <w:vAlign w:val="center"/>
          </w:tcPr>
          <w:p w:rsidR="004700E2" w:rsidRPr="00104F4B" w:rsidRDefault="004700E2" w:rsidP="004700E2">
            <w:pPr>
              <w:rPr>
                <w:rFonts w:cs="Arial"/>
                <w:color w:val="000000"/>
                <w:sz w:val="16"/>
                <w:szCs w:val="16"/>
              </w:rPr>
            </w:pPr>
            <w:r w:rsidRPr="00104F4B">
              <w:rPr>
                <w:rFonts w:cs="Arial"/>
                <w:color w:val="000000"/>
                <w:sz w:val="16"/>
                <w:szCs w:val="16"/>
              </w:rPr>
              <w:t>Día de la Unión</w:t>
            </w:r>
          </w:p>
        </w:tc>
      </w:tr>
      <w:tr w:rsidR="004700E2" w:rsidRPr="00104F4B" w:rsidTr="004700E2">
        <w:trPr>
          <w:trHeight w:val="233"/>
          <w:jc w:val="center"/>
        </w:trPr>
        <w:tc>
          <w:tcPr>
            <w:tcW w:w="3907" w:type="dxa"/>
            <w:shd w:val="clear" w:color="auto" w:fill="auto"/>
            <w:noWrap/>
            <w:vAlign w:val="center"/>
            <w:hideMark/>
          </w:tcPr>
          <w:p w:rsidR="004700E2" w:rsidRPr="00104F4B" w:rsidRDefault="004700E2" w:rsidP="004700E2">
            <w:pPr>
              <w:rPr>
                <w:rFonts w:cs="Arial"/>
                <w:color w:val="000000"/>
                <w:sz w:val="16"/>
                <w:szCs w:val="16"/>
              </w:rPr>
            </w:pPr>
            <w:r w:rsidRPr="00104F4B">
              <w:rPr>
                <w:rFonts w:cs="Arial"/>
                <w:color w:val="000000"/>
                <w:sz w:val="16"/>
                <w:szCs w:val="16"/>
              </w:rPr>
              <w:t>Taller de Estilos de Vida Saludable</w:t>
            </w:r>
          </w:p>
        </w:tc>
        <w:tc>
          <w:tcPr>
            <w:tcW w:w="5221" w:type="dxa"/>
            <w:vAlign w:val="center"/>
          </w:tcPr>
          <w:p w:rsidR="004700E2" w:rsidRPr="00104F4B" w:rsidRDefault="004700E2" w:rsidP="004700E2">
            <w:pPr>
              <w:rPr>
                <w:rFonts w:cs="Arial"/>
                <w:color w:val="000000"/>
                <w:sz w:val="16"/>
                <w:szCs w:val="16"/>
              </w:rPr>
            </w:pPr>
            <w:r w:rsidRPr="00104F4B">
              <w:rPr>
                <w:rFonts w:cs="Arial"/>
                <w:color w:val="000000"/>
                <w:sz w:val="16"/>
                <w:szCs w:val="16"/>
              </w:rPr>
              <w:t>Día de la Secretaria</w:t>
            </w:r>
          </w:p>
        </w:tc>
      </w:tr>
      <w:tr w:rsidR="004700E2" w:rsidRPr="00104F4B" w:rsidTr="004700E2">
        <w:trPr>
          <w:trHeight w:val="233"/>
          <w:jc w:val="center"/>
        </w:trPr>
        <w:tc>
          <w:tcPr>
            <w:tcW w:w="3907" w:type="dxa"/>
            <w:shd w:val="clear" w:color="auto" w:fill="auto"/>
            <w:noWrap/>
            <w:vAlign w:val="center"/>
            <w:hideMark/>
          </w:tcPr>
          <w:p w:rsidR="004700E2" w:rsidRPr="00104F4B" w:rsidRDefault="004700E2" w:rsidP="004700E2">
            <w:pPr>
              <w:rPr>
                <w:rFonts w:cs="Arial"/>
                <w:color w:val="000000"/>
                <w:sz w:val="16"/>
                <w:szCs w:val="16"/>
              </w:rPr>
            </w:pPr>
            <w:r w:rsidRPr="00104F4B">
              <w:rPr>
                <w:rFonts w:cs="Arial"/>
                <w:color w:val="000000"/>
                <w:sz w:val="16"/>
                <w:szCs w:val="16"/>
              </w:rPr>
              <w:t>Taller de Cocina Navideña</w:t>
            </w:r>
          </w:p>
        </w:tc>
        <w:tc>
          <w:tcPr>
            <w:tcW w:w="5221" w:type="dxa"/>
            <w:vAlign w:val="center"/>
          </w:tcPr>
          <w:p w:rsidR="004700E2" w:rsidRPr="00104F4B" w:rsidRDefault="004700E2" w:rsidP="004700E2">
            <w:pPr>
              <w:rPr>
                <w:rFonts w:cs="Arial"/>
                <w:color w:val="000000"/>
                <w:sz w:val="16"/>
                <w:szCs w:val="16"/>
              </w:rPr>
            </w:pPr>
            <w:r w:rsidRPr="00104F4B">
              <w:rPr>
                <w:rFonts w:cs="Arial"/>
                <w:color w:val="000000"/>
                <w:sz w:val="16"/>
                <w:szCs w:val="16"/>
              </w:rPr>
              <w:t>Día del Conductor</w:t>
            </w:r>
          </w:p>
        </w:tc>
      </w:tr>
      <w:tr w:rsidR="004700E2" w:rsidRPr="00104F4B" w:rsidTr="004700E2">
        <w:trPr>
          <w:trHeight w:val="233"/>
          <w:jc w:val="center"/>
        </w:trPr>
        <w:tc>
          <w:tcPr>
            <w:tcW w:w="3907" w:type="dxa"/>
            <w:shd w:val="clear" w:color="auto" w:fill="auto"/>
            <w:noWrap/>
            <w:vAlign w:val="center"/>
            <w:hideMark/>
          </w:tcPr>
          <w:p w:rsidR="004700E2" w:rsidRPr="00104F4B" w:rsidRDefault="004700E2" w:rsidP="004700E2">
            <w:pPr>
              <w:rPr>
                <w:rFonts w:cs="Arial"/>
                <w:color w:val="000000"/>
                <w:sz w:val="16"/>
                <w:szCs w:val="16"/>
              </w:rPr>
            </w:pPr>
            <w:r w:rsidRPr="00104F4B">
              <w:rPr>
                <w:rFonts w:cs="Arial"/>
                <w:color w:val="000000"/>
                <w:sz w:val="16"/>
                <w:szCs w:val="16"/>
              </w:rPr>
              <w:t>Conferencia Pautas de Crianza</w:t>
            </w:r>
          </w:p>
        </w:tc>
        <w:tc>
          <w:tcPr>
            <w:tcW w:w="5221" w:type="dxa"/>
            <w:vAlign w:val="center"/>
          </w:tcPr>
          <w:p w:rsidR="004700E2" w:rsidRPr="00104F4B" w:rsidRDefault="004700E2" w:rsidP="004700E2">
            <w:pPr>
              <w:rPr>
                <w:rFonts w:cs="Arial"/>
                <w:color w:val="000000"/>
                <w:sz w:val="16"/>
                <w:szCs w:val="16"/>
              </w:rPr>
            </w:pPr>
            <w:r w:rsidRPr="00104F4B">
              <w:rPr>
                <w:rFonts w:cs="Arial"/>
                <w:color w:val="000000"/>
                <w:sz w:val="16"/>
                <w:szCs w:val="16"/>
              </w:rPr>
              <w:t>Día de No Carro</w:t>
            </w:r>
          </w:p>
        </w:tc>
      </w:tr>
      <w:tr w:rsidR="004700E2" w:rsidRPr="00104F4B" w:rsidTr="004700E2">
        <w:trPr>
          <w:trHeight w:val="233"/>
          <w:jc w:val="center"/>
        </w:trPr>
        <w:tc>
          <w:tcPr>
            <w:tcW w:w="3907" w:type="dxa"/>
            <w:shd w:val="clear" w:color="auto" w:fill="auto"/>
            <w:noWrap/>
            <w:vAlign w:val="center"/>
            <w:hideMark/>
          </w:tcPr>
          <w:p w:rsidR="004700E2" w:rsidRPr="00104F4B" w:rsidRDefault="004700E2" w:rsidP="004700E2">
            <w:pPr>
              <w:rPr>
                <w:rFonts w:cs="Arial"/>
                <w:color w:val="000000"/>
                <w:sz w:val="16"/>
                <w:szCs w:val="16"/>
              </w:rPr>
            </w:pPr>
            <w:r w:rsidRPr="00104F4B">
              <w:rPr>
                <w:rFonts w:cs="Arial"/>
                <w:color w:val="000000"/>
                <w:sz w:val="16"/>
                <w:szCs w:val="16"/>
              </w:rPr>
              <w:t>Feria de Vivienda y Feria Compensar</w:t>
            </w:r>
          </w:p>
        </w:tc>
        <w:tc>
          <w:tcPr>
            <w:tcW w:w="5221" w:type="dxa"/>
            <w:vAlign w:val="center"/>
          </w:tcPr>
          <w:p w:rsidR="004700E2" w:rsidRPr="00104F4B" w:rsidRDefault="004700E2" w:rsidP="004700E2">
            <w:pPr>
              <w:rPr>
                <w:rFonts w:cs="Arial"/>
                <w:color w:val="000000"/>
                <w:sz w:val="16"/>
                <w:szCs w:val="16"/>
              </w:rPr>
            </w:pPr>
            <w:r w:rsidRPr="00104F4B">
              <w:rPr>
                <w:rFonts w:cs="Arial"/>
                <w:color w:val="000000"/>
                <w:sz w:val="16"/>
                <w:szCs w:val="16"/>
              </w:rPr>
              <w:t>Día del Servidor Público</w:t>
            </w:r>
          </w:p>
        </w:tc>
      </w:tr>
      <w:tr w:rsidR="004700E2" w:rsidRPr="00104F4B" w:rsidTr="004700E2">
        <w:trPr>
          <w:trHeight w:val="233"/>
          <w:jc w:val="center"/>
        </w:trPr>
        <w:tc>
          <w:tcPr>
            <w:tcW w:w="3907" w:type="dxa"/>
            <w:shd w:val="clear" w:color="auto" w:fill="auto"/>
            <w:noWrap/>
            <w:vAlign w:val="center"/>
            <w:hideMark/>
          </w:tcPr>
          <w:p w:rsidR="004700E2" w:rsidRPr="00104F4B" w:rsidRDefault="004700E2" w:rsidP="004700E2">
            <w:pPr>
              <w:rPr>
                <w:rFonts w:cs="Arial"/>
                <w:color w:val="000000"/>
                <w:sz w:val="16"/>
                <w:szCs w:val="16"/>
              </w:rPr>
            </w:pPr>
            <w:r w:rsidRPr="00104F4B">
              <w:rPr>
                <w:rFonts w:cs="Arial"/>
                <w:color w:val="000000"/>
                <w:sz w:val="16"/>
                <w:szCs w:val="16"/>
              </w:rPr>
              <w:t>Financiación de la Educación Formal</w:t>
            </w:r>
          </w:p>
        </w:tc>
        <w:tc>
          <w:tcPr>
            <w:tcW w:w="5221" w:type="dxa"/>
            <w:vAlign w:val="center"/>
          </w:tcPr>
          <w:p w:rsidR="004700E2" w:rsidRPr="00104F4B" w:rsidRDefault="004700E2" w:rsidP="004700E2">
            <w:pPr>
              <w:rPr>
                <w:rFonts w:cs="Arial"/>
                <w:color w:val="000000"/>
                <w:sz w:val="16"/>
                <w:szCs w:val="16"/>
              </w:rPr>
            </w:pPr>
            <w:r w:rsidRPr="00104F4B">
              <w:rPr>
                <w:rFonts w:cs="Arial"/>
                <w:color w:val="000000"/>
                <w:sz w:val="16"/>
                <w:szCs w:val="16"/>
              </w:rPr>
              <w:t>Conmemoración Aniversario IDU</w:t>
            </w:r>
          </w:p>
        </w:tc>
      </w:tr>
      <w:tr w:rsidR="004700E2" w:rsidRPr="00104F4B" w:rsidTr="004700E2">
        <w:trPr>
          <w:trHeight w:val="233"/>
          <w:jc w:val="center"/>
        </w:trPr>
        <w:tc>
          <w:tcPr>
            <w:tcW w:w="3907" w:type="dxa"/>
            <w:shd w:val="clear" w:color="auto" w:fill="auto"/>
            <w:noWrap/>
            <w:vAlign w:val="center"/>
            <w:hideMark/>
          </w:tcPr>
          <w:p w:rsidR="004700E2" w:rsidRPr="00104F4B" w:rsidRDefault="004700E2" w:rsidP="004700E2">
            <w:pPr>
              <w:rPr>
                <w:rFonts w:cs="Arial"/>
                <w:color w:val="000000"/>
                <w:sz w:val="16"/>
                <w:szCs w:val="16"/>
              </w:rPr>
            </w:pPr>
            <w:r w:rsidRPr="00104F4B">
              <w:rPr>
                <w:rFonts w:cs="Arial"/>
                <w:color w:val="000000"/>
                <w:sz w:val="16"/>
                <w:szCs w:val="16"/>
              </w:rPr>
              <w:t>Del Campo a tu Casa</w:t>
            </w:r>
          </w:p>
        </w:tc>
        <w:tc>
          <w:tcPr>
            <w:tcW w:w="5221" w:type="dxa"/>
            <w:vAlign w:val="center"/>
          </w:tcPr>
          <w:p w:rsidR="004700E2" w:rsidRPr="00104F4B" w:rsidRDefault="004700E2" w:rsidP="004700E2">
            <w:pPr>
              <w:rPr>
                <w:rFonts w:cs="Arial"/>
                <w:color w:val="000000"/>
                <w:sz w:val="16"/>
                <w:szCs w:val="16"/>
              </w:rPr>
            </w:pPr>
            <w:r w:rsidRPr="00104F4B">
              <w:rPr>
                <w:rFonts w:cs="Arial"/>
                <w:color w:val="000000"/>
                <w:sz w:val="16"/>
                <w:szCs w:val="16"/>
              </w:rPr>
              <w:t>Incentivos (mejores servidores de carrera y mejores equipos de trabajo)</w:t>
            </w:r>
          </w:p>
        </w:tc>
      </w:tr>
    </w:tbl>
    <w:p w:rsidR="004700E2" w:rsidRPr="00104F4B" w:rsidRDefault="004700E2" w:rsidP="004700E2">
      <w:pPr>
        <w:rPr>
          <w:rFonts w:cs="Arial"/>
          <w:sz w:val="16"/>
          <w:szCs w:val="16"/>
        </w:rPr>
      </w:pPr>
      <w:r w:rsidRPr="00104F4B">
        <w:rPr>
          <w:rFonts w:cs="Arial"/>
          <w:sz w:val="16"/>
          <w:szCs w:val="16"/>
        </w:rPr>
        <w:t>STRH - Actividades Sistema de Estímulos 2018</w:t>
      </w:r>
    </w:p>
    <w:p w:rsidR="004700E2" w:rsidRPr="00104F4B" w:rsidRDefault="004700E2" w:rsidP="004700E2">
      <w:pPr>
        <w:ind w:right="-235"/>
        <w:rPr>
          <w:rStyle w:val="Textoennegrita"/>
          <w:rFonts w:cs="Arial"/>
          <w:b w:val="0"/>
          <w:szCs w:val="22"/>
        </w:rPr>
      </w:pPr>
      <w:r w:rsidRPr="00104F4B">
        <w:rPr>
          <w:rFonts w:cs="Arial"/>
          <w:b/>
          <w:szCs w:val="22"/>
        </w:rPr>
        <w:t>Seguridad y Salud en el Trabajo</w:t>
      </w:r>
      <w:r w:rsidRPr="00104F4B">
        <w:rPr>
          <w:rFonts w:cs="Arial"/>
          <w:b/>
        </w:rPr>
        <w:t xml:space="preserve">: </w:t>
      </w:r>
      <w:r w:rsidRPr="00104F4B">
        <w:rPr>
          <w:rStyle w:val="Textoennegrita"/>
          <w:rFonts w:cs="Arial"/>
          <w:b w:val="0"/>
          <w:szCs w:val="22"/>
        </w:rPr>
        <w:t>Entre las actividades ejecutadas durante el año, se pueden enunciar las siguientes:</w:t>
      </w:r>
    </w:p>
    <w:p w:rsidR="004700E2" w:rsidRPr="00104F4B" w:rsidRDefault="004700E2" w:rsidP="004700E2">
      <w:pPr>
        <w:pStyle w:val="Prrafodelista"/>
        <w:ind w:left="0"/>
        <w:jc w:val="center"/>
        <w:rPr>
          <w:rStyle w:val="Textoennegrita"/>
          <w:rFonts w:ascii="Arial" w:hAnsi="Arial" w:cs="Arial"/>
          <w:b w:val="0"/>
          <w:sz w:val="16"/>
          <w:szCs w:val="16"/>
        </w:rPr>
      </w:pPr>
      <w:r w:rsidRPr="00104F4B">
        <w:rPr>
          <w:rStyle w:val="Textoennegrita"/>
          <w:rFonts w:ascii="Arial" w:hAnsi="Arial" w:cs="Arial"/>
          <w:b w:val="0"/>
          <w:sz w:val="16"/>
          <w:szCs w:val="16"/>
        </w:rPr>
        <w:t>STRH – Actividades Seguridad y Salud en el Trabajo 2018</w:t>
      </w:r>
    </w:p>
    <w:tbl>
      <w:tblPr>
        <w:tblW w:w="9423" w:type="dxa"/>
        <w:tblInd w:w="70" w:type="dxa"/>
        <w:tblCellMar>
          <w:left w:w="70" w:type="dxa"/>
          <w:right w:w="70" w:type="dxa"/>
        </w:tblCellMar>
        <w:tblLook w:val="04A0" w:firstRow="1" w:lastRow="0" w:firstColumn="1" w:lastColumn="0" w:noHBand="0" w:noVBand="1"/>
      </w:tblPr>
      <w:tblGrid>
        <w:gridCol w:w="6304"/>
        <w:gridCol w:w="3119"/>
      </w:tblGrid>
      <w:tr w:rsidR="004700E2" w:rsidRPr="00104F4B" w:rsidTr="00E60777">
        <w:trPr>
          <w:trHeight w:val="213"/>
          <w:tblHeader/>
        </w:trPr>
        <w:tc>
          <w:tcPr>
            <w:tcW w:w="6304" w:type="dxa"/>
            <w:tcBorders>
              <w:top w:val="single" w:sz="4" w:space="0" w:color="auto"/>
              <w:left w:val="single" w:sz="4" w:space="0" w:color="auto"/>
              <w:bottom w:val="single" w:sz="4" w:space="0" w:color="auto"/>
              <w:right w:val="single" w:sz="4" w:space="0" w:color="auto"/>
            </w:tcBorders>
            <w:shd w:val="clear" w:color="000000" w:fill="DDEBF7"/>
            <w:noWrap/>
            <w:vAlign w:val="center"/>
            <w:hideMark/>
          </w:tcPr>
          <w:p w:rsidR="004700E2" w:rsidRPr="00104F4B" w:rsidRDefault="004700E2" w:rsidP="004700E2">
            <w:pPr>
              <w:rPr>
                <w:rFonts w:cs="Arial"/>
                <w:b/>
                <w:color w:val="000000"/>
                <w:sz w:val="16"/>
                <w:szCs w:val="16"/>
                <w:lang w:eastAsia="es-CO"/>
              </w:rPr>
            </w:pPr>
            <w:r w:rsidRPr="00104F4B">
              <w:rPr>
                <w:rFonts w:cs="Arial"/>
                <w:b/>
                <w:color w:val="000000"/>
                <w:sz w:val="16"/>
                <w:szCs w:val="16"/>
              </w:rPr>
              <w:t>ACTIVIDADES DE MEDICINA PREVENTIVA Y DEL TRABAJO</w:t>
            </w:r>
          </w:p>
        </w:tc>
        <w:tc>
          <w:tcPr>
            <w:tcW w:w="3119" w:type="dxa"/>
            <w:tcBorders>
              <w:top w:val="single" w:sz="4" w:space="0" w:color="auto"/>
              <w:left w:val="nil"/>
              <w:bottom w:val="single" w:sz="4" w:space="0" w:color="auto"/>
              <w:right w:val="single" w:sz="4" w:space="0" w:color="auto"/>
            </w:tcBorders>
            <w:shd w:val="clear" w:color="000000" w:fill="DDEBF7"/>
            <w:noWrap/>
            <w:vAlign w:val="center"/>
            <w:hideMark/>
          </w:tcPr>
          <w:p w:rsidR="004700E2" w:rsidRPr="00104F4B" w:rsidRDefault="004700E2" w:rsidP="004700E2">
            <w:pPr>
              <w:rPr>
                <w:rFonts w:cs="Arial"/>
                <w:b/>
                <w:color w:val="000000"/>
                <w:sz w:val="16"/>
                <w:szCs w:val="16"/>
              </w:rPr>
            </w:pPr>
            <w:r w:rsidRPr="00104F4B">
              <w:rPr>
                <w:rFonts w:cs="Arial"/>
                <w:b/>
                <w:color w:val="000000"/>
                <w:sz w:val="16"/>
                <w:szCs w:val="16"/>
              </w:rPr>
              <w:t>ACTIVIDADES HIGIENE Y SEGURIDAD INDUSTRIAL</w:t>
            </w:r>
          </w:p>
        </w:tc>
      </w:tr>
      <w:tr w:rsidR="004700E2" w:rsidRPr="00104F4B" w:rsidTr="00E60777">
        <w:trPr>
          <w:trHeight w:val="213"/>
        </w:trPr>
        <w:tc>
          <w:tcPr>
            <w:tcW w:w="6304" w:type="dxa"/>
            <w:tcBorders>
              <w:top w:val="nil"/>
              <w:left w:val="single" w:sz="4" w:space="0" w:color="auto"/>
              <w:bottom w:val="single" w:sz="4" w:space="0" w:color="auto"/>
              <w:right w:val="single" w:sz="4" w:space="0" w:color="auto"/>
            </w:tcBorders>
            <w:shd w:val="clear" w:color="auto" w:fill="auto"/>
            <w:noWrap/>
            <w:vAlign w:val="center"/>
            <w:hideMark/>
          </w:tcPr>
          <w:p w:rsidR="004700E2" w:rsidRPr="00104F4B" w:rsidRDefault="004700E2" w:rsidP="004700E2">
            <w:pPr>
              <w:rPr>
                <w:rFonts w:cs="Arial"/>
                <w:color w:val="000000"/>
                <w:sz w:val="16"/>
                <w:szCs w:val="16"/>
              </w:rPr>
            </w:pPr>
            <w:r w:rsidRPr="00104F4B">
              <w:rPr>
                <w:rFonts w:cs="Arial"/>
                <w:color w:val="000000"/>
                <w:sz w:val="16"/>
                <w:szCs w:val="16"/>
              </w:rPr>
              <w:t>Plan de Capacitación SST</w:t>
            </w:r>
          </w:p>
        </w:tc>
        <w:tc>
          <w:tcPr>
            <w:tcW w:w="3119" w:type="dxa"/>
            <w:tcBorders>
              <w:top w:val="nil"/>
              <w:left w:val="nil"/>
              <w:bottom w:val="single" w:sz="4" w:space="0" w:color="auto"/>
              <w:right w:val="single" w:sz="4" w:space="0" w:color="auto"/>
            </w:tcBorders>
            <w:shd w:val="clear" w:color="auto" w:fill="auto"/>
            <w:noWrap/>
            <w:vAlign w:val="center"/>
            <w:hideMark/>
          </w:tcPr>
          <w:p w:rsidR="004700E2" w:rsidRPr="00104F4B" w:rsidRDefault="004700E2" w:rsidP="004700E2">
            <w:pPr>
              <w:rPr>
                <w:rFonts w:cs="Arial"/>
                <w:color w:val="000000"/>
                <w:sz w:val="16"/>
                <w:szCs w:val="16"/>
              </w:rPr>
            </w:pPr>
            <w:r w:rsidRPr="00104F4B">
              <w:rPr>
                <w:rFonts w:cs="Arial"/>
                <w:color w:val="000000"/>
                <w:sz w:val="16"/>
                <w:szCs w:val="16"/>
              </w:rPr>
              <w:t>Incidentes y Accidentes Laborales</w:t>
            </w:r>
          </w:p>
        </w:tc>
      </w:tr>
      <w:tr w:rsidR="004700E2" w:rsidRPr="00104F4B" w:rsidTr="00E60777">
        <w:trPr>
          <w:trHeight w:val="213"/>
        </w:trPr>
        <w:tc>
          <w:tcPr>
            <w:tcW w:w="6304" w:type="dxa"/>
            <w:tcBorders>
              <w:top w:val="nil"/>
              <w:left w:val="single" w:sz="4" w:space="0" w:color="auto"/>
              <w:bottom w:val="single" w:sz="4" w:space="0" w:color="auto"/>
              <w:right w:val="single" w:sz="4" w:space="0" w:color="auto"/>
            </w:tcBorders>
            <w:shd w:val="clear" w:color="auto" w:fill="auto"/>
            <w:noWrap/>
            <w:vAlign w:val="center"/>
            <w:hideMark/>
          </w:tcPr>
          <w:p w:rsidR="004700E2" w:rsidRPr="00104F4B" w:rsidRDefault="004700E2" w:rsidP="004700E2">
            <w:pPr>
              <w:rPr>
                <w:rFonts w:cs="Arial"/>
                <w:color w:val="000000"/>
                <w:sz w:val="16"/>
                <w:szCs w:val="16"/>
              </w:rPr>
            </w:pPr>
            <w:r w:rsidRPr="00104F4B">
              <w:rPr>
                <w:rFonts w:cs="Arial"/>
                <w:color w:val="000000"/>
                <w:sz w:val="16"/>
                <w:szCs w:val="16"/>
              </w:rPr>
              <w:t>Acompañamiento COPASST</w:t>
            </w:r>
          </w:p>
        </w:tc>
        <w:tc>
          <w:tcPr>
            <w:tcW w:w="3119" w:type="dxa"/>
            <w:tcBorders>
              <w:top w:val="nil"/>
              <w:left w:val="nil"/>
              <w:bottom w:val="single" w:sz="4" w:space="0" w:color="auto"/>
              <w:right w:val="single" w:sz="4" w:space="0" w:color="auto"/>
            </w:tcBorders>
            <w:shd w:val="clear" w:color="auto" w:fill="auto"/>
            <w:noWrap/>
            <w:vAlign w:val="center"/>
            <w:hideMark/>
          </w:tcPr>
          <w:p w:rsidR="004700E2" w:rsidRPr="00104F4B" w:rsidRDefault="004700E2" w:rsidP="004700E2">
            <w:pPr>
              <w:rPr>
                <w:rFonts w:cs="Arial"/>
                <w:color w:val="000000"/>
                <w:sz w:val="16"/>
                <w:szCs w:val="16"/>
              </w:rPr>
            </w:pPr>
            <w:r w:rsidRPr="00104F4B">
              <w:rPr>
                <w:rFonts w:cs="Arial"/>
                <w:color w:val="000000"/>
                <w:sz w:val="16"/>
                <w:szCs w:val="16"/>
              </w:rPr>
              <w:t>Matriz de Identificación de Peligros y Riesgos</w:t>
            </w:r>
          </w:p>
        </w:tc>
      </w:tr>
      <w:tr w:rsidR="004700E2" w:rsidRPr="00104F4B" w:rsidTr="00E60777">
        <w:trPr>
          <w:trHeight w:val="213"/>
        </w:trPr>
        <w:tc>
          <w:tcPr>
            <w:tcW w:w="6304" w:type="dxa"/>
            <w:tcBorders>
              <w:top w:val="nil"/>
              <w:left w:val="single" w:sz="4" w:space="0" w:color="auto"/>
              <w:bottom w:val="single" w:sz="4" w:space="0" w:color="auto"/>
              <w:right w:val="single" w:sz="4" w:space="0" w:color="auto"/>
            </w:tcBorders>
            <w:shd w:val="clear" w:color="auto" w:fill="auto"/>
            <w:noWrap/>
            <w:vAlign w:val="center"/>
            <w:hideMark/>
          </w:tcPr>
          <w:p w:rsidR="004700E2" w:rsidRPr="00104F4B" w:rsidRDefault="004700E2" w:rsidP="004700E2">
            <w:pPr>
              <w:rPr>
                <w:rFonts w:cs="Arial"/>
                <w:color w:val="000000"/>
                <w:sz w:val="16"/>
                <w:szCs w:val="16"/>
              </w:rPr>
            </w:pPr>
            <w:r w:rsidRPr="00104F4B">
              <w:rPr>
                <w:rFonts w:cs="Arial"/>
                <w:color w:val="000000"/>
                <w:sz w:val="16"/>
                <w:szCs w:val="16"/>
              </w:rPr>
              <w:t>Exámenes de Ingreso, Periódicos y de Retiro</w:t>
            </w:r>
          </w:p>
        </w:tc>
        <w:tc>
          <w:tcPr>
            <w:tcW w:w="3119" w:type="dxa"/>
            <w:tcBorders>
              <w:top w:val="nil"/>
              <w:left w:val="nil"/>
              <w:bottom w:val="single" w:sz="4" w:space="0" w:color="auto"/>
              <w:right w:val="single" w:sz="4" w:space="0" w:color="auto"/>
            </w:tcBorders>
            <w:shd w:val="clear" w:color="auto" w:fill="auto"/>
            <w:noWrap/>
            <w:vAlign w:val="center"/>
            <w:hideMark/>
          </w:tcPr>
          <w:p w:rsidR="004700E2" w:rsidRPr="00104F4B" w:rsidRDefault="004700E2" w:rsidP="004700E2">
            <w:pPr>
              <w:rPr>
                <w:rFonts w:cs="Arial"/>
                <w:color w:val="000000"/>
                <w:sz w:val="16"/>
                <w:szCs w:val="16"/>
              </w:rPr>
            </w:pPr>
            <w:r w:rsidRPr="00104F4B">
              <w:rPr>
                <w:rFonts w:cs="Arial"/>
                <w:color w:val="000000"/>
                <w:sz w:val="16"/>
                <w:szCs w:val="16"/>
              </w:rPr>
              <w:t>Plan de Emergencias y Contingencias</w:t>
            </w:r>
          </w:p>
        </w:tc>
      </w:tr>
      <w:tr w:rsidR="004700E2" w:rsidRPr="00104F4B" w:rsidTr="00E60777">
        <w:trPr>
          <w:trHeight w:val="416"/>
        </w:trPr>
        <w:tc>
          <w:tcPr>
            <w:tcW w:w="6304" w:type="dxa"/>
            <w:tcBorders>
              <w:top w:val="nil"/>
              <w:left w:val="single" w:sz="4" w:space="0" w:color="auto"/>
              <w:bottom w:val="single" w:sz="4" w:space="0" w:color="auto"/>
              <w:right w:val="single" w:sz="4" w:space="0" w:color="auto"/>
            </w:tcBorders>
            <w:shd w:val="clear" w:color="auto" w:fill="auto"/>
            <w:vAlign w:val="center"/>
            <w:hideMark/>
          </w:tcPr>
          <w:p w:rsidR="004700E2" w:rsidRPr="00104F4B" w:rsidRDefault="004700E2" w:rsidP="004700E2">
            <w:pPr>
              <w:rPr>
                <w:rFonts w:cs="Arial"/>
                <w:color w:val="000000"/>
                <w:sz w:val="16"/>
                <w:szCs w:val="16"/>
              </w:rPr>
            </w:pPr>
            <w:r w:rsidRPr="00104F4B">
              <w:rPr>
                <w:rFonts w:cs="Arial"/>
                <w:color w:val="000000"/>
                <w:sz w:val="16"/>
                <w:szCs w:val="16"/>
              </w:rPr>
              <w:t>Programas de Vigilancia Epidemiológica</w:t>
            </w:r>
            <w:r w:rsidRPr="00104F4B">
              <w:rPr>
                <w:rFonts w:cs="Arial"/>
                <w:color w:val="000000"/>
                <w:sz w:val="16"/>
                <w:szCs w:val="16"/>
              </w:rPr>
              <w:br/>
              <w:t>(Cardiovascular, Visual, Auditivo, Psicosocial y Biomecánico)</w:t>
            </w:r>
          </w:p>
        </w:tc>
        <w:tc>
          <w:tcPr>
            <w:tcW w:w="3119" w:type="dxa"/>
            <w:tcBorders>
              <w:top w:val="nil"/>
              <w:left w:val="nil"/>
              <w:bottom w:val="single" w:sz="4" w:space="0" w:color="auto"/>
              <w:right w:val="single" w:sz="4" w:space="0" w:color="auto"/>
            </w:tcBorders>
            <w:shd w:val="clear" w:color="auto" w:fill="auto"/>
            <w:noWrap/>
            <w:vAlign w:val="center"/>
            <w:hideMark/>
          </w:tcPr>
          <w:p w:rsidR="004700E2" w:rsidRPr="00104F4B" w:rsidRDefault="004700E2" w:rsidP="004700E2">
            <w:pPr>
              <w:rPr>
                <w:rFonts w:cs="Arial"/>
                <w:color w:val="000000"/>
                <w:sz w:val="16"/>
                <w:szCs w:val="16"/>
              </w:rPr>
            </w:pPr>
            <w:r w:rsidRPr="00104F4B">
              <w:rPr>
                <w:rFonts w:cs="Arial"/>
                <w:color w:val="000000"/>
                <w:sz w:val="16"/>
                <w:szCs w:val="16"/>
              </w:rPr>
              <w:t>Elementos de Protección Personal</w:t>
            </w:r>
          </w:p>
        </w:tc>
      </w:tr>
      <w:tr w:rsidR="004700E2" w:rsidRPr="00104F4B" w:rsidTr="00E60777">
        <w:trPr>
          <w:trHeight w:val="213"/>
        </w:trPr>
        <w:tc>
          <w:tcPr>
            <w:tcW w:w="6304" w:type="dxa"/>
            <w:tcBorders>
              <w:top w:val="nil"/>
              <w:left w:val="single" w:sz="4" w:space="0" w:color="auto"/>
              <w:bottom w:val="single" w:sz="4" w:space="0" w:color="auto"/>
              <w:right w:val="single" w:sz="4" w:space="0" w:color="auto"/>
            </w:tcBorders>
            <w:shd w:val="clear" w:color="auto" w:fill="auto"/>
            <w:noWrap/>
            <w:vAlign w:val="center"/>
            <w:hideMark/>
          </w:tcPr>
          <w:p w:rsidR="004700E2" w:rsidRPr="00104F4B" w:rsidRDefault="004700E2" w:rsidP="004700E2">
            <w:pPr>
              <w:rPr>
                <w:rFonts w:cs="Arial"/>
                <w:color w:val="000000"/>
                <w:sz w:val="16"/>
                <w:szCs w:val="16"/>
              </w:rPr>
            </w:pPr>
            <w:r w:rsidRPr="00104F4B">
              <w:rPr>
                <w:rFonts w:cs="Arial"/>
                <w:color w:val="000000"/>
                <w:sz w:val="16"/>
                <w:szCs w:val="16"/>
              </w:rPr>
              <w:t>Primeros Auxilios y Consultorio Médico</w:t>
            </w:r>
          </w:p>
        </w:tc>
        <w:tc>
          <w:tcPr>
            <w:tcW w:w="3119" w:type="dxa"/>
            <w:tcBorders>
              <w:top w:val="nil"/>
              <w:left w:val="nil"/>
              <w:bottom w:val="single" w:sz="4" w:space="0" w:color="auto"/>
              <w:right w:val="single" w:sz="4" w:space="0" w:color="auto"/>
            </w:tcBorders>
            <w:shd w:val="clear" w:color="auto" w:fill="auto"/>
            <w:noWrap/>
            <w:vAlign w:val="center"/>
            <w:hideMark/>
          </w:tcPr>
          <w:p w:rsidR="004700E2" w:rsidRPr="00104F4B" w:rsidRDefault="004700E2" w:rsidP="004700E2">
            <w:pPr>
              <w:rPr>
                <w:rFonts w:cs="Arial"/>
                <w:color w:val="000000"/>
                <w:sz w:val="16"/>
                <w:szCs w:val="16"/>
              </w:rPr>
            </w:pPr>
            <w:r w:rsidRPr="00104F4B">
              <w:rPr>
                <w:rFonts w:cs="Arial"/>
                <w:color w:val="000000"/>
                <w:sz w:val="16"/>
                <w:szCs w:val="16"/>
              </w:rPr>
              <w:t>Acompañamiento Plan de Seguridad Vial</w:t>
            </w:r>
          </w:p>
        </w:tc>
      </w:tr>
      <w:tr w:rsidR="004700E2" w:rsidRPr="00104F4B" w:rsidTr="00E60777">
        <w:trPr>
          <w:trHeight w:val="213"/>
        </w:trPr>
        <w:tc>
          <w:tcPr>
            <w:tcW w:w="6304" w:type="dxa"/>
            <w:tcBorders>
              <w:top w:val="nil"/>
              <w:left w:val="single" w:sz="4" w:space="0" w:color="auto"/>
              <w:bottom w:val="single" w:sz="4" w:space="0" w:color="auto"/>
              <w:right w:val="single" w:sz="4" w:space="0" w:color="auto"/>
            </w:tcBorders>
            <w:shd w:val="clear" w:color="auto" w:fill="auto"/>
            <w:noWrap/>
            <w:vAlign w:val="center"/>
            <w:hideMark/>
          </w:tcPr>
          <w:p w:rsidR="004700E2" w:rsidRPr="00104F4B" w:rsidRDefault="004700E2" w:rsidP="004700E2">
            <w:pPr>
              <w:rPr>
                <w:rFonts w:cs="Arial"/>
                <w:color w:val="000000"/>
                <w:sz w:val="16"/>
                <w:szCs w:val="16"/>
              </w:rPr>
            </w:pPr>
            <w:r w:rsidRPr="00104F4B">
              <w:rPr>
                <w:rFonts w:cs="Arial"/>
                <w:color w:val="000000"/>
                <w:sz w:val="16"/>
                <w:szCs w:val="16"/>
              </w:rPr>
              <w:t>Sala Amiga</w:t>
            </w:r>
          </w:p>
        </w:tc>
        <w:tc>
          <w:tcPr>
            <w:tcW w:w="3119" w:type="dxa"/>
            <w:tcBorders>
              <w:top w:val="nil"/>
              <w:left w:val="nil"/>
              <w:bottom w:val="single" w:sz="4" w:space="0" w:color="auto"/>
              <w:right w:val="single" w:sz="4" w:space="0" w:color="auto"/>
            </w:tcBorders>
            <w:shd w:val="clear" w:color="auto" w:fill="auto"/>
            <w:noWrap/>
            <w:vAlign w:val="center"/>
            <w:hideMark/>
          </w:tcPr>
          <w:p w:rsidR="004700E2" w:rsidRPr="00104F4B" w:rsidRDefault="004700E2" w:rsidP="004700E2">
            <w:pPr>
              <w:rPr>
                <w:rFonts w:cs="Arial"/>
                <w:color w:val="000000"/>
                <w:sz w:val="16"/>
                <w:szCs w:val="16"/>
              </w:rPr>
            </w:pPr>
            <w:r w:rsidRPr="00104F4B">
              <w:rPr>
                <w:rFonts w:cs="Arial"/>
                <w:color w:val="000000"/>
                <w:sz w:val="16"/>
                <w:szCs w:val="16"/>
              </w:rPr>
              <w:t>Orden y Aseo</w:t>
            </w:r>
          </w:p>
        </w:tc>
      </w:tr>
      <w:tr w:rsidR="004700E2" w:rsidRPr="00104F4B" w:rsidTr="00E60777">
        <w:trPr>
          <w:trHeight w:val="213"/>
        </w:trPr>
        <w:tc>
          <w:tcPr>
            <w:tcW w:w="6304" w:type="dxa"/>
            <w:tcBorders>
              <w:top w:val="nil"/>
              <w:left w:val="single" w:sz="4" w:space="0" w:color="auto"/>
              <w:bottom w:val="single" w:sz="4" w:space="0" w:color="auto"/>
              <w:right w:val="single" w:sz="4" w:space="0" w:color="auto"/>
            </w:tcBorders>
            <w:shd w:val="clear" w:color="auto" w:fill="auto"/>
            <w:noWrap/>
            <w:vAlign w:val="center"/>
            <w:hideMark/>
          </w:tcPr>
          <w:p w:rsidR="004700E2" w:rsidRPr="00104F4B" w:rsidRDefault="004700E2" w:rsidP="004700E2">
            <w:pPr>
              <w:rPr>
                <w:rFonts w:cs="Arial"/>
                <w:color w:val="000000"/>
                <w:sz w:val="16"/>
                <w:szCs w:val="16"/>
              </w:rPr>
            </w:pPr>
            <w:r w:rsidRPr="00104F4B">
              <w:rPr>
                <w:rFonts w:cs="Arial"/>
                <w:color w:val="000000"/>
                <w:sz w:val="16"/>
                <w:szCs w:val="16"/>
              </w:rPr>
              <w:lastRenderedPageBreak/>
              <w:t>Enfermedad Laboral</w:t>
            </w:r>
          </w:p>
        </w:tc>
        <w:tc>
          <w:tcPr>
            <w:tcW w:w="3119" w:type="dxa"/>
            <w:tcBorders>
              <w:top w:val="nil"/>
              <w:left w:val="nil"/>
              <w:bottom w:val="single" w:sz="4" w:space="0" w:color="auto"/>
              <w:right w:val="single" w:sz="4" w:space="0" w:color="auto"/>
            </w:tcBorders>
            <w:shd w:val="clear" w:color="auto" w:fill="auto"/>
            <w:noWrap/>
            <w:vAlign w:val="center"/>
            <w:hideMark/>
          </w:tcPr>
          <w:p w:rsidR="004700E2" w:rsidRPr="00104F4B" w:rsidRDefault="004700E2" w:rsidP="004700E2">
            <w:pPr>
              <w:rPr>
                <w:rFonts w:cs="Arial"/>
                <w:color w:val="000000"/>
                <w:sz w:val="16"/>
                <w:szCs w:val="16"/>
              </w:rPr>
            </w:pPr>
            <w:r w:rsidRPr="00104F4B">
              <w:rPr>
                <w:rFonts w:cs="Arial"/>
                <w:color w:val="000000"/>
                <w:sz w:val="16"/>
                <w:szCs w:val="16"/>
              </w:rPr>
              <w:t>Semana de la Salud</w:t>
            </w:r>
          </w:p>
        </w:tc>
      </w:tr>
    </w:tbl>
    <w:p w:rsidR="004700E2" w:rsidRPr="00104F4B" w:rsidRDefault="004700E2" w:rsidP="004700E2">
      <w:pPr>
        <w:pStyle w:val="Prrafodelista"/>
        <w:ind w:left="0"/>
        <w:rPr>
          <w:rFonts w:ascii="Arial" w:hAnsi="Arial" w:cs="Arial"/>
          <w:b/>
        </w:rPr>
      </w:pPr>
      <w:r w:rsidRPr="00104F4B">
        <w:rPr>
          <w:rFonts w:ascii="Arial" w:hAnsi="Arial" w:cs="Arial"/>
          <w:b/>
        </w:rPr>
        <w:t xml:space="preserve">Gestión de Tesorería y Recaudo </w:t>
      </w:r>
    </w:p>
    <w:p w:rsidR="004700E2" w:rsidRPr="00104F4B" w:rsidRDefault="004700E2" w:rsidP="004700E2">
      <w:pPr>
        <w:rPr>
          <w:rFonts w:cs="Arial"/>
          <w:szCs w:val="22"/>
        </w:rPr>
      </w:pPr>
      <w:r w:rsidRPr="00104F4B">
        <w:rPr>
          <w:rFonts w:cs="Arial"/>
          <w:b/>
          <w:szCs w:val="22"/>
        </w:rPr>
        <w:t>Recaudo de la contribución de valorización</w:t>
      </w:r>
      <w:r w:rsidRPr="00104F4B">
        <w:rPr>
          <w:rFonts w:cs="Arial"/>
          <w:b/>
        </w:rPr>
        <w:t xml:space="preserve">: </w:t>
      </w:r>
      <w:r w:rsidRPr="00104F4B">
        <w:rPr>
          <w:rFonts w:cs="Arial"/>
          <w:szCs w:val="22"/>
        </w:rPr>
        <w:t>Durante los meses enero a diciembre de 2018 se recaudó por Acuerdo 180 de 2005: $2.232.85 millones, por Acuerdos Anteriores: $542.57 millones, Acuerdo 523 de 2013: $8.300.06 millones y por Acuerdo 724 de 2018: $61.14 millones, para un total recaudado en la vigencia 2018 de $11.136.62 millones.</w:t>
      </w:r>
    </w:p>
    <w:p w:rsidR="004700E2" w:rsidRPr="00104F4B" w:rsidRDefault="004700E2" w:rsidP="004700E2">
      <w:pPr>
        <w:rPr>
          <w:rFonts w:cs="Arial"/>
          <w:szCs w:val="22"/>
        </w:rPr>
      </w:pPr>
      <w:r w:rsidRPr="00104F4B">
        <w:rPr>
          <w:rFonts w:cs="Arial"/>
          <w:b/>
          <w:szCs w:val="22"/>
        </w:rPr>
        <w:t>Trámite y giro de las órdenes de pago</w:t>
      </w:r>
      <w:r w:rsidRPr="00104F4B">
        <w:rPr>
          <w:rFonts w:cs="Arial"/>
          <w:b/>
        </w:rPr>
        <w:t xml:space="preserve">: </w:t>
      </w:r>
      <w:r w:rsidRPr="00104F4B">
        <w:rPr>
          <w:rFonts w:cs="Arial"/>
          <w:szCs w:val="22"/>
        </w:rPr>
        <w:t>El Instituto giró un total de 3.647 órdenes de pago, en un tiempo promedio de 8.6 días hábiles durante todas sus etapas. La Subdirección Técnica de Tesorería y Recaudo tramitó las órdenes de pago en un tiempo promedio de 3.2 días.</w:t>
      </w:r>
    </w:p>
    <w:p w:rsidR="004700E2" w:rsidRPr="00104F4B" w:rsidRDefault="004700E2" w:rsidP="004700E2">
      <w:pPr>
        <w:rPr>
          <w:rFonts w:cs="Arial"/>
          <w:color w:val="000000"/>
          <w:kern w:val="24"/>
          <w:szCs w:val="22"/>
          <w:lang w:eastAsia="es-CO"/>
        </w:rPr>
      </w:pPr>
      <w:r w:rsidRPr="00104F4B">
        <w:rPr>
          <w:rFonts w:cs="Arial"/>
          <w:b/>
          <w:szCs w:val="22"/>
        </w:rPr>
        <w:t>Portafolio de inversiones financieras</w:t>
      </w:r>
      <w:r w:rsidRPr="00104F4B">
        <w:rPr>
          <w:rFonts w:cs="Arial"/>
          <w:b/>
        </w:rPr>
        <w:t xml:space="preserve">: </w:t>
      </w:r>
      <w:r w:rsidRPr="00104F4B">
        <w:rPr>
          <w:rFonts w:cs="Arial"/>
          <w:color w:val="000000"/>
          <w:kern w:val="24"/>
          <w:szCs w:val="22"/>
          <w:lang w:eastAsia="es-CO"/>
        </w:rPr>
        <w:t xml:space="preserve">El Instituto realiza los pagos de sus obligaciones a través de dos fuentes de recursos, los transferidos por la Secretaria Distrital de Hacienda y los administrados. Entre los recursos administrados se encuentra: valorización, convenios, cargas urbanísticas, parqueaderos y recursos propios. </w:t>
      </w:r>
    </w:p>
    <w:p w:rsidR="004700E2" w:rsidRPr="00104F4B" w:rsidRDefault="004700E2" w:rsidP="004700E2">
      <w:pPr>
        <w:pStyle w:val="Prrafodelista"/>
        <w:ind w:left="0"/>
        <w:rPr>
          <w:rFonts w:ascii="Arial" w:hAnsi="Arial" w:cs="Arial"/>
          <w:color w:val="000000"/>
          <w:kern w:val="24"/>
        </w:rPr>
      </w:pPr>
      <w:r w:rsidRPr="00104F4B">
        <w:rPr>
          <w:rFonts w:ascii="Arial" w:hAnsi="Arial" w:cs="Arial"/>
          <w:color w:val="000000"/>
          <w:kern w:val="24"/>
        </w:rPr>
        <w:t xml:space="preserve">A 31 de diciembre, los recursos administrados son principal fuente de los recursos que conformaban el portafolio del Instituto y la composición era la siguiente: Depósitos a la Vista correspondiente a saldos de cuentas corrientes por $798 millones, equivalentes al 0.10%; cuentas de ahorros por $49.432 millones que representan el 6.40%; Inversiones temporales (CDT´s) por $722.629 millones es decir el 93.50%. </w:t>
      </w:r>
    </w:p>
    <w:p w:rsidR="004700E2" w:rsidRPr="00104F4B" w:rsidRDefault="004700E2" w:rsidP="004700E2">
      <w:pPr>
        <w:rPr>
          <w:rFonts w:cs="Arial"/>
          <w:szCs w:val="22"/>
        </w:rPr>
      </w:pPr>
      <w:r w:rsidRPr="00104F4B">
        <w:rPr>
          <w:rFonts w:cs="Arial"/>
          <w:b/>
          <w:szCs w:val="22"/>
        </w:rPr>
        <w:t>Rentabilidad portafolio de inversiones financieras</w:t>
      </w:r>
      <w:r w:rsidRPr="00104F4B">
        <w:rPr>
          <w:rFonts w:cs="Arial"/>
          <w:b/>
        </w:rPr>
        <w:t xml:space="preserve">: </w:t>
      </w:r>
      <w:r w:rsidRPr="00104F4B">
        <w:rPr>
          <w:rFonts w:cs="Arial"/>
          <w:szCs w:val="22"/>
        </w:rPr>
        <w:t xml:space="preserve">En la siguiente grafica se puede observar la comparación y evolución de la rentabilidad promedio ponderada del portafolio (diciembre 2017–diciembre 2018), comparada con la tasa de referencia del mercado DTF. </w:t>
      </w:r>
    </w:p>
    <w:p w:rsidR="004700E2" w:rsidRPr="005C3D90" w:rsidRDefault="004700E2" w:rsidP="004700E2">
      <w:pPr>
        <w:jc w:val="center"/>
        <w:rPr>
          <w:rFonts w:cs="Arial"/>
          <w:sz w:val="16"/>
          <w:szCs w:val="16"/>
        </w:rPr>
      </w:pPr>
      <w:r w:rsidRPr="005C3D90">
        <w:rPr>
          <w:rFonts w:cs="Arial"/>
          <w:sz w:val="16"/>
          <w:szCs w:val="16"/>
        </w:rPr>
        <w:t>STTR - Rentabilidad del portafolio durante la vigencia 2018</w:t>
      </w:r>
    </w:p>
    <w:p w:rsidR="004700E2" w:rsidRPr="00104F4B" w:rsidRDefault="004700E2" w:rsidP="004700E2">
      <w:pPr>
        <w:jc w:val="center"/>
        <w:rPr>
          <w:rFonts w:cs="Arial"/>
          <w:szCs w:val="22"/>
        </w:rPr>
      </w:pPr>
      <w:r w:rsidRPr="00104F4B">
        <w:rPr>
          <w:rFonts w:cs="Arial"/>
          <w:noProof/>
          <w:szCs w:val="22"/>
          <w:lang w:val="es-CO" w:eastAsia="es-CO"/>
        </w:rPr>
        <w:drawing>
          <wp:inline distT="0" distB="0" distL="0" distR="0" wp14:anchorId="279A1D0C" wp14:editId="5E592CB9">
            <wp:extent cx="5591633" cy="2703444"/>
            <wp:effectExtent l="0" t="0" r="0" b="0"/>
            <wp:docPr id="3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pic:cNvPicPr>
                  </pic:nvPicPr>
                  <pic:blipFill>
                    <a:blip r:embed="rId60"/>
                    <a:stretch>
                      <a:fillRect/>
                    </a:stretch>
                  </pic:blipFill>
                  <pic:spPr>
                    <a:xfrm>
                      <a:off x="0" y="0"/>
                      <a:ext cx="5601057" cy="2708000"/>
                    </a:xfrm>
                    <a:prstGeom prst="rect">
                      <a:avLst/>
                    </a:prstGeom>
                  </pic:spPr>
                </pic:pic>
              </a:graphicData>
            </a:graphic>
          </wp:inline>
        </w:drawing>
      </w:r>
    </w:p>
    <w:p w:rsidR="004700E2" w:rsidRPr="00104F4B" w:rsidRDefault="004700E2" w:rsidP="004700E2">
      <w:pPr>
        <w:rPr>
          <w:rFonts w:cs="Arial"/>
          <w:szCs w:val="22"/>
        </w:rPr>
      </w:pPr>
      <w:r w:rsidRPr="00104F4B">
        <w:rPr>
          <w:rFonts w:cs="Arial"/>
          <w:szCs w:val="22"/>
        </w:rPr>
        <w:t>En la gráfica se evidencia que la rentabilidad del portafolio ha sido superior a la tasa de referencia del mercado DTF, generando mayores rendimientos financieros.</w:t>
      </w:r>
    </w:p>
    <w:p w:rsidR="004700E2" w:rsidRPr="00104F4B" w:rsidRDefault="004700E2" w:rsidP="004700E2">
      <w:pPr>
        <w:rPr>
          <w:rFonts w:cs="Arial"/>
          <w:szCs w:val="22"/>
        </w:rPr>
      </w:pPr>
      <w:r w:rsidRPr="00104F4B">
        <w:rPr>
          <w:rFonts w:cs="Arial"/>
          <w:b/>
          <w:szCs w:val="22"/>
        </w:rPr>
        <w:lastRenderedPageBreak/>
        <w:t>Gestión y administración del Programa A</w:t>
      </w:r>
      <w:r w:rsidRPr="00104F4B">
        <w:rPr>
          <w:rFonts w:cs="Arial"/>
          <w:b/>
        </w:rPr>
        <w:t xml:space="preserve">nual Mensualizado de Caja – PAC: </w:t>
      </w:r>
      <w:r w:rsidRPr="00104F4B">
        <w:rPr>
          <w:rFonts w:cs="Arial"/>
          <w:szCs w:val="22"/>
        </w:rPr>
        <w:t>La Subdirección Técnica de Tesorería y Recaudo consolidada las necesidades de caja programadas por todas las áreas del Instituto, el promedio de ejecución del PAC del Instituto durante la vigencia 2018 sobre la programación inicial y la reprogramación mensual, fue del 52% y 97%, respectivamente.</w:t>
      </w:r>
    </w:p>
    <w:p w:rsidR="004700E2" w:rsidRPr="00104F4B" w:rsidRDefault="004700E2" w:rsidP="004700E2">
      <w:pPr>
        <w:rPr>
          <w:rFonts w:cs="Arial"/>
          <w:szCs w:val="22"/>
        </w:rPr>
      </w:pPr>
      <w:r w:rsidRPr="00104F4B">
        <w:rPr>
          <w:rFonts w:cs="Arial"/>
          <w:b/>
          <w:szCs w:val="22"/>
        </w:rPr>
        <w:t>Contratación custodio de valores</w:t>
      </w:r>
      <w:r w:rsidRPr="00104F4B">
        <w:rPr>
          <w:rFonts w:cs="Arial"/>
          <w:b/>
        </w:rPr>
        <w:t xml:space="preserve">: </w:t>
      </w:r>
      <w:r w:rsidRPr="00104F4B">
        <w:rPr>
          <w:rFonts w:cs="Arial"/>
          <w:szCs w:val="22"/>
        </w:rPr>
        <w:t>El Instituto actualmente cuenta con un portafolio de inversiones en CDTs, la totalidad de los títulos son desmaterializados, lo anterior de acuerdo con las políticas de riesgo emitidas por la Secretaria Distrital de Hacienda y la mitigación del riesgo que implica mantener los títulos a través del Depósito Central de Valores “DECEVAL”</w:t>
      </w:r>
    </w:p>
    <w:p w:rsidR="004700E2" w:rsidRPr="00104F4B" w:rsidRDefault="004700E2" w:rsidP="004700E2">
      <w:pPr>
        <w:shd w:val="clear" w:color="auto" w:fill="FFFFFF"/>
        <w:rPr>
          <w:rFonts w:cs="Arial"/>
          <w:szCs w:val="22"/>
        </w:rPr>
      </w:pPr>
      <w:r w:rsidRPr="00104F4B">
        <w:rPr>
          <w:rFonts w:cs="Arial"/>
          <w:szCs w:val="22"/>
        </w:rPr>
        <w:t>El Instituto no contaba con un depositante directo ante el Deposito Central de Valores, sino que administraba los títulos a través de una subcuenta a través del Banco ITAU. El Banco ITAU manifestó la imposibilidad de continuar ofreciendo el servicio; Por lo anterior, para realizar la administración del portafolio, el IDU adelantó un proceso de contratación mediante la modalidad de Selección Abreviada de Menor Cuantía, consecuencia del cual se suscribió el contrato 1468 de 2018 con la Fiduciaria Itau Securities Services.</w:t>
      </w:r>
    </w:p>
    <w:p w:rsidR="004700E2" w:rsidRPr="00104F4B" w:rsidRDefault="004700E2" w:rsidP="004700E2">
      <w:pPr>
        <w:pStyle w:val="Prrafodelista"/>
        <w:ind w:left="0"/>
        <w:rPr>
          <w:rFonts w:ascii="Arial" w:hAnsi="Arial" w:cs="Arial"/>
          <w:b/>
        </w:rPr>
      </w:pPr>
      <w:r w:rsidRPr="00104F4B">
        <w:rPr>
          <w:rFonts w:ascii="Arial" w:hAnsi="Arial" w:cs="Arial"/>
          <w:b/>
        </w:rPr>
        <w:t>Gestión de Presupuesto y Contabilidad</w:t>
      </w:r>
    </w:p>
    <w:p w:rsidR="004700E2" w:rsidRPr="00104F4B" w:rsidRDefault="004700E2" w:rsidP="004700E2">
      <w:pPr>
        <w:rPr>
          <w:rFonts w:cs="Arial"/>
          <w:b/>
          <w:szCs w:val="22"/>
        </w:rPr>
      </w:pPr>
      <w:r w:rsidRPr="00104F4B">
        <w:rPr>
          <w:rFonts w:cs="Arial"/>
          <w:b/>
          <w:szCs w:val="22"/>
        </w:rPr>
        <w:t>Gestión del presupuesto</w:t>
      </w:r>
    </w:p>
    <w:p w:rsidR="004700E2" w:rsidRPr="00104F4B" w:rsidRDefault="004700E2" w:rsidP="004700E2">
      <w:pPr>
        <w:rPr>
          <w:rFonts w:cs="Arial"/>
          <w:szCs w:val="22"/>
        </w:rPr>
      </w:pPr>
      <w:r w:rsidRPr="00104F4B">
        <w:rPr>
          <w:rFonts w:cs="Arial"/>
          <w:szCs w:val="22"/>
        </w:rPr>
        <w:t xml:space="preserve">A 31 de diciembre de 2018, se expidieron 5522 certificados de disponibilidad presupuestal y 5402 certificados de registro presupuestal. Se tramitaron, además, ante la Dirección Distrital de Presupuesto, 22 modificaciones presupuestales según las necesidades de las diferentes áreas. </w:t>
      </w:r>
    </w:p>
    <w:p w:rsidR="004700E2" w:rsidRPr="00104F4B" w:rsidRDefault="004700E2" w:rsidP="004700E2">
      <w:pPr>
        <w:contextualSpacing/>
        <w:rPr>
          <w:rFonts w:cs="Arial"/>
          <w:b/>
          <w:szCs w:val="22"/>
          <w:lang w:eastAsia="es-CO"/>
        </w:rPr>
      </w:pPr>
    </w:p>
    <w:p w:rsidR="004700E2" w:rsidRPr="00104F4B" w:rsidRDefault="004700E2" w:rsidP="00582748">
      <w:pPr>
        <w:pStyle w:val="Prrafodelista"/>
        <w:numPr>
          <w:ilvl w:val="0"/>
          <w:numId w:val="71"/>
        </w:numPr>
        <w:spacing w:before="0"/>
        <w:ind w:left="426" w:hanging="426"/>
        <w:contextualSpacing/>
        <w:rPr>
          <w:rFonts w:ascii="Arial" w:hAnsi="Arial" w:cs="Arial"/>
          <w:b/>
        </w:rPr>
      </w:pPr>
      <w:r w:rsidRPr="00104F4B">
        <w:rPr>
          <w:rFonts w:ascii="Arial" w:hAnsi="Arial" w:cs="Arial"/>
          <w:b/>
        </w:rPr>
        <w:t>Ingresos</w:t>
      </w:r>
    </w:p>
    <w:p w:rsidR="004700E2" w:rsidRPr="00104F4B" w:rsidRDefault="004700E2" w:rsidP="004700E2">
      <w:pPr>
        <w:rPr>
          <w:rFonts w:cs="Arial"/>
          <w:szCs w:val="22"/>
        </w:rPr>
      </w:pPr>
      <w:r w:rsidRPr="00104F4B">
        <w:rPr>
          <w:rFonts w:cs="Arial"/>
          <w:szCs w:val="22"/>
        </w:rPr>
        <w:t>A continuación, se presentan las cifras globales de la ejecución presupuestal de ingresos con corte a 31 de diciembre de 2018:</w:t>
      </w:r>
    </w:p>
    <w:p w:rsidR="004700E2" w:rsidRPr="00104F4B" w:rsidRDefault="004700E2" w:rsidP="004700E2">
      <w:pPr>
        <w:jc w:val="center"/>
        <w:rPr>
          <w:rFonts w:cs="Arial"/>
          <w:szCs w:val="22"/>
        </w:rPr>
      </w:pPr>
      <w:r w:rsidRPr="00104F4B">
        <w:rPr>
          <w:rFonts w:cs="Arial"/>
          <w:szCs w:val="22"/>
        </w:rPr>
        <w:t>STPC – Ingresos 2018</w:t>
      </w:r>
    </w:p>
    <w:p w:rsidR="004700E2" w:rsidRPr="00104F4B" w:rsidRDefault="004700E2" w:rsidP="004700E2">
      <w:pPr>
        <w:ind w:right="1418"/>
        <w:contextualSpacing/>
        <w:jc w:val="left"/>
        <w:rPr>
          <w:rFonts w:cs="Arial"/>
          <w:szCs w:val="22"/>
          <w:lang w:eastAsia="es-CO"/>
        </w:rPr>
      </w:pPr>
      <w:r w:rsidRPr="00104F4B">
        <w:rPr>
          <w:rFonts w:cs="Arial"/>
          <w:noProof/>
          <w:szCs w:val="22"/>
          <w:lang w:val="es-CO" w:eastAsia="es-CO"/>
        </w:rPr>
        <w:drawing>
          <wp:inline distT="0" distB="0" distL="0" distR="0" wp14:anchorId="1E15AD78" wp14:editId="40AC9C86">
            <wp:extent cx="5244415" cy="1158244"/>
            <wp:effectExtent l="0" t="0" r="0" b="381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1">
                      <a:extLst>
                        <a:ext uri="{28A0092B-C50C-407E-A947-70E740481C1C}">
                          <a14:useLocalDpi xmlns:a14="http://schemas.microsoft.com/office/drawing/2010/main" val="0"/>
                        </a:ext>
                      </a:extLst>
                    </a:blip>
                    <a:srcRect b="10584"/>
                    <a:stretch/>
                  </pic:blipFill>
                  <pic:spPr bwMode="auto">
                    <a:xfrm>
                      <a:off x="0" y="0"/>
                      <a:ext cx="5627050" cy="1242750"/>
                    </a:xfrm>
                    <a:prstGeom prst="rect">
                      <a:avLst/>
                    </a:prstGeom>
                    <a:noFill/>
                    <a:ln>
                      <a:noFill/>
                    </a:ln>
                    <a:extLst>
                      <a:ext uri="{53640926-AAD7-44D8-BBD7-CCE9431645EC}">
                        <a14:shadowObscured xmlns:a14="http://schemas.microsoft.com/office/drawing/2010/main"/>
                      </a:ext>
                    </a:extLst>
                  </pic:spPr>
                </pic:pic>
              </a:graphicData>
            </a:graphic>
          </wp:inline>
        </w:drawing>
      </w:r>
    </w:p>
    <w:p w:rsidR="004700E2" w:rsidRPr="007C5EDF" w:rsidRDefault="004700E2" w:rsidP="004700E2">
      <w:pPr>
        <w:contextualSpacing/>
        <w:jc w:val="center"/>
        <w:rPr>
          <w:rFonts w:cs="Arial"/>
          <w:sz w:val="16"/>
          <w:szCs w:val="16"/>
          <w:lang w:eastAsia="es-CO"/>
        </w:rPr>
      </w:pPr>
      <w:r w:rsidRPr="007C5EDF">
        <w:rPr>
          <w:rFonts w:cs="Arial"/>
          <w:sz w:val="16"/>
          <w:szCs w:val="16"/>
          <w:lang w:eastAsia="es-CO"/>
        </w:rPr>
        <w:t>Fuente: Ejecución de ingresos y Gastos STONE – diciembre 31 de 2018. Cifras en Millones de Pesos</w:t>
      </w:r>
    </w:p>
    <w:p w:rsidR="004700E2" w:rsidRPr="00104F4B" w:rsidRDefault="004700E2" w:rsidP="00582748">
      <w:pPr>
        <w:pStyle w:val="Prrafodelista"/>
        <w:numPr>
          <w:ilvl w:val="0"/>
          <w:numId w:val="71"/>
        </w:numPr>
        <w:spacing w:before="0"/>
        <w:ind w:left="426" w:hanging="426"/>
        <w:contextualSpacing/>
        <w:rPr>
          <w:rFonts w:ascii="Arial" w:hAnsi="Arial" w:cs="Arial"/>
          <w:b/>
        </w:rPr>
      </w:pPr>
      <w:r w:rsidRPr="00104F4B">
        <w:rPr>
          <w:rFonts w:ascii="Arial" w:hAnsi="Arial" w:cs="Arial"/>
          <w:b/>
        </w:rPr>
        <w:t xml:space="preserve">Gastos </w:t>
      </w:r>
    </w:p>
    <w:p w:rsidR="004700E2" w:rsidRPr="00104F4B" w:rsidRDefault="004700E2" w:rsidP="004700E2">
      <w:pPr>
        <w:rPr>
          <w:rFonts w:cs="Arial"/>
          <w:szCs w:val="22"/>
        </w:rPr>
      </w:pPr>
      <w:r w:rsidRPr="00104F4B">
        <w:rPr>
          <w:rFonts w:cs="Arial"/>
          <w:szCs w:val="22"/>
        </w:rPr>
        <w:t>A continuación, se presentan las cifras globales de la ejecución presupuestal de gastos del Instituto, con corte a 31 de diciembre de 2018.</w:t>
      </w:r>
    </w:p>
    <w:p w:rsidR="004700E2" w:rsidRPr="00104F4B" w:rsidRDefault="004700E2" w:rsidP="004700E2">
      <w:pPr>
        <w:rPr>
          <w:rFonts w:cs="Arial"/>
          <w:b/>
          <w:szCs w:val="22"/>
          <w:lang w:eastAsia="es-CO"/>
        </w:rPr>
      </w:pPr>
      <w:r w:rsidRPr="00104F4B">
        <w:rPr>
          <w:rFonts w:cs="Arial"/>
          <w:b/>
          <w:szCs w:val="22"/>
          <w:lang w:eastAsia="es-CO"/>
        </w:rPr>
        <w:t>Funcionamiento</w:t>
      </w:r>
    </w:p>
    <w:p w:rsidR="004700E2" w:rsidRPr="00104F4B" w:rsidRDefault="004700E2" w:rsidP="004700E2">
      <w:pPr>
        <w:jc w:val="center"/>
        <w:rPr>
          <w:rFonts w:cs="Arial"/>
          <w:sz w:val="16"/>
          <w:szCs w:val="16"/>
          <w:lang w:eastAsia="es-CO"/>
        </w:rPr>
      </w:pPr>
      <w:r w:rsidRPr="00104F4B">
        <w:rPr>
          <w:rFonts w:cs="Arial"/>
          <w:sz w:val="16"/>
          <w:szCs w:val="16"/>
          <w:lang w:eastAsia="es-CO"/>
        </w:rPr>
        <w:t>STPC – Ejecución gastos de funcionamiento 2018</w:t>
      </w:r>
    </w:p>
    <w:tbl>
      <w:tblPr>
        <w:tblW w:w="9309" w:type="dxa"/>
        <w:jc w:val="center"/>
        <w:tblCellMar>
          <w:left w:w="70" w:type="dxa"/>
          <w:right w:w="70" w:type="dxa"/>
        </w:tblCellMar>
        <w:tblLook w:val="04A0" w:firstRow="1" w:lastRow="0" w:firstColumn="1" w:lastColumn="0" w:noHBand="0" w:noVBand="1"/>
      </w:tblPr>
      <w:tblGrid>
        <w:gridCol w:w="2830"/>
        <w:gridCol w:w="1418"/>
        <w:gridCol w:w="1418"/>
        <w:gridCol w:w="1399"/>
        <w:gridCol w:w="839"/>
        <w:gridCol w:w="1405"/>
      </w:tblGrid>
      <w:tr w:rsidR="004700E2" w:rsidRPr="00104F4B" w:rsidTr="007C5EDF">
        <w:trPr>
          <w:trHeight w:val="211"/>
          <w:jc w:val="center"/>
        </w:trPr>
        <w:tc>
          <w:tcPr>
            <w:tcW w:w="28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700E2" w:rsidRPr="00104F4B" w:rsidRDefault="004700E2" w:rsidP="004700E2">
            <w:pPr>
              <w:jc w:val="center"/>
              <w:rPr>
                <w:rFonts w:cs="Arial"/>
                <w:b/>
                <w:bCs/>
                <w:sz w:val="16"/>
                <w:szCs w:val="16"/>
                <w:lang w:eastAsia="es-CO"/>
              </w:rPr>
            </w:pPr>
            <w:r w:rsidRPr="00104F4B">
              <w:rPr>
                <w:rFonts w:cs="Arial"/>
                <w:b/>
                <w:bCs/>
                <w:sz w:val="16"/>
                <w:szCs w:val="16"/>
                <w:lang w:eastAsia="es-CO"/>
              </w:rPr>
              <w:t>CONCEPTO</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700E2" w:rsidRPr="00104F4B" w:rsidRDefault="004700E2" w:rsidP="004700E2">
            <w:pPr>
              <w:jc w:val="center"/>
              <w:rPr>
                <w:rFonts w:cs="Arial"/>
                <w:b/>
                <w:bCs/>
                <w:sz w:val="16"/>
                <w:szCs w:val="16"/>
                <w:lang w:eastAsia="es-CO"/>
              </w:rPr>
            </w:pPr>
            <w:r w:rsidRPr="00104F4B">
              <w:rPr>
                <w:rFonts w:cs="Arial"/>
                <w:b/>
                <w:bCs/>
                <w:sz w:val="16"/>
                <w:szCs w:val="16"/>
                <w:lang w:eastAsia="es-CO"/>
              </w:rPr>
              <w:t>PRESUPUESTO DEFINITIVO</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700E2" w:rsidRPr="00104F4B" w:rsidRDefault="004700E2" w:rsidP="004700E2">
            <w:pPr>
              <w:jc w:val="center"/>
              <w:rPr>
                <w:rFonts w:cs="Arial"/>
                <w:b/>
                <w:bCs/>
                <w:sz w:val="16"/>
                <w:szCs w:val="16"/>
                <w:lang w:eastAsia="es-CO"/>
              </w:rPr>
            </w:pPr>
            <w:r w:rsidRPr="00104F4B">
              <w:rPr>
                <w:rFonts w:cs="Arial"/>
                <w:b/>
                <w:bCs/>
                <w:sz w:val="16"/>
                <w:szCs w:val="16"/>
                <w:lang w:eastAsia="es-CO"/>
              </w:rPr>
              <w:t>COMPROMISOS</w:t>
            </w:r>
          </w:p>
        </w:tc>
        <w:tc>
          <w:tcPr>
            <w:tcW w:w="139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700E2" w:rsidRPr="00104F4B" w:rsidRDefault="004700E2" w:rsidP="004700E2">
            <w:pPr>
              <w:jc w:val="center"/>
              <w:rPr>
                <w:rFonts w:cs="Arial"/>
                <w:b/>
                <w:bCs/>
                <w:sz w:val="16"/>
                <w:szCs w:val="16"/>
                <w:lang w:eastAsia="es-CO"/>
              </w:rPr>
            </w:pPr>
            <w:r w:rsidRPr="00104F4B">
              <w:rPr>
                <w:rFonts w:cs="Arial"/>
                <w:b/>
                <w:bCs/>
                <w:sz w:val="16"/>
                <w:szCs w:val="16"/>
                <w:lang w:eastAsia="es-CO"/>
              </w:rPr>
              <w:t>% EJECUCIÓN</w:t>
            </w:r>
          </w:p>
        </w:tc>
        <w:tc>
          <w:tcPr>
            <w:tcW w:w="83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700E2" w:rsidRPr="00104F4B" w:rsidRDefault="004700E2" w:rsidP="004700E2">
            <w:pPr>
              <w:jc w:val="center"/>
              <w:rPr>
                <w:rFonts w:cs="Arial"/>
                <w:b/>
                <w:bCs/>
                <w:sz w:val="16"/>
                <w:szCs w:val="16"/>
                <w:lang w:eastAsia="es-CO"/>
              </w:rPr>
            </w:pPr>
            <w:r w:rsidRPr="00104F4B">
              <w:rPr>
                <w:rFonts w:cs="Arial"/>
                <w:b/>
                <w:bCs/>
                <w:sz w:val="16"/>
                <w:szCs w:val="16"/>
                <w:lang w:eastAsia="es-CO"/>
              </w:rPr>
              <w:t>GIROS</w:t>
            </w:r>
          </w:p>
        </w:tc>
        <w:tc>
          <w:tcPr>
            <w:tcW w:w="140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700E2" w:rsidRPr="00104F4B" w:rsidRDefault="004700E2" w:rsidP="004700E2">
            <w:pPr>
              <w:jc w:val="center"/>
              <w:rPr>
                <w:rFonts w:cs="Arial"/>
                <w:b/>
                <w:bCs/>
                <w:sz w:val="16"/>
                <w:szCs w:val="16"/>
                <w:lang w:eastAsia="es-CO"/>
              </w:rPr>
            </w:pPr>
            <w:r w:rsidRPr="00104F4B">
              <w:rPr>
                <w:rFonts w:cs="Arial"/>
                <w:b/>
                <w:bCs/>
                <w:sz w:val="16"/>
                <w:szCs w:val="16"/>
                <w:lang w:eastAsia="es-CO"/>
              </w:rPr>
              <w:t>% EJECUCIÓN</w:t>
            </w:r>
          </w:p>
        </w:tc>
      </w:tr>
      <w:tr w:rsidR="004700E2" w:rsidRPr="00104F4B" w:rsidTr="007C5EDF">
        <w:trPr>
          <w:trHeight w:val="307"/>
          <w:jc w:val="center"/>
        </w:trPr>
        <w:tc>
          <w:tcPr>
            <w:tcW w:w="28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700E2" w:rsidRPr="00104F4B" w:rsidRDefault="004700E2" w:rsidP="004700E2">
            <w:pPr>
              <w:rPr>
                <w:rFonts w:cs="Arial"/>
                <w:sz w:val="16"/>
                <w:szCs w:val="16"/>
                <w:lang w:eastAsia="es-CO"/>
              </w:rPr>
            </w:pPr>
            <w:r w:rsidRPr="00104F4B">
              <w:rPr>
                <w:rFonts w:cs="Arial"/>
                <w:sz w:val="16"/>
                <w:szCs w:val="16"/>
                <w:lang w:eastAsia="es-CO"/>
              </w:rPr>
              <w:t>Servicios Personales</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700E2" w:rsidRPr="00104F4B" w:rsidRDefault="004700E2" w:rsidP="004700E2">
            <w:pPr>
              <w:jc w:val="right"/>
              <w:rPr>
                <w:rFonts w:cs="Arial"/>
                <w:sz w:val="16"/>
                <w:szCs w:val="16"/>
                <w:lang w:eastAsia="es-CO"/>
              </w:rPr>
            </w:pPr>
            <w:r w:rsidRPr="00104F4B">
              <w:rPr>
                <w:rFonts w:cs="Arial"/>
                <w:sz w:val="16"/>
                <w:szCs w:val="16"/>
                <w:lang w:eastAsia="es-CO"/>
              </w:rPr>
              <w:t>50.976</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700E2" w:rsidRPr="00104F4B" w:rsidRDefault="004700E2" w:rsidP="004700E2">
            <w:pPr>
              <w:jc w:val="right"/>
              <w:rPr>
                <w:rFonts w:cs="Arial"/>
                <w:sz w:val="16"/>
                <w:szCs w:val="16"/>
                <w:lang w:eastAsia="es-CO"/>
              </w:rPr>
            </w:pPr>
            <w:r w:rsidRPr="00104F4B">
              <w:rPr>
                <w:rFonts w:cs="Arial"/>
                <w:sz w:val="16"/>
                <w:szCs w:val="16"/>
                <w:lang w:eastAsia="es-CO"/>
              </w:rPr>
              <w:t>47.697</w:t>
            </w:r>
          </w:p>
        </w:tc>
        <w:tc>
          <w:tcPr>
            <w:tcW w:w="139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700E2" w:rsidRPr="00104F4B" w:rsidRDefault="004700E2" w:rsidP="004700E2">
            <w:pPr>
              <w:jc w:val="right"/>
              <w:rPr>
                <w:rFonts w:cs="Arial"/>
                <w:sz w:val="16"/>
                <w:szCs w:val="16"/>
                <w:lang w:eastAsia="es-CO"/>
              </w:rPr>
            </w:pPr>
            <w:r w:rsidRPr="00104F4B">
              <w:rPr>
                <w:rFonts w:cs="Arial"/>
                <w:sz w:val="16"/>
                <w:szCs w:val="16"/>
                <w:lang w:eastAsia="es-CO"/>
              </w:rPr>
              <w:t>94%</w:t>
            </w:r>
          </w:p>
        </w:tc>
        <w:tc>
          <w:tcPr>
            <w:tcW w:w="83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700E2" w:rsidRPr="00104F4B" w:rsidRDefault="004700E2" w:rsidP="004700E2">
            <w:pPr>
              <w:jc w:val="right"/>
              <w:rPr>
                <w:rFonts w:cs="Arial"/>
                <w:sz w:val="16"/>
                <w:szCs w:val="16"/>
                <w:lang w:eastAsia="es-CO"/>
              </w:rPr>
            </w:pPr>
            <w:r w:rsidRPr="00104F4B">
              <w:rPr>
                <w:rFonts w:cs="Arial"/>
                <w:sz w:val="16"/>
                <w:szCs w:val="16"/>
                <w:lang w:eastAsia="es-CO"/>
              </w:rPr>
              <w:t>47.697</w:t>
            </w:r>
          </w:p>
        </w:tc>
        <w:tc>
          <w:tcPr>
            <w:tcW w:w="140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700E2" w:rsidRPr="00104F4B" w:rsidRDefault="004700E2" w:rsidP="004700E2">
            <w:pPr>
              <w:jc w:val="right"/>
              <w:rPr>
                <w:rFonts w:cs="Arial"/>
                <w:sz w:val="16"/>
                <w:szCs w:val="16"/>
                <w:lang w:eastAsia="es-CO"/>
              </w:rPr>
            </w:pPr>
            <w:r w:rsidRPr="00104F4B">
              <w:rPr>
                <w:rFonts w:cs="Arial"/>
                <w:sz w:val="16"/>
                <w:szCs w:val="16"/>
                <w:lang w:eastAsia="es-CO"/>
              </w:rPr>
              <w:t>94%</w:t>
            </w:r>
          </w:p>
        </w:tc>
      </w:tr>
      <w:tr w:rsidR="004700E2" w:rsidRPr="00104F4B" w:rsidTr="007C5EDF">
        <w:trPr>
          <w:trHeight w:val="307"/>
          <w:jc w:val="center"/>
        </w:trPr>
        <w:tc>
          <w:tcPr>
            <w:tcW w:w="28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700E2" w:rsidRPr="00104F4B" w:rsidRDefault="004700E2" w:rsidP="004700E2">
            <w:pPr>
              <w:rPr>
                <w:rFonts w:cs="Arial"/>
                <w:sz w:val="16"/>
                <w:szCs w:val="16"/>
                <w:lang w:eastAsia="es-CO"/>
              </w:rPr>
            </w:pPr>
            <w:r w:rsidRPr="00104F4B">
              <w:rPr>
                <w:rFonts w:cs="Arial"/>
                <w:sz w:val="16"/>
                <w:szCs w:val="16"/>
                <w:lang w:eastAsia="es-CO"/>
              </w:rPr>
              <w:t>Gastos Generales</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700E2" w:rsidRPr="00104F4B" w:rsidRDefault="004700E2" w:rsidP="004700E2">
            <w:pPr>
              <w:jc w:val="right"/>
              <w:rPr>
                <w:rFonts w:cs="Arial"/>
                <w:sz w:val="16"/>
                <w:szCs w:val="16"/>
                <w:lang w:eastAsia="es-CO"/>
              </w:rPr>
            </w:pPr>
            <w:r w:rsidRPr="00104F4B">
              <w:rPr>
                <w:rFonts w:cs="Arial"/>
                <w:sz w:val="16"/>
                <w:szCs w:val="16"/>
                <w:lang w:eastAsia="es-CO"/>
              </w:rPr>
              <w:t>14.226</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700E2" w:rsidRPr="00104F4B" w:rsidRDefault="004700E2" w:rsidP="004700E2">
            <w:pPr>
              <w:jc w:val="right"/>
              <w:rPr>
                <w:rFonts w:cs="Arial"/>
                <w:sz w:val="16"/>
                <w:szCs w:val="16"/>
                <w:lang w:eastAsia="es-CO"/>
              </w:rPr>
            </w:pPr>
            <w:r w:rsidRPr="00104F4B">
              <w:rPr>
                <w:rFonts w:cs="Arial"/>
                <w:sz w:val="16"/>
                <w:szCs w:val="16"/>
                <w:lang w:eastAsia="es-CO"/>
              </w:rPr>
              <w:t>13.736</w:t>
            </w:r>
          </w:p>
        </w:tc>
        <w:tc>
          <w:tcPr>
            <w:tcW w:w="139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700E2" w:rsidRPr="00104F4B" w:rsidRDefault="004700E2" w:rsidP="004700E2">
            <w:pPr>
              <w:jc w:val="right"/>
              <w:rPr>
                <w:rFonts w:cs="Arial"/>
                <w:sz w:val="16"/>
                <w:szCs w:val="16"/>
                <w:lang w:eastAsia="es-CO"/>
              </w:rPr>
            </w:pPr>
            <w:r w:rsidRPr="00104F4B">
              <w:rPr>
                <w:rFonts w:cs="Arial"/>
                <w:sz w:val="16"/>
                <w:szCs w:val="16"/>
                <w:lang w:eastAsia="es-CO"/>
              </w:rPr>
              <w:t>97%</w:t>
            </w:r>
          </w:p>
        </w:tc>
        <w:tc>
          <w:tcPr>
            <w:tcW w:w="83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700E2" w:rsidRPr="00104F4B" w:rsidRDefault="004700E2" w:rsidP="004700E2">
            <w:pPr>
              <w:jc w:val="right"/>
              <w:rPr>
                <w:rFonts w:cs="Arial"/>
                <w:sz w:val="16"/>
                <w:szCs w:val="16"/>
                <w:lang w:eastAsia="es-CO"/>
              </w:rPr>
            </w:pPr>
            <w:r w:rsidRPr="00104F4B">
              <w:rPr>
                <w:rFonts w:cs="Arial"/>
                <w:sz w:val="16"/>
                <w:szCs w:val="16"/>
                <w:lang w:eastAsia="es-CO"/>
              </w:rPr>
              <w:t>9.960</w:t>
            </w:r>
          </w:p>
        </w:tc>
        <w:tc>
          <w:tcPr>
            <w:tcW w:w="140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700E2" w:rsidRPr="00104F4B" w:rsidRDefault="004700E2" w:rsidP="004700E2">
            <w:pPr>
              <w:jc w:val="right"/>
              <w:rPr>
                <w:rFonts w:cs="Arial"/>
                <w:sz w:val="16"/>
                <w:szCs w:val="16"/>
                <w:lang w:eastAsia="es-CO"/>
              </w:rPr>
            </w:pPr>
            <w:r w:rsidRPr="00104F4B">
              <w:rPr>
                <w:rFonts w:cs="Arial"/>
                <w:sz w:val="16"/>
                <w:szCs w:val="16"/>
                <w:lang w:eastAsia="es-CO"/>
              </w:rPr>
              <w:t>70%</w:t>
            </w:r>
          </w:p>
        </w:tc>
      </w:tr>
      <w:tr w:rsidR="004700E2" w:rsidRPr="00104F4B" w:rsidTr="007C5EDF">
        <w:trPr>
          <w:trHeight w:val="307"/>
          <w:jc w:val="center"/>
        </w:trPr>
        <w:tc>
          <w:tcPr>
            <w:tcW w:w="28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700E2" w:rsidRPr="00104F4B" w:rsidRDefault="004700E2" w:rsidP="004700E2">
            <w:pPr>
              <w:rPr>
                <w:rFonts w:cs="Arial"/>
                <w:sz w:val="16"/>
                <w:szCs w:val="16"/>
                <w:lang w:eastAsia="es-CO"/>
              </w:rPr>
            </w:pPr>
            <w:r w:rsidRPr="00104F4B">
              <w:rPr>
                <w:rFonts w:cs="Arial"/>
                <w:sz w:val="16"/>
                <w:szCs w:val="16"/>
                <w:lang w:eastAsia="es-CO"/>
              </w:rPr>
              <w:t>Pasivos Exigibles</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700E2" w:rsidRPr="00104F4B" w:rsidRDefault="004700E2" w:rsidP="004700E2">
            <w:pPr>
              <w:jc w:val="right"/>
              <w:rPr>
                <w:rFonts w:cs="Arial"/>
                <w:sz w:val="16"/>
                <w:szCs w:val="16"/>
                <w:lang w:eastAsia="es-CO"/>
              </w:rPr>
            </w:pPr>
            <w:r w:rsidRPr="00104F4B">
              <w:rPr>
                <w:rFonts w:cs="Arial"/>
                <w:sz w:val="16"/>
                <w:szCs w:val="16"/>
                <w:lang w:eastAsia="es-CO"/>
              </w:rPr>
              <w:t>147</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700E2" w:rsidRPr="00104F4B" w:rsidRDefault="004700E2" w:rsidP="004700E2">
            <w:pPr>
              <w:jc w:val="right"/>
              <w:rPr>
                <w:rFonts w:cs="Arial"/>
                <w:sz w:val="16"/>
                <w:szCs w:val="16"/>
                <w:lang w:eastAsia="es-CO"/>
              </w:rPr>
            </w:pPr>
            <w:r w:rsidRPr="00104F4B">
              <w:rPr>
                <w:rFonts w:cs="Arial"/>
                <w:sz w:val="16"/>
                <w:szCs w:val="16"/>
                <w:lang w:eastAsia="es-CO"/>
              </w:rPr>
              <w:t>2</w:t>
            </w:r>
          </w:p>
        </w:tc>
        <w:tc>
          <w:tcPr>
            <w:tcW w:w="139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700E2" w:rsidRPr="00104F4B" w:rsidRDefault="004700E2" w:rsidP="004700E2">
            <w:pPr>
              <w:jc w:val="right"/>
              <w:rPr>
                <w:rFonts w:cs="Arial"/>
                <w:sz w:val="16"/>
                <w:szCs w:val="16"/>
                <w:lang w:eastAsia="es-CO"/>
              </w:rPr>
            </w:pPr>
            <w:r w:rsidRPr="00104F4B">
              <w:rPr>
                <w:rFonts w:cs="Arial"/>
                <w:sz w:val="16"/>
                <w:szCs w:val="16"/>
                <w:lang w:eastAsia="es-CO"/>
              </w:rPr>
              <w:t>1%</w:t>
            </w:r>
          </w:p>
        </w:tc>
        <w:tc>
          <w:tcPr>
            <w:tcW w:w="83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700E2" w:rsidRPr="00104F4B" w:rsidRDefault="004700E2" w:rsidP="004700E2">
            <w:pPr>
              <w:jc w:val="right"/>
              <w:rPr>
                <w:rFonts w:cs="Arial"/>
                <w:sz w:val="16"/>
                <w:szCs w:val="16"/>
                <w:lang w:eastAsia="es-CO"/>
              </w:rPr>
            </w:pPr>
            <w:r w:rsidRPr="00104F4B">
              <w:rPr>
                <w:rFonts w:cs="Arial"/>
                <w:sz w:val="16"/>
                <w:szCs w:val="16"/>
                <w:lang w:eastAsia="es-CO"/>
              </w:rPr>
              <w:t>2</w:t>
            </w:r>
          </w:p>
        </w:tc>
        <w:tc>
          <w:tcPr>
            <w:tcW w:w="140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700E2" w:rsidRPr="00104F4B" w:rsidRDefault="004700E2" w:rsidP="004700E2">
            <w:pPr>
              <w:jc w:val="right"/>
              <w:rPr>
                <w:rFonts w:cs="Arial"/>
                <w:sz w:val="16"/>
                <w:szCs w:val="16"/>
                <w:lang w:eastAsia="es-CO"/>
              </w:rPr>
            </w:pPr>
            <w:r w:rsidRPr="00104F4B">
              <w:rPr>
                <w:rFonts w:cs="Arial"/>
                <w:sz w:val="16"/>
                <w:szCs w:val="16"/>
                <w:lang w:eastAsia="es-CO"/>
              </w:rPr>
              <w:t>1%</w:t>
            </w:r>
          </w:p>
        </w:tc>
      </w:tr>
      <w:tr w:rsidR="004700E2" w:rsidRPr="00104F4B" w:rsidTr="007C5EDF">
        <w:trPr>
          <w:trHeight w:val="110"/>
          <w:jc w:val="center"/>
        </w:trPr>
        <w:tc>
          <w:tcPr>
            <w:tcW w:w="28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700E2" w:rsidRPr="00104F4B" w:rsidRDefault="004700E2" w:rsidP="004700E2">
            <w:pPr>
              <w:rPr>
                <w:rFonts w:cs="Arial"/>
                <w:b/>
                <w:bCs/>
                <w:sz w:val="16"/>
                <w:szCs w:val="16"/>
                <w:lang w:eastAsia="es-CO"/>
              </w:rPr>
            </w:pPr>
            <w:r w:rsidRPr="00104F4B">
              <w:rPr>
                <w:rFonts w:cs="Arial"/>
                <w:b/>
                <w:bCs/>
                <w:sz w:val="16"/>
                <w:szCs w:val="16"/>
                <w:lang w:eastAsia="es-CO"/>
              </w:rPr>
              <w:t>Total Gastos de Funcionamiento</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700E2" w:rsidRPr="00104F4B" w:rsidRDefault="004700E2" w:rsidP="004700E2">
            <w:pPr>
              <w:jc w:val="right"/>
              <w:rPr>
                <w:rFonts w:cs="Arial"/>
                <w:b/>
                <w:bCs/>
                <w:sz w:val="16"/>
                <w:szCs w:val="16"/>
                <w:lang w:eastAsia="es-CO"/>
              </w:rPr>
            </w:pPr>
            <w:r w:rsidRPr="00104F4B">
              <w:rPr>
                <w:rFonts w:cs="Arial"/>
                <w:b/>
                <w:bCs/>
                <w:sz w:val="16"/>
                <w:szCs w:val="16"/>
                <w:lang w:eastAsia="es-CO"/>
              </w:rPr>
              <w:t>65.348</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700E2" w:rsidRPr="00104F4B" w:rsidRDefault="004700E2" w:rsidP="004700E2">
            <w:pPr>
              <w:jc w:val="right"/>
              <w:rPr>
                <w:rFonts w:cs="Arial"/>
                <w:b/>
                <w:sz w:val="16"/>
                <w:szCs w:val="16"/>
                <w:lang w:eastAsia="es-CO"/>
              </w:rPr>
            </w:pPr>
            <w:r w:rsidRPr="00104F4B">
              <w:rPr>
                <w:rFonts w:cs="Arial"/>
                <w:b/>
                <w:sz w:val="16"/>
                <w:szCs w:val="16"/>
                <w:lang w:eastAsia="es-CO"/>
              </w:rPr>
              <w:t>61.435</w:t>
            </w:r>
          </w:p>
        </w:tc>
        <w:tc>
          <w:tcPr>
            <w:tcW w:w="139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700E2" w:rsidRPr="00104F4B" w:rsidRDefault="004700E2" w:rsidP="004700E2">
            <w:pPr>
              <w:jc w:val="right"/>
              <w:rPr>
                <w:rFonts w:cs="Arial"/>
                <w:b/>
                <w:sz w:val="16"/>
                <w:szCs w:val="16"/>
                <w:lang w:eastAsia="es-CO"/>
              </w:rPr>
            </w:pPr>
            <w:r w:rsidRPr="00104F4B">
              <w:rPr>
                <w:rFonts w:cs="Arial"/>
                <w:b/>
                <w:sz w:val="16"/>
                <w:szCs w:val="16"/>
                <w:lang w:eastAsia="es-CO"/>
              </w:rPr>
              <w:t>94%</w:t>
            </w:r>
          </w:p>
        </w:tc>
        <w:tc>
          <w:tcPr>
            <w:tcW w:w="83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700E2" w:rsidRPr="00104F4B" w:rsidRDefault="004700E2" w:rsidP="004700E2">
            <w:pPr>
              <w:jc w:val="right"/>
              <w:rPr>
                <w:rFonts w:cs="Arial"/>
                <w:b/>
                <w:sz w:val="16"/>
                <w:szCs w:val="16"/>
                <w:lang w:eastAsia="es-CO"/>
              </w:rPr>
            </w:pPr>
            <w:r w:rsidRPr="00104F4B">
              <w:rPr>
                <w:rFonts w:cs="Arial"/>
                <w:b/>
                <w:sz w:val="16"/>
                <w:szCs w:val="16"/>
                <w:lang w:eastAsia="es-CO"/>
              </w:rPr>
              <w:t>57.659</w:t>
            </w:r>
          </w:p>
        </w:tc>
        <w:tc>
          <w:tcPr>
            <w:tcW w:w="140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700E2" w:rsidRPr="00104F4B" w:rsidRDefault="004700E2" w:rsidP="004700E2">
            <w:pPr>
              <w:jc w:val="right"/>
              <w:rPr>
                <w:rFonts w:cs="Arial"/>
                <w:b/>
                <w:sz w:val="16"/>
                <w:szCs w:val="16"/>
                <w:lang w:eastAsia="es-CO"/>
              </w:rPr>
            </w:pPr>
            <w:r w:rsidRPr="00104F4B">
              <w:rPr>
                <w:rFonts w:cs="Arial"/>
                <w:b/>
                <w:sz w:val="16"/>
                <w:szCs w:val="16"/>
                <w:lang w:eastAsia="es-CO"/>
              </w:rPr>
              <w:t>88%</w:t>
            </w:r>
          </w:p>
        </w:tc>
      </w:tr>
      <w:tr w:rsidR="004700E2" w:rsidRPr="00104F4B" w:rsidTr="004700E2">
        <w:trPr>
          <w:trHeight w:val="135"/>
          <w:jc w:val="center"/>
        </w:trPr>
        <w:tc>
          <w:tcPr>
            <w:tcW w:w="9309" w:type="dxa"/>
            <w:gridSpan w:val="6"/>
            <w:tcBorders>
              <w:top w:val="single" w:sz="4" w:space="0" w:color="auto"/>
              <w:left w:val="nil"/>
              <w:bottom w:val="nil"/>
              <w:right w:val="nil"/>
            </w:tcBorders>
            <w:noWrap/>
            <w:vAlign w:val="center"/>
            <w:hideMark/>
          </w:tcPr>
          <w:p w:rsidR="004700E2" w:rsidRPr="00104F4B" w:rsidRDefault="004700E2" w:rsidP="004700E2">
            <w:pPr>
              <w:rPr>
                <w:rFonts w:cs="Arial"/>
                <w:sz w:val="16"/>
                <w:szCs w:val="16"/>
                <w:lang w:eastAsia="es-CO"/>
              </w:rPr>
            </w:pPr>
            <w:r w:rsidRPr="00104F4B">
              <w:rPr>
                <w:rFonts w:cs="Arial"/>
                <w:sz w:val="16"/>
                <w:szCs w:val="16"/>
                <w:lang w:eastAsia="es-CO"/>
              </w:rPr>
              <w:lastRenderedPageBreak/>
              <w:t>Fuente: Ejecución de Gastos STONE – diciembre 31 de 2018. Cifras en Millones de Pesos</w:t>
            </w:r>
          </w:p>
        </w:tc>
      </w:tr>
    </w:tbl>
    <w:p w:rsidR="004700E2" w:rsidRPr="00104F4B" w:rsidRDefault="004700E2" w:rsidP="004700E2">
      <w:pPr>
        <w:rPr>
          <w:rFonts w:cs="Arial"/>
          <w:b/>
          <w:szCs w:val="22"/>
          <w:lang w:eastAsia="es-CO"/>
        </w:rPr>
      </w:pPr>
      <w:r w:rsidRPr="00104F4B">
        <w:rPr>
          <w:rFonts w:cs="Arial"/>
          <w:b/>
          <w:szCs w:val="22"/>
          <w:lang w:eastAsia="es-CO"/>
        </w:rPr>
        <w:t>Inversión</w:t>
      </w:r>
    </w:p>
    <w:p w:rsidR="004700E2" w:rsidRPr="00104F4B" w:rsidRDefault="004700E2" w:rsidP="004700E2">
      <w:pPr>
        <w:rPr>
          <w:rFonts w:cs="Arial"/>
          <w:szCs w:val="22"/>
          <w:lang w:eastAsia="es-CO"/>
        </w:rPr>
      </w:pPr>
      <w:r w:rsidRPr="00104F4B">
        <w:rPr>
          <w:rFonts w:cs="Arial"/>
          <w:szCs w:val="22"/>
          <w:lang w:eastAsia="es-CO"/>
        </w:rPr>
        <w:t>Los resultados de ejecución del presupuesto de inversión del Instituto, se detallan a continuación:</w:t>
      </w:r>
    </w:p>
    <w:p w:rsidR="004700E2" w:rsidRPr="00104F4B" w:rsidRDefault="004700E2" w:rsidP="004700E2">
      <w:pPr>
        <w:rPr>
          <w:rFonts w:cs="Arial"/>
          <w:sz w:val="16"/>
          <w:szCs w:val="16"/>
          <w:lang w:eastAsia="es-CO"/>
        </w:rPr>
      </w:pPr>
      <w:r w:rsidRPr="00104F4B">
        <w:rPr>
          <w:rFonts w:cs="Arial"/>
          <w:sz w:val="16"/>
          <w:szCs w:val="16"/>
          <w:lang w:eastAsia="es-CO"/>
        </w:rPr>
        <w:t>STPC – Tabla Ejecución de Gastos</w:t>
      </w:r>
    </w:p>
    <w:tbl>
      <w:tblPr>
        <w:tblW w:w="9403" w:type="dxa"/>
        <w:jc w:val="center"/>
        <w:tblCellMar>
          <w:left w:w="70" w:type="dxa"/>
          <w:right w:w="70" w:type="dxa"/>
        </w:tblCellMar>
        <w:tblLook w:val="04A0" w:firstRow="1" w:lastRow="0" w:firstColumn="1" w:lastColumn="0" w:noHBand="0" w:noVBand="1"/>
      </w:tblPr>
      <w:tblGrid>
        <w:gridCol w:w="2972"/>
        <w:gridCol w:w="1382"/>
        <w:gridCol w:w="1237"/>
        <w:gridCol w:w="1037"/>
        <w:gridCol w:w="871"/>
        <w:gridCol w:w="1037"/>
        <w:gridCol w:w="867"/>
      </w:tblGrid>
      <w:tr w:rsidR="004700E2" w:rsidRPr="00104F4B" w:rsidTr="004700E2">
        <w:trPr>
          <w:trHeight w:val="163"/>
          <w:tblHeader/>
          <w:jc w:val="center"/>
        </w:trPr>
        <w:tc>
          <w:tcPr>
            <w:tcW w:w="2972"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4700E2" w:rsidRPr="00104F4B" w:rsidRDefault="004700E2" w:rsidP="004700E2">
            <w:pPr>
              <w:jc w:val="center"/>
              <w:rPr>
                <w:rFonts w:cs="Arial"/>
                <w:b/>
                <w:bCs/>
                <w:sz w:val="16"/>
                <w:szCs w:val="16"/>
                <w:lang w:eastAsia="es-CO"/>
              </w:rPr>
            </w:pPr>
            <w:r w:rsidRPr="00104F4B">
              <w:rPr>
                <w:rFonts w:cs="Arial"/>
                <w:b/>
                <w:bCs/>
                <w:sz w:val="16"/>
                <w:szCs w:val="16"/>
                <w:lang w:eastAsia="es-CO"/>
              </w:rPr>
              <w:t>NOMBRE DE RUBRO</w:t>
            </w:r>
          </w:p>
        </w:tc>
        <w:tc>
          <w:tcPr>
            <w:tcW w:w="1382"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4700E2" w:rsidRPr="00104F4B" w:rsidRDefault="004700E2" w:rsidP="004700E2">
            <w:pPr>
              <w:jc w:val="center"/>
              <w:rPr>
                <w:rFonts w:cs="Arial"/>
                <w:b/>
                <w:bCs/>
                <w:sz w:val="16"/>
                <w:szCs w:val="16"/>
                <w:lang w:eastAsia="es-CO"/>
              </w:rPr>
            </w:pPr>
            <w:r w:rsidRPr="00104F4B">
              <w:rPr>
                <w:rFonts w:cs="Arial"/>
                <w:b/>
                <w:bCs/>
                <w:sz w:val="16"/>
                <w:szCs w:val="16"/>
                <w:lang w:eastAsia="es-CO"/>
              </w:rPr>
              <w:t>PRESUPUESTO</w:t>
            </w:r>
          </w:p>
          <w:p w:rsidR="004700E2" w:rsidRPr="00104F4B" w:rsidRDefault="004700E2" w:rsidP="004700E2">
            <w:pPr>
              <w:jc w:val="center"/>
              <w:rPr>
                <w:rFonts w:cs="Arial"/>
                <w:b/>
                <w:bCs/>
                <w:sz w:val="16"/>
                <w:szCs w:val="16"/>
                <w:lang w:eastAsia="es-CO"/>
              </w:rPr>
            </w:pPr>
            <w:r w:rsidRPr="00104F4B">
              <w:rPr>
                <w:rFonts w:cs="Arial"/>
                <w:b/>
                <w:bCs/>
                <w:sz w:val="16"/>
                <w:szCs w:val="16"/>
                <w:lang w:eastAsia="es-CO"/>
              </w:rPr>
              <w:t>DEFINITIVO</w:t>
            </w:r>
          </w:p>
        </w:tc>
        <w:tc>
          <w:tcPr>
            <w:tcW w:w="123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4700E2" w:rsidRPr="00104F4B" w:rsidRDefault="004700E2" w:rsidP="004700E2">
            <w:pPr>
              <w:jc w:val="center"/>
              <w:rPr>
                <w:rFonts w:cs="Arial"/>
                <w:b/>
                <w:bCs/>
                <w:sz w:val="16"/>
                <w:szCs w:val="16"/>
                <w:lang w:eastAsia="es-CO"/>
              </w:rPr>
            </w:pPr>
            <w:r w:rsidRPr="00104F4B">
              <w:rPr>
                <w:rFonts w:cs="Arial"/>
                <w:b/>
                <w:bCs/>
                <w:sz w:val="16"/>
                <w:szCs w:val="16"/>
                <w:lang w:eastAsia="es-CO"/>
              </w:rPr>
              <w:t>CDP</w:t>
            </w:r>
          </w:p>
        </w:tc>
        <w:tc>
          <w:tcPr>
            <w:tcW w:w="103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4700E2" w:rsidRPr="00104F4B" w:rsidRDefault="004700E2" w:rsidP="004700E2">
            <w:pPr>
              <w:jc w:val="center"/>
              <w:rPr>
                <w:rFonts w:cs="Arial"/>
                <w:b/>
                <w:bCs/>
                <w:sz w:val="16"/>
                <w:szCs w:val="16"/>
                <w:lang w:eastAsia="es-CO"/>
              </w:rPr>
            </w:pPr>
            <w:r w:rsidRPr="00104F4B">
              <w:rPr>
                <w:rFonts w:cs="Arial"/>
                <w:b/>
                <w:bCs/>
                <w:sz w:val="16"/>
                <w:szCs w:val="16"/>
                <w:lang w:eastAsia="es-CO"/>
              </w:rPr>
              <w:t>COMP</w:t>
            </w:r>
          </w:p>
        </w:tc>
        <w:tc>
          <w:tcPr>
            <w:tcW w:w="871"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4700E2" w:rsidRPr="00104F4B" w:rsidRDefault="004700E2" w:rsidP="004700E2">
            <w:pPr>
              <w:jc w:val="center"/>
              <w:rPr>
                <w:rFonts w:cs="Arial"/>
                <w:b/>
                <w:bCs/>
                <w:sz w:val="16"/>
                <w:szCs w:val="16"/>
                <w:lang w:eastAsia="es-CO"/>
              </w:rPr>
            </w:pPr>
            <w:r w:rsidRPr="00104F4B">
              <w:rPr>
                <w:rFonts w:cs="Arial"/>
                <w:b/>
                <w:bCs/>
                <w:sz w:val="16"/>
                <w:szCs w:val="16"/>
                <w:lang w:eastAsia="es-CO"/>
              </w:rPr>
              <w:t>% EJEC</w:t>
            </w:r>
          </w:p>
        </w:tc>
        <w:tc>
          <w:tcPr>
            <w:tcW w:w="103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4700E2" w:rsidRPr="00104F4B" w:rsidRDefault="004700E2" w:rsidP="004700E2">
            <w:pPr>
              <w:jc w:val="center"/>
              <w:rPr>
                <w:rFonts w:cs="Arial"/>
                <w:b/>
                <w:bCs/>
                <w:sz w:val="16"/>
                <w:szCs w:val="16"/>
                <w:lang w:eastAsia="es-CO"/>
              </w:rPr>
            </w:pPr>
            <w:r w:rsidRPr="00104F4B">
              <w:rPr>
                <w:rFonts w:cs="Arial"/>
                <w:b/>
                <w:bCs/>
                <w:sz w:val="16"/>
                <w:szCs w:val="16"/>
                <w:lang w:eastAsia="es-CO"/>
              </w:rPr>
              <w:t>GIROS</w:t>
            </w:r>
          </w:p>
        </w:tc>
        <w:tc>
          <w:tcPr>
            <w:tcW w:w="86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4700E2" w:rsidRPr="00104F4B" w:rsidRDefault="004700E2" w:rsidP="004700E2">
            <w:pPr>
              <w:jc w:val="center"/>
              <w:rPr>
                <w:rFonts w:cs="Arial"/>
                <w:b/>
                <w:bCs/>
                <w:sz w:val="16"/>
                <w:szCs w:val="16"/>
                <w:lang w:eastAsia="es-CO"/>
              </w:rPr>
            </w:pPr>
            <w:r w:rsidRPr="00104F4B">
              <w:rPr>
                <w:rFonts w:cs="Arial"/>
                <w:b/>
                <w:bCs/>
                <w:sz w:val="16"/>
                <w:szCs w:val="16"/>
                <w:lang w:eastAsia="es-CO"/>
              </w:rPr>
              <w:t>% GIRO</w:t>
            </w:r>
          </w:p>
        </w:tc>
      </w:tr>
      <w:tr w:rsidR="004700E2" w:rsidRPr="00104F4B" w:rsidTr="004700E2">
        <w:trPr>
          <w:trHeight w:val="163"/>
          <w:jc w:val="center"/>
        </w:trPr>
        <w:tc>
          <w:tcPr>
            <w:tcW w:w="2972" w:type="dxa"/>
            <w:tcBorders>
              <w:top w:val="single" w:sz="4" w:space="0" w:color="auto"/>
              <w:left w:val="single" w:sz="4" w:space="0" w:color="auto"/>
              <w:bottom w:val="single" w:sz="4" w:space="0" w:color="auto"/>
              <w:right w:val="single" w:sz="4" w:space="0" w:color="auto"/>
            </w:tcBorders>
            <w:noWrap/>
            <w:vAlign w:val="center"/>
            <w:hideMark/>
          </w:tcPr>
          <w:p w:rsidR="004700E2" w:rsidRPr="00104F4B" w:rsidRDefault="004700E2" w:rsidP="004700E2">
            <w:pPr>
              <w:rPr>
                <w:rFonts w:cs="Arial"/>
                <w:sz w:val="16"/>
                <w:szCs w:val="16"/>
                <w:lang w:eastAsia="es-CO"/>
              </w:rPr>
            </w:pPr>
            <w:r w:rsidRPr="00104F4B">
              <w:rPr>
                <w:rFonts w:cs="Arial"/>
                <w:sz w:val="16"/>
                <w:szCs w:val="16"/>
                <w:lang w:eastAsia="es-CO"/>
              </w:rPr>
              <w:t>Transporte Público Integrado y de Calidad</w:t>
            </w:r>
          </w:p>
        </w:tc>
        <w:tc>
          <w:tcPr>
            <w:tcW w:w="1382" w:type="dxa"/>
            <w:tcBorders>
              <w:top w:val="single" w:sz="4" w:space="0" w:color="auto"/>
              <w:left w:val="single" w:sz="4" w:space="0" w:color="auto"/>
              <w:bottom w:val="single" w:sz="4" w:space="0" w:color="auto"/>
              <w:right w:val="single" w:sz="4" w:space="0" w:color="auto"/>
            </w:tcBorders>
            <w:noWrap/>
            <w:vAlign w:val="center"/>
            <w:hideMark/>
          </w:tcPr>
          <w:p w:rsidR="004700E2" w:rsidRPr="00104F4B" w:rsidRDefault="004700E2" w:rsidP="004700E2">
            <w:pPr>
              <w:jc w:val="right"/>
              <w:rPr>
                <w:rFonts w:cs="Arial"/>
                <w:sz w:val="16"/>
                <w:szCs w:val="16"/>
                <w:lang w:eastAsia="es-CO"/>
              </w:rPr>
            </w:pPr>
            <w:r w:rsidRPr="00104F4B">
              <w:rPr>
                <w:rFonts w:cs="Arial"/>
                <w:sz w:val="16"/>
                <w:szCs w:val="16"/>
                <w:lang w:eastAsia="es-CO"/>
              </w:rPr>
              <w:t>36.640</w:t>
            </w:r>
          </w:p>
        </w:tc>
        <w:tc>
          <w:tcPr>
            <w:tcW w:w="1237" w:type="dxa"/>
            <w:tcBorders>
              <w:top w:val="single" w:sz="4" w:space="0" w:color="auto"/>
              <w:left w:val="single" w:sz="4" w:space="0" w:color="auto"/>
              <w:bottom w:val="single" w:sz="4" w:space="0" w:color="auto"/>
              <w:right w:val="single" w:sz="4" w:space="0" w:color="auto"/>
            </w:tcBorders>
            <w:noWrap/>
            <w:vAlign w:val="center"/>
            <w:hideMark/>
          </w:tcPr>
          <w:p w:rsidR="004700E2" w:rsidRPr="00104F4B" w:rsidRDefault="004700E2" w:rsidP="004700E2">
            <w:pPr>
              <w:jc w:val="right"/>
              <w:rPr>
                <w:rFonts w:cs="Arial"/>
                <w:sz w:val="16"/>
                <w:szCs w:val="16"/>
                <w:lang w:eastAsia="es-CO"/>
              </w:rPr>
            </w:pPr>
            <w:r w:rsidRPr="00104F4B">
              <w:rPr>
                <w:rFonts w:cs="Arial"/>
                <w:sz w:val="16"/>
                <w:szCs w:val="16"/>
                <w:lang w:eastAsia="es-CO"/>
              </w:rPr>
              <w:t>25.834</w:t>
            </w:r>
          </w:p>
        </w:tc>
        <w:tc>
          <w:tcPr>
            <w:tcW w:w="1037" w:type="dxa"/>
            <w:tcBorders>
              <w:top w:val="single" w:sz="4" w:space="0" w:color="auto"/>
              <w:left w:val="single" w:sz="4" w:space="0" w:color="auto"/>
              <w:bottom w:val="single" w:sz="4" w:space="0" w:color="auto"/>
              <w:right w:val="single" w:sz="4" w:space="0" w:color="auto"/>
            </w:tcBorders>
            <w:noWrap/>
            <w:vAlign w:val="center"/>
            <w:hideMark/>
          </w:tcPr>
          <w:p w:rsidR="004700E2" w:rsidRPr="00104F4B" w:rsidRDefault="004700E2" w:rsidP="004700E2">
            <w:pPr>
              <w:jc w:val="right"/>
              <w:rPr>
                <w:rFonts w:cs="Arial"/>
                <w:sz w:val="16"/>
                <w:szCs w:val="16"/>
                <w:lang w:eastAsia="es-CO"/>
              </w:rPr>
            </w:pPr>
            <w:r w:rsidRPr="00104F4B">
              <w:rPr>
                <w:rFonts w:cs="Arial"/>
                <w:sz w:val="16"/>
                <w:szCs w:val="16"/>
                <w:lang w:eastAsia="es-CO"/>
              </w:rPr>
              <w:t>23.390</w:t>
            </w:r>
          </w:p>
        </w:tc>
        <w:tc>
          <w:tcPr>
            <w:tcW w:w="871" w:type="dxa"/>
            <w:tcBorders>
              <w:top w:val="single" w:sz="4" w:space="0" w:color="auto"/>
              <w:left w:val="single" w:sz="4" w:space="0" w:color="auto"/>
              <w:bottom w:val="single" w:sz="4" w:space="0" w:color="auto"/>
              <w:right w:val="single" w:sz="4" w:space="0" w:color="auto"/>
            </w:tcBorders>
            <w:noWrap/>
            <w:vAlign w:val="center"/>
            <w:hideMark/>
          </w:tcPr>
          <w:p w:rsidR="004700E2" w:rsidRPr="00104F4B" w:rsidRDefault="004700E2" w:rsidP="004700E2">
            <w:pPr>
              <w:jc w:val="right"/>
              <w:rPr>
                <w:rFonts w:cs="Arial"/>
                <w:sz w:val="16"/>
                <w:szCs w:val="16"/>
                <w:lang w:eastAsia="es-CO"/>
              </w:rPr>
            </w:pPr>
            <w:r w:rsidRPr="00104F4B">
              <w:rPr>
                <w:rFonts w:cs="Arial"/>
                <w:sz w:val="16"/>
                <w:szCs w:val="16"/>
                <w:lang w:eastAsia="es-CO"/>
              </w:rPr>
              <w:t>64%</w:t>
            </w:r>
          </w:p>
        </w:tc>
        <w:tc>
          <w:tcPr>
            <w:tcW w:w="1037" w:type="dxa"/>
            <w:tcBorders>
              <w:top w:val="single" w:sz="4" w:space="0" w:color="auto"/>
              <w:left w:val="single" w:sz="4" w:space="0" w:color="auto"/>
              <w:bottom w:val="single" w:sz="4" w:space="0" w:color="auto"/>
              <w:right w:val="single" w:sz="4" w:space="0" w:color="auto"/>
            </w:tcBorders>
            <w:noWrap/>
            <w:vAlign w:val="center"/>
            <w:hideMark/>
          </w:tcPr>
          <w:p w:rsidR="004700E2" w:rsidRPr="00104F4B" w:rsidRDefault="004700E2" w:rsidP="004700E2">
            <w:pPr>
              <w:jc w:val="right"/>
              <w:rPr>
                <w:rFonts w:cs="Arial"/>
                <w:sz w:val="16"/>
                <w:szCs w:val="16"/>
                <w:lang w:eastAsia="es-CO"/>
              </w:rPr>
            </w:pPr>
            <w:r w:rsidRPr="00104F4B">
              <w:rPr>
                <w:rFonts w:cs="Arial"/>
                <w:sz w:val="16"/>
                <w:szCs w:val="16"/>
                <w:lang w:eastAsia="es-CO"/>
              </w:rPr>
              <w:t>10.242</w:t>
            </w:r>
          </w:p>
        </w:tc>
        <w:tc>
          <w:tcPr>
            <w:tcW w:w="867" w:type="dxa"/>
            <w:tcBorders>
              <w:top w:val="single" w:sz="4" w:space="0" w:color="auto"/>
              <w:left w:val="single" w:sz="4" w:space="0" w:color="auto"/>
              <w:bottom w:val="single" w:sz="4" w:space="0" w:color="auto"/>
              <w:right w:val="single" w:sz="4" w:space="0" w:color="auto"/>
            </w:tcBorders>
            <w:noWrap/>
            <w:vAlign w:val="center"/>
            <w:hideMark/>
          </w:tcPr>
          <w:p w:rsidR="004700E2" w:rsidRPr="00104F4B" w:rsidRDefault="004700E2" w:rsidP="004700E2">
            <w:pPr>
              <w:jc w:val="right"/>
              <w:rPr>
                <w:rFonts w:cs="Arial"/>
                <w:sz w:val="16"/>
                <w:szCs w:val="16"/>
                <w:lang w:eastAsia="es-CO"/>
              </w:rPr>
            </w:pPr>
            <w:r w:rsidRPr="00104F4B">
              <w:rPr>
                <w:rFonts w:cs="Arial"/>
                <w:sz w:val="16"/>
                <w:szCs w:val="16"/>
                <w:lang w:eastAsia="es-CO"/>
              </w:rPr>
              <w:t>28%</w:t>
            </w:r>
          </w:p>
        </w:tc>
      </w:tr>
      <w:tr w:rsidR="004700E2" w:rsidRPr="00104F4B" w:rsidTr="004700E2">
        <w:trPr>
          <w:trHeight w:val="163"/>
          <w:jc w:val="center"/>
        </w:trPr>
        <w:tc>
          <w:tcPr>
            <w:tcW w:w="2972" w:type="dxa"/>
            <w:tcBorders>
              <w:top w:val="single" w:sz="4" w:space="0" w:color="auto"/>
              <w:left w:val="single" w:sz="4" w:space="0" w:color="auto"/>
              <w:bottom w:val="single" w:sz="4" w:space="0" w:color="auto"/>
              <w:right w:val="single" w:sz="4" w:space="0" w:color="auto"/>
            </w:tcBorders>
            <w:noWrap/>
            <w:vAlign w:val="center"/>
            <w:hideMark/>
          </w:tcPr>
          <w:p w:rsidR="004700E2" w:rsidRPr="00104F4B" w:rsidRDefault="004700E2" w:rsidP="004700E2">
            <w:pPr>
              <w:rPr>
                <w:rFonts w:cs="Arial"/>
                <w:sz w:val="16"/>
                <w:szCs w:val="16"/>
                <w:lang w:eastAsia="es-CO"/>
              </w:rPr>
            </w:pPr>
            <w:r w:rsidRPr="00104F4B">
              <w:rPr>
                <w:rFonts w:cs="Arial"/>
                <w:sz w:val="16"/>
                <w:szCs w:val="16"/>
                <w:lang w:eastAsia="es-CO"/>
              </w:rPr>
              <w:t>Peatones y Bicicletas</w:t>
            </w:r>
          </w:p>
        </w:tc>
        <w:tc>
          <w:tcPr>
            <w:tcW w:w="1382" w:type="dxa"/>
            <w:tcBorders>
              <w:top w:val="single" w:sz="4" w:space="0" w:color="auto"/>
              <w:left w:val="single" w:sz="4" w:space="0" w:color="auto"/>
              <w:bottom w:val="single" w:sz="4" w:space="0" w:color="auto"/>
              <w:right w:val="single" w:sz="4" w:space="0" w:color="auto"/>
            </w:tcBorders>
            <w:noWrap/>
            <w:vAlign w:val="center"/>
            <w:hideMark/>
          </w:tcPr>
          <w:p w:rsidR="004700E2" w:rsidRPr="00104F4B" w:rsidRDefault="004700E2" w:rsidP="004700E2">
            <w:pPr>
              <w:jc w:val="right"/>
              <w:rPr>
                <w:rFonts w:cs="Arial"/>
                <w:sz w:val="16"/>
                <w:szCs w:val="16"/>
                <w:lang w:eastAsia="es-CO"/>
              </w:rPr>
            </w:pPr>
            <w:r w:rsidRPr="00104F4B">
              <w:rPr>
                <w:rFonts w:cs="Arial"/>
                <w:sz w:val="16"/>
                <w:szCs w:val="16"/>
                <w:lang w:eastAsia="es-CO"/>
              </w:rPr>
              <w:t>92.774</w:t>
            </w:r>
          </w:p>
        </w:tc>
        <w:tc>
          <w:tcPr>
            <w:tcW w:w="1237" w:type="dxa"/>
            <w:tcBorders>
              <w:top w:val="single" w:sz="4" w:space="0" w:color="auto"/>
              <w:left w:val="single" w:sz="4" w:space="0" w:color="auto"/>
              <w:bottom w:val="single" w:sz="4" w:space="0" w:color="auto"/>
              <w:right w:val="single" w:sz="4" w:space="0" w:color="auto"/>
            </w:tcBorders>
            <w:noWrap/>
            <w:vAlign w:val="center"/>
            <w:hideMark/>
          </w:tcPr>
          <w:p w:rsidR="004700E2" w:rsidRPr="00104F4B" w:rsidRDefault="004700E2" w:rsidP="004700E2">
            <w:pPr>
              <w:jc w:val="right"/>
              <w:rPr>
                <w:rFonts w:cs="Arial"/>
                <w:sz w:val="16"/>
                <w:szCs w:val="16"/>
                <w:lang w:eastAsia="es-CO"/>
              </w:rPr>
            </w:pPr>
            <w:r w:rsidRPr="00104F4B">
              <w:rPr>
                <w:rFonts w:cs="Arial"/>
                <w:sz w:val="16"/>
                <w:szCs w:val="16"/>
                <w:lang w:eastAsia="es-CO"/>
              </w:rPr>
              <w:t>91.757</w:t>
            </w:r>
          </w:p>
        </w:tc>
        <w:tc>
          <w:tcPr>
            <w:tcW w:w="1037" w:type="dxa"/>
            <w:tcBorders>
              <w:top w:val="single" w:sz="4" w:space="0" w:color="auto"/>
              <w:left w:val="single" w:sz="4" w:space="0" w:color="auto"/>
              <w:bottom w:val="single" w:sz="4" w:space="0" w:color="auto"/>
              <w:right w:val="single" w:sz="4" w:space="0" w:color="auto"/>
            </w:tcBorders>
            <w:noWrap/>
            <w:vAlign w:val="center"/>
            <w:hideMark/>
          </w:tcPr>
          <w:p w:rsidR="004700E2" w:rsidRPr="00104F4B" w:rsidRDefault="004700E2" w:rsidP="004700E2">
            <w:pPr>
              <w:jc w:val="right"/>
              <w:rPr>
                <w:rFonts w:cs="Arial"/>
                <w:sz w:val="16"/>
                <w:szCs w:val="16"/>
                <w:lang w:eastAsia="es-CO"/>
              </w:rPr>
            </w:pPr>
            <w:r w:rsidRPr="00104F4B">
              <w:rPr>
                <w:rFonts w:cs="Arial"/>
                <w:sz w:val="16"/>
                <w:szCs w:val="16"/>
                <w:lang w:eastAsia="es-CO"/>
              </w:rPr>
              <w:t>75.997</w:t>
            </w:r>
          </w:p>
        </w:tc>
        <w:tc>
          <w:tcPr>
            <w:tcW w:w="871" w:type="dxa"/>
            <w:tcBorders>
              <w:top w:val="single" w:sz="4" w:space="0" w:color="auto"/>
              <w:left w:val="single" w:sz="4" w:space="0" w:color="auto"/>
              <w:bottom w:val="single" w:sz="4" w:space="0" w:color="auto"/>
              <w:right w:val="single" w:sz="4" w:space="0" w:color="auto"/>
            </w:tcBorders>
            <w:noWrap/>
            <w:vAlign w:val="center"/>
            <w:hideMark/>
          </w:tcPr>
          <w:p w:rsidR="004700E2" w:rsidRPr="00104F4B" w:rsidRDefault="004700E2" w:rsidP="004700E2">
            <w:pPr>
              <w:jc w:val="right"/>
              <w:rPr>
                <w:rFonts w:cs="Arial"/>
                <w:sz w:val="16"/>
                <w:szCs w:val="16"/>
                <w:lang w:eastAsia="es-CO"/>
              </w:rPr>
            </w:pPr>
            <w:r w:rsidRPr="00104F4B">
              <w:rPr>
                <w:rFonts w:cs="Arial"/>
                <w:sz w:val="16"/>
                <w:szCs w:val="16"/>
                <w:lang w:eastAsia="es-CO"/>
              </w:rPr>
              <w:t>82%</w:t>
            </w:r>
          </w:p>
        </w:tc>
        <w:tc>
          <w:tcPr>
            <w:tcW w:w="1037" w:type="dxa"/>
            <w:tcBorders>
              <w:top w:val="single" w:sz="4" w:space="0" w:color="auto"/>
              <w:left w:val="single" w:sz="4" w:space="0" w:color="auto"/>
              <w:bottom w:val="single" w:sz="4" w:space="0" w:color="auto"/>
              <w:right w:val="single" w:sz="4" w:space="0" w:color="auto"/>
            </w:tcBorders>
            <w:noWrap/>
            <w:vAlign w:val="center"/>
            <w:hideMark/>
          </w:tcPr>
          <w:p w:rsidR="004700E2" w:rsidRPr="00104F4B" w:rsidRDefault="004700E2" w:rsidP="004700E2">
            <w:pPr>
              <w:jc w:val="right"/>
              <w:rPr>
                <w:rFonts w:cs="Arial"/>
                <w:sz w:val="16"/>
                <w:szCs w:val="16"/>
                <w:lang w:eastAsia="es-CO"/>
              </w:rPr>
            </w:pPr>
            <w:r w:rsidRPr="00104F4B">
              <w:rPr>
                <w:rFonts w:cs="Arial"/>
                <w:sz w:val="16"/>
                <w:szCs w:val="16"/>
                <w:lang w:eastAsia="es-CO"/>
              </w:rPr>
              <w:t>2.571</w:t>
            </w:r>
          </w:p>
        </w:tc>
        <w:tc>
          <w:tcPr>
            <w:tcW w:w="867" w:type="dxa"/>
            <w:tcBorders>
              <w:top w:val="single" w:sz="4" w:space="0" w:color="auto"/>
              <w:left w:val="single" w:sz="4" w:space="0" w:color="auto"/>
              <w:bottom w:val="single" w:sz="4" w:space="0" w:color="auto"/>
              <w:right w:val="single" w:sz="4" w:space="0" w:color="auto"/>
            </w:tcBorders>
            <w:noWrap/>
            <w:vAlign w:val="center"/>
            <w:hideMark/>
          </w:tcPr>
          <w:p w:rsidR="004700E2" w:rsidRPr="00104F4B" w:rsidRDefault="004700E2" w:rsidP="004700E2">
            <w:pPr>
              <w:jc w:val="right"/>
              <w:rPr>
                <w:rFonts w:cs="Arial"/>
                <w:sz w:val="16"/>
                <w:szCs w:val="16"/>
                <w:lang w:eastAsia="es-CO"/>
              </w:rPr>
            </w:pPr>
            <w:r w:rsidRPr="00104F4B">
              <w:rPr>
                <w:rFonts w:cs="Arial"/>
                <w:sz w:val="16"/>
                <w:szCs w:val="16"/>
                <w:lang w:eastAsia="es-CO"/>
              </w:rPr>
              <w:t>3%</w:t>
            </w:r>
          </w:p>
        </w:tc>
      </w:tr>
      <w:tr w:rsidR="004700E2" w:rsidRPr="00104F4B" w:rsidTr="004700E2">
        <w:trPr>
          <w:trHeight w:val="163"/>
          <w:jc w:val="center"/>
        </w:trPr>
        <w:tc>
          <w:tcPr>
            <w:tcW w:w="2972" w:type="dxa"/>
            <w:tcBorders>
              <w:top w:val="single" w:sz="4" w:space="0" w:color="auto"/>
              <w:left w:val="single" w:sz="4" w:space="0" w:color="auto"/>
              <w:bottom w:val="single" w:sz="4" w:space="0" w:color="auto"/>
              <w:right w:val="single" w:sz="4" w:space="0" w:color="auto"/>
            </w:tcBorders>
            <w:noWrap/>
            <w:vAlign w:val="center"/>
            <w:hideMark/>
          </w:tcPr>
          <w:p w:rsidR="004700E2" w:rsidRPr="00104F4B" w:rsidRDefault="004700E2" w:rsidP="004700E2">
            <w:pPr>
              <w:rPr>
                <w:rFonts w:cs="Arial"/>
                <w:sz w:val="16"/>
                <w:szCs w:val="16"/>
                <w:lang w:eastAsia="es-CO"/>
              </w:rPr>
            </w:pPr>
            <w:r w:rsidRPr="00104F4B">
              <w:rPr>
                <w:rFonts w:cs="Arial"/>
                <w:sz w:val="16"/>
                <w:szCs w:val="16"/>
                <w:lang w:eastAsia="es-CO"/>
              </w:rPr>
              <w:t>Construcción y Conservación de Vías y Calles Completas Para La Ciudad</w:t>
            </w:r>
          </w:p>
        </w:tc>
        <w:tc>
          <w:tcPr>
            <w:tcW w:w="1382" w:type="dxa"/>
            <w:tcBorders>
              <w:top w:val="single" w:sz="4" w:space="0" w:color="auto"/>
              <w:left w:val="single" w:sz="4" w:space="0" w:color="auto"/>
              <w:bottom w:val="single" w:sz="4" w:space="0" w:color="auto"/>
              <w:right w:val="single" w:sz="4" w:space="0" w:color="auto"/>
            </w:tcBorders>
            <w:noWrap/>
            <w:vAlign w:val="center"/>
            <w:hideMark/>
          </w:tcPr>
          <w:p w:rsidR="004700E2" w:rsidRPr="00104F4B" w:rsidRDefault="004700E2" w:rsidP="004700E2">
            <w:pPr>
              <w:jc w:val="right"/>
              <w:rPr>
                <w:rFonts w:cs="Arial"/>
                <w:sz w:val="16"/>
                <w:szCs w:val="16"/>
                <w:lang w:eastAsia="es-CO"/>
              </w:rPr>
            </w:pPr>
            <w:r w:rsidRPr="00104F4B">
              <w:rPr>
                <w:rFonts w:cs="Arial"/>
                <w:sz w:val="16"/>
                <w:szCs w:val="16"/>
                <w:lang w:eastAsia="es-CO"/>
              </w:rPr>
              <w:t>861.489</w:t>
            </w:r>
          </w:p>
        </w:tc>
        <w:tc>
          <w:tcPr>
            <w:tcW w:w="1237" w:type="dxa"/>
            <w:tcBorders>
              <w:top w:val="single" w:sz="4" w:space="0" w:color="auto"/>
              <w:left w:val="single" w:sz="4" w:space="0" w:color="auto"/>
              <w:bottom w:val="single" w:sz="4" w:space="0" w:color="auto"/>
              <w:right w:val="single" w:sz="4" w:space="0" w:color="auto"/>
            </w:tcBorders>
            <w:noWrap/>
            <w:vAlign w:val="center"/>
            <w:hideMark/>
          </w:tcPr>
          <w:p w:rsidR="004700E2" w:rsidRPr="00104F4B" w:rsidRDefault="004700E2" w:rsidP="004700E2">
            <w:pPr>
              <w:jc w:val="right"/>
              <w:rPr>
                <w:rFonts w:cs="Arial"/>
                <w:sz w:val="16"/>
                <w:szCs w:val="16"/>
                <w:lang w:eastAsia="es-CO"/>
              </w:rPr>
            </w:pPr>
            <w:r w:rsidRPr="00104F4B">
              <w:rPr>
                <w:rFonts w:cs="Arial"/>
                <w:sz w:val="16"/>
                <w:szCs w:val="16"/>
                <w:lang w:eastAsia="es-CO"/>
              </w:rPr>
              <w:t>808.887</w:t>
            </w:r>
          </w:p>
        </w:tc>
        <w:tc>
          <w:tcPr>
            <w:tcW w:w="1037" w:type="dxa"/>
            <w:tcBorders>
              <w:top w:val="single" w:sz="4" w:space="0" w:color="auto"/>
              <w:left w:val="single" w:sz="4" w:space="0" w:color="auto"/>
              <w:bottom w:val="single" w:sz="4" w:space="0" w:color="auto"/>
              <w:right w:val="single" w:sz="4" w:space="0" w:color="auto"/>
            </w:tcBorders>
            <w:noWrap/>
            <w:vAlign w:val="center"/>
            <w:hideMark/>
          </w:tcPr>
          <w:p w:rsidR="004700E2" w:rsidRPr="00104F4B" w:rsidRDefault="004700E2" w:rsidP="004700E2">
            <w:pPr>
              <w:jc w:val="right"/>
              <w:rPr>
                <w:rFonts w:cs="Arial"/>
                <w:sz w:val="16"/>
                <w:szCs w:val="16"/>
                <w:lang w:eastAsia="es-CO"/>
              </w:rPr>
            </w:pPr>
            <w:r w:rsidRPr="00104F4B">
              <w:rPr>
                <w:rFonts w:cs="Arial"/>
                <w:sz w:val="16"/>
                <w:szCs w:val="16"/>
                <w:lang w:eastAsia="es-CO"/>
              </w:rPr>
              <w:t>639.165</w:t>
            </w:r>
          </w:p>
        </w:tc>
        <w:tc>
          <w:tcPr>
            <w:tcW w:w="871" w:type="dxa"/>
            <w:tcBorders>
              <w:top w:val="single" w:sz="4" w:space="0" w:color="auto"/>
              <w:left w:val="single" w:sz="4" w:space="0" w:color="auto"/>
              <w:bottom w:val="single" w:sz="4" w:space="0" w:color="auto"/>
              <w:right w:val="single" w:sz="4" w:space="0" w:color="auto"/>
            </w:tcBorders>
            <w:noWrap/>
            <w:vAlign w:val="center"/>
            <w:hideMark/>
          </w:tcPr>
          <w:p w:rsidR="004700E2" w:rsidRPr="00104F4B" w:rsidRDefault="004700E2" w:rsidP="004700E2">
            <w:pPr>
              <w:jc w:val="right"/>
              <w:rPr>
                <w:rFonts w:cs="Arial"/>
                <w:sz w:val="16"/>
                <w:szCs w:val="16"/>
                <w:lang w:eastAsia="es-CO"/>
              </w:rPr>
            </w:pPr>
            <w:r w:rsidRPr="00104F4B">
              <w:rPr>
                <w:rFonts w:cs="Arial"/>
                <w:sz w:val="16"/>
                <w:szCs w:val="16"/>
                <w:lang w:eastAsia="es-CO"/>
              </w:rPr>
              <w:t>74%</w:t>
            </w:r>
          </w:p>
        </w:tc>
        <w:tc>
          <w:tcPr>
            <w:tcW w:w="1037" w:type="dxa"/>
            <w:tcBorders>
              <w:top w:val="single" w:sz="4" w:space="0" w:color="auto"/>
              <w:left w:val="single" w:sz="4" w:space="0" w:color="auto"/>
              <w:bottom w:val="single" w:sz="4" w:space="0" w:color="auto"/>
              <w:right w:val="single" w:sz="4" w:space="0" w:color="auto"/>
            </w:tcBorders>
            <w:noWrap/>
            <w:vAlign w:val="center"/>
            <w:hideMark/>
          </w:tcPr>
          <w:p w:rsidR="004700E2" w:rsidRPr="00104F4B" w:rsidRDefault="004700E2" w:rsidP="004700E2">
            <w:pPr>
              <w:jc w:val="right"/>
              <w:rPr>
                <w:rFonts w:cs="Arial"/>
                <w:sz w:val="16"/>
                <w:szCs w:val="16"/>
                <w:lang w:eastAsia="es-CO"/>
              </w:rPr>
            </w:pPr>
            <w:r w:rsidRPr="00104F4B">
              <w:rPr>
                <w:rFonts w:cs="Arial"/>
                <w:sz w:val="16"/>
                <w:szCs w:val="16"/>
                <w:lang w:eastAsia="es-CO"/>
              </w:rPr>
              <w:t>229.267</w:t>
            </w:r>
          </w:p>
        </w:tc>
        <w:tc>
          <w:tcPr>
            <w:tcW w:w="867" w:type="dxa"/>
            <w:tcBorders>
              <w:top w:val="single" w:sz="4" w:space="0" w:color="auto"/>
              <w:left w:val="single" w:sz="4" w:space="0" w:color="auto"/>
              <w:bottom w:val="single" w:sz="4" w:space="0" w:color="auto"/>
              <w:right w:val="single" w:sz="4" w:space="0" w:color="auto"/>
            </w:tcBorders>
            <w:noWrap/>
            <w:vAlign w:val="center"/>
            <w:hideMark/>
          </w:tcPr>
          <w:p w:rsidR="004700E2" w:rsidRPr="00104F4B" w:rsidRDefault="004700E2" w:rsidP="004700E2">
            <w:pPr>
              <w:jc w:val="right"/>
              <w:rPr>
                <w:rFonts w:cs="Arial"/>
                <w:sz w:val="16"/>
                <w:szCs w:val="16"/>
                <w:lang w:eastAsia="es-CO"/>
              </w:rPr>
            </w:pPr>
            <w:r w:rsidRPr="00104F4B">
              <w:rPr>
                <w:rFonts w:cs="Arial"/>
                <w:sz w:val="16"/>
                <w:szCs w:val="16"/>
                <w:lang w:eastAsia="es-CO"/>
              </w:rPr>
              <w:t>27%</w:t>
            </w:r>
          </w:p>
        </w:tc>
      </w:tr>
      <w:tr w:rsidR="004700E2" w:rsidRPr="00104F4B" w:rsidTr="004700E2">
        <w:trPr>
          <w:trHeight w:val="163"/>
          <w:jc w:val="center"/>
        </w:trPr>
        <w:tc>
          <w:tcPr>
            <w:tcW w:w="2972" w:type="dxa"/>
            <w:tcBorders>
              <w:top w:val="single" w:sz="4" w:space="0" w:color="auto"/>
              <w:left w:val="single" w:sz="4" w:space="0" w:color="auto"/>
              <w:bottom w:val="single" w:sz="4" w:space="0" w:color="auto"/>
              <w:right w:val="single" w:sz="4" w:space="0" w:color="auto"/>
            </w:tcBorders>
            <w:noWrap/>
            <w:vAlign w:val="center"/>
            <w:hideMark/>
          </w:tcPr>
          <w:p w:rsidR="004700E2" w:rsidRPr="00104F4B" w:rsidRDefault="004700E2" w:rsidP="004700E2">
            <w:pPr>
              <w:rPr>
                <w:rFonts w:cs="Arial"/>
                <w:sz w:val="16"/>
                <w:szCs w:val="16"/>
                <w:lang w:eastAsia="es-CO"/>
              </w:rPr>
            </w:pPr>
            <w:r w:rsidRPr="00104F4B">
              <w:rPr>
                <w:rFonts w:cs="Arial"/>
                <w:sz w:val="16"/>
                <w:szCs w:val="16"/>
                <w:lang w:eastAsia="es-CO"/>
              </w:rPr>
              <w:t>Construcción y Conservación de Vías y Calles Completas Para La Ciudad</w:t>
            </w:r>
          </w:p>
        </w:tc>
        <w:tc>
          <w:tcPr>
            <w:tcW w:w="1382" w:type="dxa"/>
            <w:tcBorders>
              <w:top w:val="single" w:sz="4" w:space="0" w:color="auto"/>
              <w:left w:val="single" w:sz="4" w:space="0" w:color="auto"/>
              <w:bottom w:val="single" w:sz="4" w:space="0" w:color="auto"/>
              <w:right w:val="single" w:sz="4" w:space="0" w:color="auto"/>
            </w:tcBorders>
            <w:noWrap/>
            <w:vAlign w:val="center"/>
            <w:hideMark/>
          </w:tcPr>
          <w:p w:rsidR="004700E2" w:rsidRPr="00104F4B" w:rsidRDefault="004700E2" w:rsidP="004700E2">
            <w:pPr>
              <w:jc w:val="right"/>
              <w:rPr>
                <w:rFonts w:cs="Arial"/>
                <w:sz w:val="16"/>
                <w:szCs w:val="16"/>
                <w:lang w:eastAsia="es-CO"/>
              </w:rPr>
            </w:pPr>
            <w:r w:rsidRPr="00104F4B">
              <w:rPr>
                <w:rFonts w:cs="Arial"/>
                <w:sz w:val="16"/>
                <w:szCs w:val="16"/>
                <w:lang w:eastAsia="es-CO"/>
              </w:rPr>
              <w:t>120.803</w:t>
            </w:r>
          </w:p>
        </w:tc>
        <w:tc>
          <w:tcPr>
            <w:tcW w:w="1237" w:type="dxa"/>
            <w:tcBorders>
              <w:top w:val="single" w:sz="4" w:space="0" w:color="auto"/>
              <w:left w:val="single" w:sz="4" w:space="0" w:color="auto"/>
              <w:bottom w:val="single" w:sz="4" w:space="0" w:color="auto"/>
              <w:right w:val="single" w:sz="4" w:space="0" w:color="auto"/>
            </w:tcBorders>
            <w:noWrap/>
            <w:vAlign w:val="center"/>
            <w:hideMark/>
          </w:tcPr>
          <w:p w:rsidR="004700E2" w:rsidRPr="00104F4B" w:rsidRDefault="004700E2" w:rsidP="004700E2">
            <w:pPr>
              <w:jc w:val="right"/>
              <w:rPr>
                <w:rFonts w:cs="Arial"/>
                <w:sz w:val="16"/>
                <w:szCs w:val="16"/>
                <w:lang w:eastAsia="es-CO"/>
              </w:rPr>
            </w:pPr>
            <w:r w:rsidRPr="00104F4B">
              <w:rPr>
                <w:rFonts w:cs="Arial"/>
                <w:sz w:val="16"/>
                <w:szCs w:val="16"/>
                <w:lang w:eastAsia="es-CO"/>
              </w:rPr>
              <w:t>120.790</w:t>
            </w:r>
          </w:p>
        </w:tc>
        <w:tc>
          <w:tcPr>
            <w:tcW w:w="1037" w:type="dxa"/>
            <w:tcBorders>
              <w:top w:val="single" w:sz="4" w:space="0" w:color="auto"/>
              <w:left w:val="single" w:sz="4" w:space="0" w:color="auto"/>
              <w:bottom w:val="single" w:sz="4" w:space="0" w:color="auto"/>
              <w:right w:val="single" w:sz="4" w:space="0" w:color="auto"/>
            </w:tcBorders>
            <w:noWrap/>
            <w:vAlign w:val="center"/>
            <w:hideMark/>
          </w:tcPr>
          <w:p w:rsidR="004700E2" w:rsidRPr="00104F4B" w:rsidRDefault="004700E2" w:rsidP="004700E2">
            <w:pPr>
              <w:jc w:val="right"/>
              <w:rPr>
                <w:rFonts w:cs="Arial"/>
                <w:sz w:val="16"/>
                <w:szCs w:val="16"/>
                <w:lang w:eastAsia="es-CO"/>
              </w:rPr>
            </w:pPr>
            <w:r w:rsidRPr="00104F4B">
              <w:rPr>
                <w:rFonts w:cs="Arial"/>
                <w:sz w:val="16"/>
                <w:szCs w:val="16"/>
                <w:lang w:eastAsia="es-CO"/>
              </w:rPr>
              <w:t>109.404</w:t>
            </w:r>
          </w:p>
        </w:tc>
        <w:tc>
          <w:tcPr>
            <w:tcW w:w="871" w:type="dxa"/>
            <w:tcBorders>
              <w:top w:val="single" w:sz="4" w:space="0" w:color="auto"/>
              <w:left w:val="single" w:sz="4" w:space="0" w:color="auto"/>
              <w:bottom w:val="single" w:sz="4" w:space="0" w:color="auto"/>
              <w:right w:val="single" w:sz="4" w:space="0" w:color="auto"/>
            </w:tcBorders>
            <w:noWrap/>
            <w:vAlign w:val="center"/>
            <w:hideMark/>
          </w:tcPr>
          <w:p w:rsidR="004700E2" w:rsidRPr="00104F4B" w:rsidRDefault="004700E2" w:rsidP="004700E2">
            <w:pPr>
              <w:jc w:val="right"/>
              <w:rPr>
                <w:rFonts w:cs="Arial"/>
                <w:sz w:val="16"/>
                <w:szCs w:val="16"/>
                <w:lang w:eastAsia="es-CO"/>
              </w:rPr>
            </w:pPr>
            <w:r w:rsidRPr="00104F4B">
              <w:rPr>
                <w:rFonts w:cs="Arial"/>
                <w:sz w:val="16"/>
                <w:szCs w:val="16"/>
                <w:lang w:eastAsia="es-CO"/>
              </w:rPr>
              <w:t>91%</w:t>
            </w:r>
          </w:p>
        </w:tc>
        <w:tc>
          <w:tcPr>
            <w:tcW w:w="1037" w:type="dxa"/>
            <w:tcBorders>
              <w:top w:val="single" w:sz="4" w:space="0" w:color="auto"/>
              <w:left w:val="single" w:sz="4" w:space="0" w:color="auto"/>
              <w:bottom w:val="single" w:sz="4" w:space="0" w:color="auto"/>
              <w:right w:val="single" w:sz="4" w:space="0" w:color="auto"/>
            </w:tcBorders>
            <w:noWrap/>
            <w:vAlign w:val="center"/>
            <w:hideMark/>
          </w:tcPr>
          <w:p w:rsidR="004700E2" w:rsidRPr="00104F4B" w:rsidRDefault="004700E2" w:rsidP="004700E2">
            <w:pPr>
              <w:jc w:val="right"/>
              <w:rPr>
                <w:rFonts w:cs="Arial"/>
                <w:sz w:val="16"/>
                <w:szCs w:val="16"/>
                <w:lang w:eastAsia="es-CO"/>
              </w:rPr>
            </w:pPr>
            <w:r w:rsidRPr="00104F4B">
              <w:rPr>
                <w:rFonts w:cs="Arial"/>
                <w:sz w:val="16"/>
                <w:szCs w:val="16"/>
                <w:lang w:eastAsia="es-CO"/>
              </w:rPr>
              <w:t>31.794</w:t>
            </w:r>
          </w:p>
        </w:tc>
        <w:tc>
          <w:tcPr>
            <w:tcW w:w="867" w:type="dxa"/>
            <w:tcBorders>
              <w:top w:val="single" w:sz="4" w:space="0" w:color="auto"/>
              <w:left w:val="single" w:sz="4" w:space="0" w:color="auto"/>
              <w:bottom w:val="single" w:sz="4" w:space="0" w:color="auto"/>
              <w:right w:val="single" w:sz="4" w:space="0" w:color="auto"/>
            </w:tcBorders>
            <w:noWrap/>
            <w:vAlign w:val="center"/>
            <w:hideMark/>
          </w:tcPr>
          <w:p w:rsidR="004700E2" w:rsidRPr="00104F4B" w:rsidRDefault="004700E2" w:rsidP="004700E2">
            <w:pPr>
              <w:jc w:val="right"/>
              <w:rPr>
                <w:rFonts w:cs="Arial"/>
                <w:sz w:val="16"/>
                <w:szCs w:val="16"/>
                <w:lang w:eastAsia="es-CO"/>
              </w:rPr>
            </w:pPr>
            <w:r w:rsidRPr="00104F4B">
              <w:rPr>
                <w:rFonts w:cs="Arial"/>
                <w:sz w:val="16"/>
                <w:szCs w:val="16"/>
                <w:lang w:eastAsia="es-CO"/>
              </w:rPr>
              <w:t>26%</w:t>
            </w:r>
          </w:p>
        </w:tc>
      </w:tr>
      <w:tr w:rsidR="004700E2" w:rsidRPr="00104F4B" w:rsidTr="004700E2">
        <w:trPr>
          <w:trHeight w:val="163"/>
          <w:jc w:val="center"/>
        </w:trPr>
        <w:tc>
          <w:tcPr>
            <w:tcW w:w="2972" w:type="dxa"/>
            <w:tcBorders>
              <w:top w:val="single" w:sz="4" w:space="0" w:color="auto"/>
              <w:left w:val="single" w:sz="4" w:space="0" w:color="auto"/>
              <w:bottom w:val="single" w:sz="4" w:space="0" w:color="auto"/>
              <w:right w:val="single" w:sz="4" w:space="0" w:color="auto"/>
            </w:tcBorders>
            <w:noWrap/>
            <w:vAlign w:val="center"/>
            <w:hideMark/>
          </w:tcPr>
          <w:p w:rsidR="004700E2" w:rsidRPr="00104F4B" w:rsidRDefault="004700E2" w:rsidP="004700E2">
            <w:pPr>
              <w:rPr>
                <w:rFonts w:cs="Arial"/>
                <w:sz w:val="16"/>
                <w:szCs w:val="16"/>
                <w:lang w:eastAsia="es-CO"/>
              </w:rPr>
            </w:pPr>
            <w:r w:rsidRPr="00104F4B">
              <w:rPr>
                <w:rFonts w:cs="Arial"/>
                <w:sz w:val="16"/>
                <w:szCs w:val="16"/>
                <w:lang w:eastAsia="es-CO"/>
              </w:rPr>
              <w:t>Articulación Regional y Planeación Integral del Transporte</w:t>
            </w:r>
          </w:p>
        </w:tc>
        <w:tc>
          <w:tcPr>
            <w:tcW w:w="1382" w:type="dxa"/>
            <w:tcBorders>
              <w:top w:val="single" w:sz="4" w:space="0" w:color="auto"/>
              <w:left w:val="single" w:sz="4" w:space="0" w:color="auto"/>
              <w:bottom w:val="single" w:sz="4" w:space="0" w:color="auto"/>
              <w:right w:val="single" w:sz="4" w:space="0" w:color="auto"/>
            </w:tcBorders>
            <w:noWrap/>
            <w:vAlign w:val="center"/>
            <w:hideMark/>
          </w:tcPr>
          <w:p w:rsidR="004700E2" w:rsidRPr="00104F4B" w:rsidRDefault="004700E2" w:rsidP="004700E2">
            <w:pPr>
              <w:jc w:val="right"/>
              <w:rPr>
                <w:rFonts w:cs="Arial"/>
                <w:sz w:val="16"/>
                <w:szCs w:val="16"/>
                <w:lang w:eastAsia="es-CO"/>
              </w:rPr>
            </w:pPr>
            <w:r w:rsidRPr="00104F4B">
              <w:rPr>
                <w:rFonts w:cs="Arial"/>
                <w:sz w:val="16"/>
                <w:szCs w:val="16"/>
                <w:lang w:eastAsia="es-CO"/>
              </w:rPr>
              <w:t>768.823</w:t>
            </w:r>
          </w:p>
        </w:tc>
        <w:tc>
          <w:tcPr>
            <w:tcW w:w="1237" w:type="dxa"/>
            <w:tcBorders>
              <w:top w:val="single" w:sz="4" w:space="0" w:color="auto"/>
              <w:left w:val="single" w:sz="4" w:space="0" w:color="auto"/>
              <w:bottom w:val="single" w:sz="4" w:space="0" w:color="auto"/>
              <w:right w:val="single" w:sz="4" w:space="0" w:color="auto"/>
            </w:tcBorders>
            <w:noWrap/>
            <w:vAlign w:val="center"/>
            <w:hideMark/>
          </w:tcPr>
          <w:p w:rsidR="004700E2" w:rsidRPr="00104F4B" w:rsidRDefault="004700E2" w:rsidP="004700E2">
            <w:pPr>
              <w:jc w:val="right"/>
              <w:rPr>
                <w:rFonts w:cs="Arial"/>
                <w:sz w:val="16"/>
                <w:szCs w:val="16"/>
                <w:lang w:eastAsia="es-CO"/>
              </w:rPr>
            </w:pPr>
            <w:r w:rsidRPr="00104F4B">
              <w:rPr>
                <w:rFonts w:cs="Arial"/>
                <w:sz w:val="16"/>
                <w:szCs w:val="16"/>
                <w:lang w:eastAsia="es-CO"/>
              </w:rPr>
              <w:t>68.457</w:t>
            </w:r>
          </w:p>
        </w:tc>
        <w:tc>
          <w:tcPr>
            <w:tcW w:w="1037" w:type="dxa"/>
            <w:tcBorders>
              <w:top w:val="single" w:sz="4" w:space="0" w:color="auto"/>
              <w:left w:val="single" w:sz="4" w:space="0" w:color="auto"/>
              <w:bottom w:val="single" w:sz="4" w:space="0" w:color="auto"/>
              <w:right w:val="single" w:sz="4" w:space="0" w:color="auto"/>
            </w:tcBorders>
            <w:noWrap/>
            <w:vAlign w:val="center"/>
            <w:hideMark/>
          </w:tcPr>
          <w:p w:rsidR="004700E2" w:rsidRPr="00104F4B" w:rsidRDefault="004700E2" w:rsidP="004700E2">
            <w:pPr>
              <w:jc w:val="right"/>
              <w:rPr>
                <w:rFonts w:cs="Arial"/>
                <w:sz w:val="16"/>
                <w:szCs w:val="16"/>
                <w:lang w:eastAsia="es-CO"/>
              </w:rPr>
            </w:pPr>
            <w:r w:rsidRPr="00104F4B">
              <w:rPr>
                <w:rFonts w:cs="Arial"/>
                <w:sz w:val="16"/>
                <w:szCs w:val="16"/>
                <w:lang w:eastAsia="es-CO"/>
              </w:rPr>
              <w:t>4.011</w:t>
            </w:r>
          </w:p>
        </w:tc>
        <w:tc>
          <w:tcPr>
            <w:tcW w:w="871" w:type="dxa"/>
            <w:tcBorders>
              <w:top w:val="single" w:sz="4" w:space="0" w:color="auto"/>
              <w:left w:val="single" w:sz="4" w:space="0" w:color="auto"/>
              <w:bottom w:val="single" w:sz="4" w:space="0" w:color="auto"/>
              <w:right w:val="single" w:sz="4" w:space="0" w:color="auto"/>
            </w:tcBorders>
            <w:noWrap/>
            <w:vAlign w:val="center"/>
            <w:hideMark/>
          </w:tcPr>
          <w:p w:rsidR="004700E2" w:rsidRPr="00104F4B" w:rsidRDefault="004700E2" w:rsidP="004700E2">
            <w:pPr>
              <w:jc w:val="right"/>
              <w:rPr>
                <w:rFonts w:cs="Arial"/>
                <w:sz w:val="16"/>
                <w:szCs w:val="16"/>
                <w:lang w:eastAsia="es-CO"/>
              </w:rPr>
            </w:pPr>
            <w:r w:rsidRPr="00104F4B">
              <w:rPr>
                <w:rFonts w:cs="Arial"/>
                <w:sz w:val="16"/>
                <w:szCs w:val="16"/>
                <w:lang w:eastAsia="es-CO"/>
              </w:rPr>
              <w:t>1%</w:t>
            </w:r>
          </w:p>
        </w:tc>
        <w:tc>
          <w:tcPr>
            <w:tcW w:w="1037" w:type="dxa"/>
            <w:tcBorders>
              <w:top w:val="single" w:sz="4" w:space="0" w:color="auto"/>
              <w:left w:val="single" w:sz="4" w:space="0" w:color="auto"/>
              <w:bottom w:val="single" w:sz="4" w:space="0" w:color="auto"/>
              <w:right w:val="single" w:sz="4" w:space="0" w:color="auto"/>
            </w:tcBorders>
            <w:noWrap/>
            <w:vAlign w:val="center"/>
            <w:hideMark/>
          </w:tcPr>
          <w:p w:rsidR="004700E2" w:rsidRPr="00104F4B" w:rsidRDefault="004700E2" w:rsidP="004700E2">
            <w:pPr>
              <w:jc w:val="right"/>
              <w:rPr>
                <w:rFonts w:cs="Arial"/>
                <w:sz w:val="16"/>
                <w:szCs w:val="16"/>
                <w:lang w:eastAsia="es-CO"/>
              </w:rPr>
            </w:pPr>
            <w:r w:rsidRPr="00104F4B">
              <w:rPr>
                <w:rFonts w:cs="Arial"/>
                <w:sz w:val="16"/>
                <w:szCs w:val="16"/>
                <w:lang w:eastAsia="es-CO"/>
              </w:rPr>
              <w:t>224</w:t>
            </w:r>
          </w:p>
        </w:tc>
        <w:tc>
          <w:tcPr>
            <w:tcW w:w="867" w:type="dxa"/>
            <w:tcBorders>
              <w:top w:val="single" w:sz="4" w:space="0" w:color="auto"/>
              <w:left w:val="single" w:sz="4" w:space="0" w:color="auto"/>
              <w:bottom w:val="single" w:sz="4" w:space="0" w:color="auto"/>
              <w:right w:val="single" w:sz="4" w:space="0" w:color="auto"/>
            </w:tcBorders>
            <w:noWrap/>
            <w:vAlign w:val="center"/>
            <w:hideMark/>
          </w:tcPr>
          <w:p w:rsidR="004700E2" w:rsidRPr="00104F4B" w:rsidRDefault="004700E2" w:rsidP="004700E2">
            <w:pPr>
              <w:jc w:val="right"/>
              <w:rPr>
                <w:rFonts w:cs="Arial"/>
                <w:sz w:val="16"/>
                <w:szCs w:val="16"/>
                <w:lang w:eastAsia="es-CO"/>
              </w:rPr>
            </w:pPr>
            <w:r w:rsidRPr="00104F4B">
              <w:rPr>
                <w:rFonts w:cs="Arial"/>
                <w:sz w:val="16"/>
                <w:szCs w:val="16"/>
                <w:lang w:eastAsia="es-CO"/>
              </w:rPr>
              <w:t>0%</w:t>
            </w:r>
          </w:p>
        </w:tc>
      </w:tr>
      <w:tr w:rsidR="004700E2" w:rsidRPr="00104F4B" w:rsidTr="004700E2">
        <w:trPr>
          <w:trHeight w:val="163"/>
          <w:jc w:val="center"/>
        </w:trPr>
        <w:tc>
          <w:tcPr>
            <w:tcW w:w="2972" w:type="dxa"/>
            <w:tcBorders>
              <w:top w:val="single" w:sz="4" w:space="0" w:color="auto"/>
              <w:left w:val="single" w:sz="4" w:space="0" w:color="auto"/>
              <w:bottom w:val="single" w:sz="4" w:space="0" w:color="auto"/>
              <w:right w:val="single" w:sz="4" w:space="0" w:color="auto"/>
            </w:tcBorders>
            <w:noWrap/>
            <w:vAlign w:val="center"/>
            <w:hideMark/>
          </w:tcPr>
          <w:p w:rsidR="004700E2" w:rsidRPr="00104F4B" w:rsidRDefault="004700E2" w:rsidP="004700E2">
            <w:pPr>
              <w:rPr>
                <w:rFonts w:cs="Arial"/>
                <w:sz w:val="16"/>
                <w:szCs w:val="16"/>
                <w:lang w:eastAsia="es-CO"/>
              </w:rPr>
            </w:pPr>
            <w:r w:rsidRPr="00104F4B">
              <w:rPr>
                <w:rFonts w:cs="Arial"/>
                <w:sz w:val="16"/>
                <w:szCs w:val="16"/>
                <w:lang w:eastAsia="es-CO"/>
              </w:rPr>
              <w:t>Modernización Física</w:t>
            </w:r>
          </w:p>
        </w:tc>
        <w:tc>
          <w:tcPr>
            <w:tcW w:w="1382" w:type="dxa"/>
            <w:tcBorders>
              <w:top w:val="single" w:sz="4" w:space="0" w:color="auto"/>
              <w:left w:val="single" w:sz="4" w:space="0" w:color="auto"/>
              <w:bottom w:val="single" w:sz="4" w:space="0" w:color="auto"/>
              <w:right w:val="single" w:sz="4" w:space="0" w:color="auto"/>
            </w:tcBorders>
            <w:noWrap/>
            <w:vAlign w:val="center"/>
            <w:hideMark/>
          </w:tcPr>
          <w:p w:rsidR="004700E2" w:rsidRPr="00104F4B" w:rsidRDefault="004700E2" w:rsidP="004700E2">
            <w:pPr>
              <w:jc w:val="right"/>
              <w:rPr>
                <w:rFonts w:cs="Arial"/>
                <w:sz w:val="16"/>
                <w:szCs w:val="16"/>
                <w:lang w:eastAsia="es-CO"/>
              </w:rPr>
            </w:pPr>
            <w:r w:rsidRPr="00104F4B">
              <w:rPr>
                <w:rFonts w:cs="Arial"/>
                <w:sz w:val="16"/>
                <w:szCs w:val="16"/>
                <w:lang w:eastAsia="es-CO"/>
              </w:rPr>
              <w:t>108.898</w:t>
            </w:r>
          </w:p>
        </w:tc>
        <w:tc>
          <w:tcPr>
            <w:tcW w:w="1237" w:type="dxa"/>
            <w:tcBorders>
              <w:top w:val="single" w:sz="4" w:space="0" w:color="auto"/>
              <w:left w:val="single" w:sz="4" w:space="0" w:color="auto"/>
              <w:bottom w:val="single" w:sz="4" w:space="0" w:color="auto"/>
              <w:right w:val="single" w:sz="4" w:space="0" w:color="auto"/>
            </w:tcBorders>
            <w:noWrap/>
            <w:vAlign w:val="center"/>
            <w:hideMark/>
          </w:tcPr>
          <w:p w:rsidR="004700E2" w:rsidRPr="00104F4B" w:rsidRDefault="004700E2" w:rsidP="004700E2">
            <w:pPr>
              <w:jc w:val="right"/>
              <w:rPr>
                <w:rFonts w:cs="Arial"/>
                <w:sz w:val="16"/>
                <w:szCs w:val="16"/>
                <w:lang w:eastAsia="es-CO"/>
              </w:rPr>
            </w:pPr>
            <w:r w:rsidRPr="00104F4B">
              <w:rPr>
                <w:rFonts w:cs="Arial"/>
                <w:sz w:val="16"/>
                <w:szCs w:val="16"/>
                <w:lang w:eastAsia="es-CO"/>
              </w:rPr>
              <w:t>105.355</w:t>
            </w:r>
          </w:p>
        </w:tc>
        <w:tc>
          <w:tcPr>
            <w:tcW w:w="1037" w:type="dxa"/>
            <w:tcBorders>
              <w:top w:val="single" w:sz="4" w:space="0" w:color="auto"/>
              <w:left w:val="single" w:sz="4" w:space="0" w:color="auto"/>
              <w:bottom w:val="single" w:sz="4" w:space="0" w:color="auto"/>
              <w:right w:val="single" w:sz="4" w:space="0" w:color="auto"/>
            </w:tcBorders>
            <w:noWrap/>
            <w:vAlign w:val="center"/>
            <w:hideMark/>
          </w:tcPr>
          <w:p w:rsidR="004700E2" w:rsidRPr="00104F4B" w:rsidRDefault="004700E2" w:rsidP="004700E2">
            <w:pPr>
              <w:jc w:val="right"/>
              <w:rPr>
                <w:rFonts w:cs="Arial"/>
                <w:sz w:val="16"/>
                <w:szCs w:val="16"/>
                <w:lang w:eastAsia="es-CO"/>
              </w:rPr>
            </w:pPr>
            <w:r w:rsidRPr="00104F4B">
              <w:rPr>
                <w:rFonts w:cs="Arial"/>
                <w:sz w:val="16"/>
                <w:szCs w:val="16"/>
                <w:lang w:eastAsia="es-CO"/>
              </w:rPr>
              <w:t>103.743</w:t>
            </w:r>
          </w:p>
        </w:tc>
        <w:tc>
          <w:tcPr>
            <w:tcW w:w="871" w:type="dxa"/>
            <w:tcBorders>
              <w:top w:val="single" w:sz="4" w:space="0" w:color="auto"/>
              <w:left w:val="single" w:sz="4" w:space="0" w:color="auto"/>
              <w:bottom w:val="single" w:sz="4" w:space="0" w:color="auto"/>
              <w:right w:val="single" w:sz="4" w:space="0" w:color="auto"/>
            </w:tcBorders>
            <w:noWrap/>
            <w:vAlign w:val="center"/>
            <w:hideMark/>
          </w:tcPr>
          <w:p w:rsidR="004700E2" w:rsidRPr="00104F4B" w:rsidRDefault="004700E2" w:rsidP="004700E2">
            <w:pPr>
              <w:jc w:val="right"/>
              <w:rPr>
                <w:rFonts w:cs="Arial"/>
                <w:sz w:val="16"/>
                <w:szCs w:val="16"/>
                <w:lang w:eastAsia="es-CO"/>
              </w:rPr>
            </w:pPr>
            <w:r w:rsidRPr="00104F4B">
              <w:rPr>
                <w:rFonts w:cs="Arial"/>
                <w:sz w:val="16"/>
                <w:szCs w:val="16"/>
                <w:lang w:eastAsia="es-CO"/>
              </w:rPr>
              <w:t>95%</w:t>
            </w:r>
          </w:p>
        </w:tc>
        <w:tc>
          <w:tcPr>
            <w:tcW w:w="1037" w:type="dxa"/>
            <w:tcBorders>
              <w:top w:val="single" w:sz="4" w:space="0" w:color="auto"/>
              <w:left w:val="single" w:sz="4" w:space="0" w:color="auto"/>
              <w:bottom w:val="single" w:sz="4" w:space="0" w:color="auto"/>
              <w:right w:val="single" w:sz="4" w:space="0" w:color="auto"/>
            </w:tcBorders>
            <w:noWrap/>
            <w:vAlign w:val="center"/>
            <w:hideMark/>
          </w:tcPr>
          <w:p w:rsidR="004700E2" w:rsidRPr="00104F4B" w:rsidRDefault="004700E2" w:rsidP="004700E2">
            <w:pPr>
              <w:jc w:val="right"/>
              <w:rPr>
                <w:rFonts w:cs="Arial"/>
                <w:sz w:val="16"/>
                <w:szCs w:val="16"/>
                <w:lang w:eastAsia="es-CO"/>
              </w:rPr>
            </w:pPr>
            <w:r w:rsidRPr="00104F4B">
              <w:rPr>
                <w:rFonts w:cs="Arial"/>
                <w:sz w:val="16"/>
                <w:szCs w:val="16"/>
                <w:lang w:eastAsia="es-CO"/>
              </w:rPr>
              <w:t>90.027</w:t>
            </w:r>
          </w:p>
        </w:tc>
        <w:tc>
          <w:tcPr>
            <w:tcW w:w="867" w:type="dxa"/>
            <w:tcBorders>
              <w:top w:val="single" w:sz="4" w:space="0" w:color="auto"/>
              <w:left w:val="single" w:sz="4" w:space="0" w:color="auto"/>
              <w:bottom w:val="single" w:sz="4" w:space="0" w:color="auto"/>
              <w:right w:val="single" w:sz="4" w:space="0" w:color="auto"/>
            </w:tcBorders>
            <w:noWrap/>
            <w:vAlign w:val="center"/>
            <w:hideMark/>
          </w:tcPr>
          <w:p w:rsidR="004700E2" w:rsidRPr="00104F4B" w:rsidRDefault="004700E2" w:rsidP="004700E2">
            <w:pPr>
              <w:jc w:val="right"/>
              <w:rPr>
                <w:rFonts w:cs="Arial"/>
                <w:sz w:val="16"/>
                <w:szCs w:val="16"/>
                <w:lang w:eastAsia="es-CO"/>
              </w:rPr>
            </w:pPr>
            <w:r w:rsidRPr="00104F4B">
              <w:rPr>
                <w:rFonts w:cs="Arial"/>
                <w:sz w:val="16"/>
                <w:szCs w:val="16"/>
                <w:lang w:eastAsia="es-CO"/>
              </w:rPr>
              <w:t>83%</w:t>
            </w:r>
          </w:p>
        </w:tc>
      </w:tr>
      <w:tr w:rsidR="004700E2" w:rsidRPr="00104F4B" w:rsidTr="004700E2">
        <w:trPr>
          <w:trHeight w:val="163"/>
          <w:jc w:val="center"/>
        </w:trPr>
        <w:tc>
          <w:tcPr>
            <w:tcW w:w="2972" w:type="dxa"/>
            <w:tcBorders>
              <w:top w:val="single" w:sz="4" w:space="0" w:color="auto"/>
              <w:left w:val="single" w:sz="4" w:space="0" w:color="auto"/>
              <w:bottom w:val="single" w:sz="4" w:space="0" w:color="auto"/>
              <w:right w:val="single" w:sz="4" w:space="0" w:color="auto"/>
            </w:tcBorders>
            <w:noWrap/>
            <w:vAlign w:val="center"/>
          </w:tcPr>
          <w:p w:rsidR="004700E2" w:rsidRPr="00104F4B" w:rsidRDefault="004700E2" w:rsidP="004700E2">
            <w:pPr>
              <w:rPr>
                <w:rFonts w:cs="Arial"/>
                <w:sz w:val="16"/>
                <w:szCs w:val="16"/>
                <w:lang w:eastAsia="es-CO"/>
              </w:rPr>
            </w:pPr>
            <w:r w:rsidRPr="00104F4B">
              <w:rPr>
                <w:rFonts w:cs="Arial"/>
                <w:sz w:val="16"/>
                <w:szCs w:val="16"/>
                <w:lang w:eastAsia="es-CO"/>
              </w:rPr>
              <w:t>Total general</w:t>
            </w:r>
          </w:p>
        </w:tc>
        <w:tc>
          <w:tcPr>
            <w:tcW w:w="1382" w:type="dxa"/>
            <w:tcBorders>
              <w:top w:val="single" w:sz="4" w:space="0" w:color="auto"/>
              <w:left w:val="single" w:sz="4" w:space="0" w:color="auto"/>
              <w:bottom w:val="single" w:sz="4" w:space="0" w:color="auto"/>
              <w:right w:val="single" w:sz="4" w:space="0" w:color="auto"/>
            </w:tcBorders>
            <w:noWrap/>
            <w:vAlign w:val="center"/>
          </w:tcPr>
          <w:p w:rsidR="004700E2" w:rsidRPr="00104F4B" w:rsidRDefault="004700E2" w:rsidP="004700E2">
            <w:pPr>
              <w:jc w:val="right"/>
              <w:rPr>
                <w:rFonts w:cs="Arial"/>
                <w:sz w:val="16"/>
                <w:szCs w:val="16"/>
                <w:lang w:eastAsia="es-CO"/>
              </w:rPr>
            </w:pPr>
            <w:r w:rsidRPr="00104F4B">
              <w:rPr>
                <w:rFonts w:cs="Arial"/>
                <w:b/>
                <w:bCs/>
                <w:sz w:val="16"/>
                <w:szCs w:val="16"/>
                <w:lang w:eastAsia="es-CO"/>
              </w:rPr>
              <w:t>1.989.427</w:t>
            </w:r>
          </w:p>
        </w:tc>
        <w:tc>
          <w:tcPr>
            <w:tcW w:w="1237" w:type="dxa"/>
            <w:tcBorders>
              <w:top w:val="single" w:sz="4" w:space="0" w:color="auto"/>
              <w:left w:val="single" w:sz="4" w:space="0" w:color="auto"/>
              <w:bottom w:val="single" w:sz="4" w:space="0" w:color="auto"/>
              <w:right w:val="single" w:sz="4" w:space="0" w:color="auto"/>
            </w:tcBorders>
            <w:noWrap/>
            <w:vAlign w:val="center"/>
          </w:tcPr>
          <w:p w:rsidR="004700E2" w:rsidRPr="00104F4B" w:rsidRDefault="004700E2" w:rsidP="004700E2">
            <w:pPr>
              <w:jc w:val="right"/>
              <w:rPr>
                <w:rFonts w:cs="Arial"/>
                <w:sz w:val="16"/>
                <w:szCs w:val="16"/>
                <w:lang w:eastAsia="es-CO"/>
              </w:rPr>
            </w:pPr>
            <w:r w:rsidRPr="00104F4B">
              <w:rPr>
                <w:rFonts w:cs="Arial"/>
                <w:b/>
                <w:bCs/>
                <w:sz w:val="16"/>
                <w:szCs w:val="16"/>
                <w:lang w:eastAsia="es-CO"/>
              </w:rPr>
              <w:t>1.221.080</w:t>
            </w:r>
          </w:p>
        </w:tc>
        <w:tc>
          <w:tcPr>
            <w:tcW w:w="1037" w:type="dxa"/>
            <w:tcBorders>
              <w:top w:val="single" w:sz="4" w:space="0" w:color="auto"/>
              <w:left w:val="single" w:sz="4" w:space="0" w:color="auto"/>
              <w:bottom w:val="single" w:sz="4" w:space="0" w:color="auto"/>
              <w:right w:val="single" w:sz="4" w:space="0" w:color="auto"/>
            </w:tcBorders>
            <w:noWrap/>
            <w:vAlign w:val="center"/>
          </w:tcPr>
          <w:p w:rsidR="004700E2" w:rsidRPr="00104F4B" w:rsidRDefault="004700E2" w:rsidP="004700E2">
            <w:pPr>
              <w:jc w:val="right"/>
              <w:rPr>
                <w:rFonts w:cs="Arial"/>
                <w:sz w:val="16"/>
                <w:szCs w:val="16"/>
                <w:lang w:eastAsia="es-CO"/>
              </w:rPr>
            </w:pPr>
            <w:r w:rsidRPr="00104F4B">
              <w:rPr>
                <w:rFonts w:cs="Arial"/>
                <w:b/>
                <w:bCs/>
                <w:sz w:val="16"/>
                <w:szCs w:val="16"/>
                <w:lang w:eastAsia="es-CO"/>
              </w:rPr>
              <w:t>955.710</w:t>
            </w:r>
          </w:p>
        </w:tc>
        <w:tc>
          <w:tcPr>
            <w:tcW w:w="871" w:type="dxa"/>
            <w:tcBorders>
              <w:top w:val="single" w:sz="4" w:space="0" w:color="auto"/>
              <w:left w:val="single" w:sz="4" w:space="0" w:color="auto"/>
              <w:bottom w:val="single" w:sz="4" w:space="0" w:color="auto"/>
              <w:right w:val="single" w:sz="4" w:space="0" w:color="auto"/>
            </w:tcBorders>
            <w:noWrap/>
            <w:vAlign w:val="center"/>
          </w:tcPr>
          <w:p w:rsidR="004700E2" w:rsidRPr="00104F4B" w:rsidRDefault="004700E2" w:rsidP="004700E2">
            <w:pPr>
              <w:jc w:val="right"/>
              <w:rPr>
                <w:rFonts w:cs="Arial"/>
                <w:sz w:val="16"/>
                <w:szCs w:val="16"/>
                <w:lang w:eastAsia="es-CO"/>
              </w:rPr>
            </w:pPr>
            <w:r w:rsidRPr="00104F4B">
              <w:rPr>
                <w:rFonts w:cs="Arial"/>
                <w:b/>
                <w:bCs/>
                <w:sz w:val="16"/>
                <w:szCs w:val="16"/>
                <w:lang w:eastAsia="es-CO"/>
              </w:rPr>
              <w:t>406%</w:t>
            </w:r>
          </w:p>
        </w:tc>
        <w:tc>
          <w:tcPr>
            <w:tcW w:w="1037" w:type="dxa"/>
            <w:tcBorders>
              <w:top w:val="single" w:sz="4" w:space="0" w:color="auto"/>
              <w:left w:val="single" w:sz="4" w:space="0" w:color="auto"/>
              <w:bottom w:val="single" w:sz="4" w:space="0" w:color="auto"/>
              <w:right w:val="single" w:sz="4" w:space="0" w:color="auto"/>
            </w:tcBorders>
            <w:noWrap/>
            <w:vAlign w:val="center"/>
          </w:tcPr>
          <w:p w:rsidR="004700E2" w:rsidRPr="00104F4B" w:rsidRDefault="004700E2" w:rsidP="004700E2">
            <w:pPr>
              <w:jc w:val="right"/>
              <w:rPr>
                <w:rFonts w:cs="Arial"/>
                <w:sz w:val="16"/>
                <w:szCs w:val="16"/>
                <w:lang w:eastAsia="es-CO"/>
              </w:rPr>
            </w:pPr>
            <w:r w:rsidRPr="00104F4B">
              <w:rPr>
                <w:rFonts w:cs="Arial"/>
                <w:b/>
                <w:bCs/>
                <w:sz w:val="16"/>
                <w:szCs w:val="16"/>
                <w:lang w:eastAsia="es-CO"/>
              </w:rPr>
              <w:t>364.125</w:t>
            </w:r>
          </w:p>
        </w:tc>
        <w:tc>
          <w:tcPr>
            <w:tcW w:w="867" w:type="dxa"/>
            <w:tcBorders>
              <w:top w:val="single" w:sz="4" w:space="0" w:color="auto"/>
              <w:left w:val="single" w:sz="4" w:space="0" w:color="auto"/>
              <w:bottom w:val="single" w:sz="4" w:space="0" w:color="auto"/>
              <w:right w:val="single" w:sz="4" w:space="0" w:color="auto"/>
            </w:tcBorders>
            <w:noWrap/>
            <w:vAlign w:val="center"/>
          </w:tcPr>
          <w:p w:rsidR="004700E2" w:rsidRPr="00104F4B" w:rsidRDefault="004700E2" w:rsidP="004700E2">
            <w:pPr>
              <w:jc w:val="right"/>
              <w:rPr>
                <w:rFonts w:cs="Arial"/>
                <w:sz w:val="16"/>
                <w:szCs w:val="16"/>
                <w:lang w:eastAsia="es-CO"/>
              </w:rPr>
            </w:pPr>
            <w:r w:rsidRPr="00104F4B">
              <w:rPr>
                <w:rFonts w:cs="Arial"/>
                <w:sz w:val="16"/>
                <w:szCs w:val="16"/>
                <w:lang w:eastAsia="es-CO"/>
              </w:rPr>
              <w:t>18%</w:t>
            </w:r>
          </w:p>
        </w:tc>
      </w:tr>
    </w:tbl>
    <w:p w:rsidR="004700E2" w:rsidRPr="00104F4B" w:rsidRDefault="004700E2" w:rsidP="004700E2">
      <w:pPr>
        <w:rPr>
          <w:rFonts w:cs="Arial"/>
          <w:sz w:val="16"/>
          <w:szCs w:val="16"/>
          <w:lang w:eastAsia="es-CO"/>
        </w:rPr>
      </w:pPr>
      <w:r w:rsidRPr="00104F4B">
        <w:rPr>
          <w:rFonts w:cs="Arial"/>
          <w:sz w:val="16"/>
          <w:szCs w:val="16"/>
          <w:lang w:eastAsia="es-CO"/>
        </w:rPr>
        <w:t>Fuente: Ejecución de Gastos STONE – diciembre 31 de 2018. Cifras en Millones de Pesos</w:t>
      </w:r>
    </w:p>
    <w:p w:rsidR="004700E2" w:rsidRPr="00104F4B" w:rsidRDefault="004700E2" w:rsidP="004700E2">
      <w:pPr>
        <w:rPr>
          <w:rFonts w:cs="Arial"/>
          <w:szCs w:val="22"/>
          <w:lang w:eastAsia="es-CO"/>
        </w:rPr>
      </w:pPr>
      <w:r w:rsidRPr="00104F4B">
        <w:rPr>
          <w:rFonts w:cs="Arial"/>
          <w:szCs w:val="22"/>
          <w:lang w:eastAsia="es-CO"/>
        </w:rPr>
        <w:t>A 31 de diciembre de 2017, se constituyeron reservas presupuestales por $677.004 millones, al corte del 31 de diciembre de 2018, se realizaron giros presupuestales por valor de $359.413 millones y liberaciones por $4.978 millones, para un nivel de ejecución del 53,48%.</w:t>
      </w:r>
    </w:p>
    <w:p w:rsidR="004700E2" w:rsidRPr="00104F4B" w:rsidRDefault="004700E2" w:rsidP="004700E2">
      <w:pPr>
        <w:rPr>
          <w:rFonts w:cs="Arial"/>
          <w:b/>
          <w:szCs w:val="22"/>
          <w:lang w:eastAsia="es-CO"/>
        </w:rPr>
      </w:pPr>
    </w:p>
    <w:p w:rsidR="004700E2" w:rsidRPr="007C5EDF" w:rsidRDefault="004700E2" w:rsidP="00582748">
      <w:pPr>
        <w:pStyle w:val="Prrafodelista"/>
        <w:numPr>
          <w:ilvl w:val="0"/>
          <w:numId w:val="71"/>
        </w:numPr>
        <w:spacing w:before="0"/>
        <w:ind w:left="426" w:hanging="426"/>
        <w:contextualSpacing/>
        <w:rPr>
          <w:rFonts w:ascii="Arial" w:hAnsi="Arial" w:cs="Arial"/>
          <w:b/>
        </w:rPr>
      </w:pPr>
      <w:r w:rsidRPr="00104F4B">
        <w:rPr>
          <w:rFonts w:ascii="Arial" w:hAnsi="Arial" w:cs="Arial"/>
          <w:b/>
        </w:rPr>
        <w:t>Pasivos Exigibles</w:t>
      </w:r>
      <w:r w:rsidR="007C5EDF">
        <w:rPr>
          <w:rFonts w:ascii="Arial" w:hAnsi="Arial" w:cs="Arial"/>
          <w:b/>
        </w:rPr>
        <w:t xml:space="preserve">: </w:t>
      </w:r>
      <w:r w:rsidRPr="007C5EDF">
        <w:rPr>
          <w:rFonts w:ascii="Arial" w:hAnsi="Arial" w:cs="Arial"/>
        </w:rPr>
        <w:t>En cuanto a los pasivos exigibles, la Entidad contó con una apropiación presupuestal para atender los compromisos, por valor de $426.463 millones; a 31 de diciembre de 2018 se giraron recursos por $135.609 millones, para un nivel de ejecución del 31,80%.</w:t>
      </w:r>
    </w:p>
    <w:p w:rsidR="004700E2" w:rsidRPr="00104F4B" w:rsidRDefault="004700E2" w:rsidP="00582748">
      <w:pPr>
        <w:pStyle w:val="Prrafodelista"/>
        <w:numPr>
          <w:ilvl w:val="0"/>
          <w:numId w:val="71"/>
        </w:numPr>
        <w:spacing w:before="0"/>
        <w:ind w:left="426" w:hanging="426"/>
        <w:contextualSpacing/>
        <w:rPr>
          <w:rFonts w:ascii="Arial" w:hAnsi="Arial" w:cs="Arial"/>
        </w:rPr>
      </w:pPr>
      <w:r w:rsidRPr="00104F4B">
        <w:rPr>
          <w:rFonts w:ascii="Arial" w:hAnsi="Arial" w:cs="Arial"/>
          <w:b/>
        </w:rPr>
        <w:t xml:space="preserve">Recursos del Sistema General de Regalías: </w:t>
      </w:r>
      <w:r w:rsidRPr="00104F4B">
        <w:rPr>
          <w:rFonts w:ascii="Arial" w:hAnsi="Arial" w:cs="Arial"/>
        </w:rPr>
        <w:t>Al Instituto de Desarrollo Urbano le fueron aprobados recursos por $127.125 millones provenientes del Sistema General de Regalías para el bienio 2017-2018; a 31 de diciembre de 2018, se ejecutaron recursos por $84.613 millones.</w:t>
      </w:r>
    </w:p>
    <w:p w:rsidR="004700E2" w:rsidRPr="00104F4B" w:rsidRDefault="004700E2" w:rsidP="00582748">
      <w:pPr>
        <w:pStyle w:val="Prrafodelista"/>
        <w:numPr>
          <w:ilvl w:val="0"/>
          <w:numId w:val="71"/>
        </w:numPr>
        <w:spacing w:before="0"/>
        <w:ind w:left="426" w:hanging="426"/>
        <w:contextualSpacing/>
        <w:rPr>
          <w:rFonts w:ascii="Arial" w:hAnsi="Arial" w:cs="Arial"/>
        </w:rPr>
      </w:pPr>
      <w:r w:rsidRPr="00104F4B">
        <w:rPr>
          <w:rFonts w:ascii="Arial" w:hAnsi="Arial" w:cs="Arial"/>
          <w:b/>
        </w:rPr>
        <w:t xml:space="preserve">Vigencias Futuras: </w:t>
      </w:r>
      <w:r w:rsidRPr="00104F4B">
        <w:rPr>
          <w:rFonts w:ascii="Arial" w:hAnsi="Arial" w:cs="Arial"/>
        </w:rPr>
        <w:t>Mediante Decreto No. 657 de 2016, expedido por el Alcalde Mayor, fueron autorizadas vigencias futuras por $612.709 millones para ejecutar en los años 2018 y 2019; a 31 de diciembre de 2018, se comprometieron recursos por $451.613 millones, de los cuales $304.763 millones corresponden a la vigencia 2018 y $146.850 millones a la de 2019.</w:t>
      </w:r>
    </w:p>
    <w:p w:rsidR="004700E2" w:rsidRPr="00104F4B" w:rsidRDefault="004700E2" w:rsidP="00AA4DDC">
      <w:pPr>
        <w:contextualSpacing/>
        <w:rPr>
          <w:rFonts w:cs="Arial"/>
          <w:szCs w:val="22"/>
          <w:lang w:eastAsia="es-CO"/>
        </w:rPr>
      </w:pPr>
    </w:p>
    <w:p w:rsidR="004700E2" w:rsidRPr="00104F4B" w:rsidRDefault="004700E2" w:rsidP="00AA4DDC">
      <w:pPr>
        <w:contextualSpacing/>
        <w:rPr>
          <w:rFonts w:cs="Arial"/>
          <w:szCs w:val="22"/>
          <w:lang w:eastAsia="es-CO"/>
        </w:rPr>
      </w:pPr>
      <w:r w:rsidRPr="00104F4B">
        <w:rPr>
          <w:rFonts w:cs="Arial"/>
          <w:szCs w:val="22"/>
          <w:lang w:eastAsia="es-CO"/>
        </w:rPr>
        <w:t>De otra parte, mediante Decreto No. 816 de 2017, expedido por el Alcalde Mayor, fueron autorizadas vigencias futuras por $636.548 millones para ejecutar en el año 2019; a 31 de diciembre de 2018, se ejecutaron recursos por $636.198 millones.</w:t>
      </w:r>
    </w:p>
    <w:p w:rsidR="004700E2" w:rsidRPr="00104F4B" w:rsidRDefault="004700E2" w:rsidP="00AA4DDC">
      <w:pPr>
        <w:pStyle w:val="Prrafodelista"/>
        <w:ind w:left="0"/>
        <w:rPr>
          <w:rFonts w:ascii="Arial" w:hAnsi="Arial" w:cs="Arial"/>
        </w:rPr>
      </w:pPr>
      <w:r w:rsidRPr="00104F4B">
        <w:rPr>
          <w:rFonts w:ascii="Arial" w:hAnsi="Arial" w:cs="Arial"/>
          <w:b/>
        </w:rPr>
        <w:t xml:space="preserve">Liquidación de Obligaciones Urbanísticas: </w:t>
      </w:r>
      <w:r w:rsidRPr="00104F4B">
        <w:rPr>
          <w:rFonts w:ascii="Arial" w:hAnsi="Arial" w:cs="Arial"/>
        </w:rPr>
        <w:t xml:space="preserve">En la vigencia de 2018, se expidieron 8 Resoluciones, de las cuales 5 corresponden a liquidación de obligaciones y 3 a declaraciones de pérdida de fuerza ejecutoria. El saldo acumulado más los rendimientos financieros a diciembre 31 de 2018, asciende a la suma de $164.709 millones. </w:t>
      </w:r>
    </w:p>
    <w:p w:rsidR="004700E2" w:rsidRPr="00104F4B" w:rsidRDefault="004700E2" w:rsidP="00AA4DDC">
      <w:pPr>
        <w:pStyle w:val="Prrafodelista"/>
        <w:ind w:left="0"/>
        <w:rPr>
          <w:rFonts w:ascii="Arial" w:hAnsi="Arial" w:cs="Arial"/>
        </w:rPr>
      </w:pPr>
      <w:r w:rsidRPr="00104F4B">
        <w:rPr>
          <w:rFonts w:ascii="Arial" w:hAnsi="Arial" w:cs="Arial"/>
          <w:b/>
        </w:rPr>
        <w:t xml:space="preserve">Pago Compensatorio de Estacionamientos: </w:t>
      </w:r>
      <w:r w:rsidRPr="00104F4B">
        <w:rPr>
          <w:rFonts w:ascii="Arial" w:hAnsi="Arial" w:cs="Arial"/>
        </w:rPr>
        <w:t xml:space="preserve">En la vigencia de 2018, se expidieron 37 Resoluciones, 26 para liquidar pagos compensatorios y 11 para declarar la pérdida de fuerza </w:t>
      </w:r>
      <w:r w:rsidRPr="00104F4B">
        <w:rPr>
          <w:rFonts w:ascii="Arial" w:hAnsi="Arial" w:cs="Arial"/>
        </w:rPr>
        <w:lastRenderedPageBreak/>
        <w:t>ejecutoria. El saldo acumulado más los rendimientos financieros a diciembre 31 de 2018 asciende a la suma de $49.644 millones.</w:t>
      </w:r>
    </w:p>
    <w:p w:rsidR="004700E2" w:rsidRPr="00104F4B" w:rsidRDefault="004700E2" w:rsidP="00AA4DDC">
      <w:pPr>
        <w:pStyle w:val="Prrafodelista"/>
        <w:ind w:left="0"/>
        <w:rPr>
          <w:rFonts w:ascii="Arial" w:hAnsi="Arial" w:cs="Arial"/>
        </w:rPr>
      </w:pPr>
      <w:r w:rsidRPr="00104F4B">
        <w:rPr>
          <w:rFonts w:ascii="Arial" w:hAnsi="Arial" w:cs="Arial"/>
          <w:b/>
        </w:rPr>
        <w:t xml:space="preserve">Normas Internacionales de Contabilidad para el Sector Público –NICSP: </w:t>
      </w:r>
      <w:r w:rsidRPr="00104F4B">
        <w:rPr>
          <w:rFonts w:ascii="Arial" w:hAnsi="Arial" w:cs="Arial"/>
        </w:rPr>
        <w:t>En desarrollo a las actividades contempladas en el plan de acción y para dar cumplimiento a la preparación para la implementación y aplicación, de la normatividad basada en Normas Internacionales de Contabilidad para el Sector Público - NICSP establecidas en la Resolución 533 de 2015 de la Contaduría General de la Nación, se desarrollaron las actividades previstas en las fases de diagnóstico y ejecución, las cuales culminaron con éxito el 31 de diciembre de 2017.</w:t>
      </w:r>
    </w:p>
    <w:p w:rsidR="004700E2" w:rsidRPr="00104F4B" w:rsidRDefault="004700E2" w:rsidP="00AA4DDC">
      <w:pPr>
        <w:rPr>
          <w:rFonts w:cs="Arial"/>
          <w:szCs w:val="22"/>
        </w:rPr>
      </w:pPr>
      <w:r w:rsidRPr="00104F4B">
        <w:rPr>
          <w:rFonts w:cs="Arial"/>
          <w:szCs w:val="22"/>
        </w:rPr>
        <w:t>A partir de la determinación de saldos iniciales en el aplicativo administrativo y financiero de la Entidad, se inició el primer período de aplicación, del 1 de enero de 2018 y hasta la fecha del presente informe.</w:t>
      </w:r>
    </w:p>
    <w:p w:rsidR="004700E2" w:rsidRPr="00104F4B" w:rsidRDefault="004700E2" w:rsidP="00AA4DDC">
      <w:pPr>
        <w:suppressAutoHyphens/>
        <w:rPr>
          <w:rFonts w:cs="Arial"/>
          <w:szCs w:val="22"/>
        </w:rPr>
      </w:pPr>
      <w:r w:rsidRPr="00104F4B">
        <w:rPr>
          <w:rFonts w:cs="Arial"/>
          <w:szCs w:val="22"/>
        </w:rPr>
        <w:t>Así mismo, se desarrollaron las actividades definidas para la depuración de cuentas contables, parametrización, actualización y adaptación de aplicativos y procedimientos; a su vez se realizó la expedición del Manual de Políticas Contables del IDU.</w:t>
      </w:r>
    </w:p>
    <w:p w:rsidR="004700E2" w:rsidRPr="00104F4B" w:rsidRDefault="004700E2" w:rsidP="00AA4DDC">
      <w:pPr>
        <w:pStyle w:val="Prrafodelista"/>
        <w:ind w:left="0"/>
        <w:rPr>
          <w:rFonts w:ascii="Arial" w:hAnsi="Arial" w:cs="Arial"/>
          <w:bCs/>
        </w:rPr>
      </w:pPr>
      <w:r w:rsidRPr="00104F4B">
        <w:rPr>
          <w:rFonts w:ascii="Arial" w:hAnsi="Arial" w:cs="Arial"/>
          <w:b/>
        </w:rPr>
        <w:t xml:space="preserve">Estados Financieros: </w:t>
      </w:r>
      <w:r w:rsidRPr="00104F4B">
        <w:rPr>
          <w:rFonts w:ascii="Arial" w:hAnsi="Arial" w:cs="Arial"/>
        </w:rPr>
        <w:t>Se elaboraron los estados financieros y los cierres contables en forma mensual,</w:t>
      </w:r>
      <w:r w:rsidRPr="00104F4B">
        <w:rPr>
          <w:rFonts w:ascii="Arial" w:hAnsi="Arial" w:cs="Arial"/>
          <w:bCs/>
        </w:rPr>
        <w:t xml:space="preserve"> los cuales se publicaron en la página web de la Entidad; el último </w:t>
      </w:r>
      <w:r w:rsidRPr="00104F4B">
        <w:rPr>
          <w:rFonts w:ascii="Arial" w:hAnsi="Arial" w:cs="Arial"/>
        </w:rPr>
        <w:t xml:space="preserve">informe que se encuentra publicado corresponde noviembre de 2018, el informe contable de cierre de vigencia </w:t>
      </w:r>
      <w:r w:rsidRPr="00104F4B">
        <w:rPr>
          <w:rFonts w:ascii="Arial" w:hAnsi="Arial" w:cs="Arial"/>
          <w:bCs/>
        </w:rPr>
        <w:t>con corte a diciembre 31 de 2018, se encuentra en proceso de elaboración.</w:t>
      </w:r>
    </w:p>
    <w:p w:rsidR="00AA4DDC" w:rsidRPr="00104F4B" w:rsidRDefault="00AA4DDC" w:rsidP="00AA4DDC">
      <w:pPr>
        <w:pStyle w:val="NormalWeb"/>
        <w:spacing w:before="0" w:beforeAutospacing="0" w:after="0" w:afterAutospacing="0"/>
        <w:contextualSpacing/>
        <w:rPr>
          <w:rFonts w:cs="Arial"/>
          <w:bCs/>
          <w:szCs w:val="22"/>
        </w:rPr>
      </w:pPr>
    </w:p>
    <w:p w:rsidR="004700E2" w:rsidRPr="00104F4B" w:rsidRDefault="004700E2" w:rsidP="00AA4DDC">
      <w:pPr>
        <w:pStyle w:val="NormalWeb"/>
        <w:spacing w:before="0" w:beforeAutospacing="0" w:after="0" w:afterAutospacing="0"/>
        <w:contextualSpacing/>
        <w:rPr>
          <w:rFonts w:cs="Arial"/>
          <w:szCs w:val="22"/>
        </w:rPr>
      </w:pPr>
      <w:r w:rsidRPr="00104F4B">
        <w:rPr>
          <w:rFonts w:cs="Arial"/>
          <w:bCs/>
          <w:szCs w:val="22"/>
        </w:rPr>
        <w:t>Así mismo, atendiendo los lineamientos y plazos establecidos por los entes de control y vigilancia, durante la vigencia 2018, se generaron los estados contables correspondientes</w:t>
      </w:r>
      <w:r w:rsidRPr="00104F4B">
        <w:rPr>
          <w:rFonts w:cs="Arial"/>
          <w:szCs w:val="22"/>
        </w:rPr>
        <w:t xml:space="preserve"> a los trimestres con corte diciembre 31 de 2017, marzo, junio y septiembre de 2018, los cuales se transmitieron oportunamente a la Contaduría General de la Nación y a la Secretaría Distrital de Hacienda.</w:t>
      </w:r>
    </w:p>
    <w:p w:rsidR="004700E2" w:rsidRPr="00104F4B" w:rsidRDefault="004700E2" w:rsidP="00AA4DDC">
      <w:pPr>
        <w:pStyle w:val="NormalWeb"/>
        <w:spacing w:before="0" w:beforeAutospacing="0" w:after="0" w:afterAutospacing="0"/>
        <w:contextualSpacing/>
        <w:rPr>
          <w:rFonts w:cs="Arial"/>
          <w:szCs w:val="22"/>
        </w:rPr>
      </w:pPr>
    </w:p>
    <w:p w:rsidR="004700E2" w:rsidRPr="00104F4B" w:rsidRDefault="004700E2" w:rsidP="00AA4DDC">
      <w:pPr>
        <w:pStyle w:val="Prrafodelista"/>
        <w:ind w:left="0"/>
        <w:rPr>
          <w:rFonts w:ascii="Arial" w:hAnsi="Arial" w:cs="Arial"/>
          <w:b/>
        </w:rPr>
      </w:pPr>
      <w:r w:rsidRPr="00104F4B">
        <w:rPr>
          <w:rFonts w:ascii="Arial" w:hAnsi="Arial" w:cs="Arial"/>
          <w:b/>
        </w:rPr>
        <w:t>Gestión de Recursos Tecnológicos</w:t>
      </w:r>
    </w:p>
    <w:p w:rsidR="004700E2" w:rsidRPr="00104F4B" w:rsidRDefault="004700E2" w:rsidP="00AA4DDC">
      <w:pPr>
        <w:rPr>
          <w:rFonts w:cs="Arial"/>
          <w:b/>
          <w:szCs w:val="22"/>
        </w:rPr>
      </w:pPr>
      <w:r w:rsidRPr="00104F4B">
        <w:rPr>
          <w:rFonts w:cs="Arial"/>
          <w:b/>
          <w:szCs w:val="22"/>
        </w:rPr>
        <w:t>Seguridad de la información</w:t>
      </w:r>
    </w:p>
    <w:p w:rsidR="004700E2" w:rsidRPr="00104F4B" w:rsidRDefault="004700E2" w:rsidP="00582748">
      <w:pPr>
        <w:pStyle w:val="Prrafodelista"/>
        <w:numPr>
          <w:ilvl w:val="0"/>
          <w:numId w:val="70"/>
        </w:numPr>
        <w:spacing w:before="0"/>
        <w:ind w:left="426" w:hanging="426"/>
        <w:contextualSpacing/>
        <w:rPr>
          <w:rFonts w:ascii="Arial" w:hAnsi="Arial" w:cs="Arial"/>
        </w:rPr>
      </w:pPr>
      <w:r w:rsidRPr="00104F4B">
        <w:rPr>
          <w:rFonts w:ascii="Arial" w:hAnsi="Arial" w:cs="Arial"/>
        </w:rPr>
        <w:t>Implementación del Subsistema, cumpliendo con el 100% del plan de acción definido para la vigencia.</w:t>
      </w:r>
    </w:p>
    <w:p w:rsidR="004700E2" w:rsidRPr="00104F4B" w:rsidRDefault="004700E2" w:rsidP="00582748">
      <w:pPr>
        <w:pStyle w:val="Prrafodelista"/>
        <w:numPr>
          <w:ilvl w:val="0"/>
          <w:numId w:val="70"/>
        </w:numPr>
        <w:spacing w:before="0"/>
        <w:ind w:left="426" w:hanging="426"/>
        <w:contextualSpacing/>
        <w:rPr>
          <w:rFonts w:ascii="Arial" w:hAnsi="Arial" w:cs="Arial"/>
        </w:rPr>
      </w:pPr>
      <w:r w:rsidRPr="00104F4B">
        <w:rPr>
          <w:rFonts w:ascii="Arial" w:hAnsi="Arial" w:cs="Arial"/>
        </w:rPr>
        <w:t>Actualización del inventario de activos de información.</w:t>
      </w:r>
    </w:p>
    <w:p w:rsidR="004700E2" w:rsidRPr="00104F4B" w:rsidRDefault="004700E2" w:rsidP="00582748">
      <w:pPr>
        <w:pStyle w:val="Prrafodelista"/>
        <w:numPr>
          <w:ilvl w:val="0"/>
          <w:numId w:val="70"/>
        </w:numPr>
        <w:spacing w:before="0"/>
        <w:ind w:left="426" w:hanging="426"/>
        <w:contextualSpacing/>
        <w:rPr>
          <w:rFonts w:ascii="Arial" w:hAnsi="Arial" w:cs="Arial"/>
        </w:rPr>
      </w:pPr>
      <w:r w:rsidRPr="00104F4B">
        <w:rPr>
          <w:rFonts w:ascii="Arial" w:hAnsi="Arial" w:cs="Arial"/>
        </w:rPr>
        <w:t>Elaboración del plan de recuperación ante desastres y la caracterización del proceso.</w:t>
      </w:r>
    </w:p>
    <w:p w:rsidR="004700E2" w:rsidRPr="00104F4B" w:rsidRDefault="004700E2" w:rsidP="00582748">
      <w:pPr>
        <w:pStyle w:val="Prrafodelista"/>
        <w:numPr>
          <w:ilvl w:val="0"/>
          <w:numId w:val="70"/>
        </w:numPr>
        <w:spacing w:before="0"/>
        <w:ind w:left="426" w:hanging="426"/>
        <w:contextualSpacing/>
        <w:rPr>
          <w:rFonts w:ascii="Arial" w:hAnsi="Arial" w:cs="Arial"/>
        </w:rPr>
      </w:pPr>
      <w:r w:rsidRPr="00104F4B">
        <w:rPr>
          <w:rFonts w:ascii="Arial" w:hAnsi="Arial" w:cs="Arial"/>
        </w:rPr>
        <w:t>Plan de Recuperación de Desastres para Tecnología.</w:t>
      </w:r>
    </w:p>
    <w:p w:rsidR="004700E2" w:rsidRPr="00104F4B" w:rsidRDefault="004700E2" w:rsidP="00582748">
      <w:pPr>
        <w:pStyle w:val="Prrafodelista"/>
        <w:numPr>
          <w:ilvl w:val="0"/>
          <w:numId w:val="70"/>
        </w:numPr>
        <w:spacing w:before="0"/>
        <w:ind w:left="426" w:hanging="426"/>
        <w:contextualSpacing/>
        <w:rPr>
          <w:rFonts w:ascii="Arial" w:hAnsi="Arial" w:cs="Arial"/>
        </w:rPr>
      </w:pPr>
      <w:r w:rsidRPr="00104F4B">
        <w:rPr>
          <w:rFonts w:ascii="Arial" w:hAnsi="Arial" w:cs="Arial"/>
        </w:rPr>
        <w:t>Creación y actualización de documentos como el Manual de Políticas de Seguridad de la Información, los formatos correspondientes y la elaboración y ejecución de un plan de pruebas para el DRP.</w:t>
      </w:r>
    </w:p>
    <w:p w:rsidR="004700E2" w:rsidRPr="00104F4B" w:rsidRDefault="004700E2" w:rsidP="00582748">
      <w:pPr>
        <w:pStyle w:val="Prrafodelista"/>
        <w:numPr>
          <w:ilvl w:val="0"/>
          <w:numId w:val="70"/>
        </w:numPr>
        <w:spacing w:before="0"/>
        <w:ind w:left="426" w:hanging="426"/>
        <w:contextualSpacing/>
        <w:rPr>
          <w:rFonts w:ascii="Arial" w:hAnsi="Arial" w:cs="Arial"/>
        </w:rPr>
      </w:pPr>
      <w:r w:rsidRPr="00104F4B">
        <w:rPr>
          <w:rFonts w:ascii="Arial" w:hAnsi="Arial" w:cs="Arial"/>
        </w:rPr>
        <w:t>Generación de los instructivos para la identificación de activos de información y para el uso del módulo de apoyo a la gestión de activos de información.</w:t>
      </w:r>
    </w:p>
    <w:p w:rsidR="004700E2" w:rsidRPr="00104F4B" w:rsidRDefault="004700E2" w:rsidP="00582748">
      <w:pPr>
        <w:pStyle w:val="Prrafodelista"/>
        <w:numPr>
          <w:ilvl w:val="0"/>
          <w:numId w:val="70"/>
        </w:numPr>
        <w:spacing w:before="0"/>
        <w:ind w:left="426" w:hanging="426"/>
        <w:contextualSpacing/>
        <w:rPr>
          <w:rFonts w:ascii="Arial" w:hAnsi="Arial" w:cs="Arial"/>
        </w:rPr>
      </w:pPr>
      <w:r w:rsidRPr="00104F4B">
        <w:rPr>
          <w:rFonts w:ascii="Arial" w:hAnsi="Arial" w:cs="Arial"/>
        </w:rPr>
        <w:t>Restauración de sistemas de información críticos.</w:t>
      </w:r>
    </w:p>
    <w:p w:rsidR="004700E2" w:rsidRPr="00104F4B" w:rsidRDefault="004700E2" w:rsidP="00582748">
      <w:pPr>
        <w:pStyle w:val="Prrafodelista"/>
        <w:numPr>
          <w:ilvl w:val="0"/>
          <w:numId w:val="70"/>
        </w:numPr>
        <w:spacing w:before="0"/>
        <w:ind w:left="426" w:hanging="426"/>
        <w:contextualSpacing/>
        <w:rPr>
          <w:rFonts w:ascii="Arial" w:hAnsi="Arial" w:cs="Arial"/>
        </w:rPr>
      </w:pPr>
      <w:r w:rsidRPr="00104F4B">
        <w:rPr>
          <w:rFonts w:ascii="Arial" w:hAnsi="Arial" w:cs="Arial"/>
        </w:rPr>
        <w:t>Generación de los procedimientos Desarrollo de soluciones.</w:t>
      </w:r>
    </w:p>
    <w:p w:rsidR="004700E2" w:rsidRPr="00104F4B" w:rsidRDefault="004700E2" w:rsidP="00582748">
      <w:pPr>
        <w:pStyle w:val="Prrafodelista"/>
        <w:numPr>
          <w:ilvl w:val="0"/>
          <w:numId w:val="70"/>
        </w:numPr>
        <w:spacing w:before="0"/>
        <w:ind w:left="426" w:hanging="426"/>
        <w:contextualSpacing/>
        <w:rPr>
          <w:rFonts w:ascii="Arial" w:hAnsi="Arial" w:cs="Arial"/>
        </w:rPr>
      </w:pPr>
      <w:r w:rsidRPr="00104F4B">
        <w:rPr>
          <w:rFonts w:ascii="Arial" w:hAnsi="Arial" w:cs="Arial"/>
        </w:rPr>
        <w:t>Gestión de servicios de tecnologías de la información.</w:t>
      </w:r>
    </w:p>
    <w:p w:rsidR="004700E2" w:rsidRPr="00104F4B" w:rsidRDefault="004700E2" w:rsidP="00582748">
      <w:pPr>
        <w:pStyle w:val="Prrafodelista"/>
        <w:numPr>
          <w:ilvl w:val="0"/>
          <w:numId w:val="70"/>
        </w:numPr>
        <w:spacing w:before="0"/>
        <w:ind w:left="426" w:hanging="426"/>
        <w:contextualSpacing/>
        <w:rPr>
          <w:rFonts w:ascii="Arial" w:hAnsi="Arial" w:cs="Arial"/>
        </w:rPr>
      </w:pPr>
      <w:r w:rsidRPr="00104F4B">
        <w:rPr>
          <w:rFonts w:ascii="Arial" w:hAnsi="Arial" w:cs="Arial"/>
        </w:rPr>
        <w:t xml:space="preserve">Gestión de activos de información. </w:t>
      </w:r>
    </w:p>
    <w:p w:rsidR="004700E2" w:rsidRPr="00104F4B" w:rsidRDefault="004700E2" w:rsidP="00AA4DDC">
      <w:pPr>
        <w:rPr>
          <w:rFonts w:cs="Arial"/>
          <w:szCs w:val="22"/>
        </w:rPr>
      </w:pPr>
      <w:r w:rsidRPr="00104F4B">
        <w:rPr>
          <w:rFonts w:cs="Arial"/>
          <w:b/>
          <w:szCs w:val="22"/>
        </w:rPr>
        <w:t xml:space="preserve">Infraestructura Tecnológica: </w:t>
      </w:r>
      <w:r w:rsidRPr="00104F4B">
        <w:rPr>
          <w:rFonts w:cs="Arial"/>
          <w:szCs w:val="22"/>
        </w:rPr>
        <w:t>En relación con la Infraestructura, en la vigencia reportada en este informe, se destaca lo siguiente:</w:t>
      </w:r>
    </w:p>
    <w:p w:rsidR="004700E2" w:rsidRPr="00104F4B" w:rsidRDefault="004700E2" w:rsidP="00582748">
      <w:pPr>
        <w:pStyle w:val="Prrafodelista"/>
        <w:numPr>
          <w:ilvl w:val="0"/>
          <w:numId w:val="70"/>
        </w:numPr>
        <w:spacing w:before="0"/>
        <w:ind w:left="426" w:hanging="426"/>
        <w:contextualSpacing/>
        <w:rPr>
          <w:rFonts w:ascii="Arial" w:hAnsi="Arial" w:cs="Arial"/>
        </w:rPr>
      </w:pPr>
      <w:r w:rsidRPr="00104F4B">
        <w:rPr>
          <w:rFonts w:ascii="Arial" w:hAnsi="Arial" w:cs="Arial"/>
        </w:rPr>
        <w:t>Adopción e implementación del protocolo de red IP versión 6, con el fin de actualizar a la Entidad en el nuevo formato de conexión mundial.</w:t>
      </w:r>
    </w:p>
    <w:p w:rsidR="004700E2" w:rsidRPr="00104F4B" w:rsidRDefault="004700E2" w:rsidP="00582748">
      <w:pPr>
        <w:pStyle w:val="Prrafodelista"/>
        <w:numPr>
          <w:ilvl w:val="0"/>
          <w:numId w:val="70"/>
        </w:numPr>
        <w:spacing w:before="0"/>
        <w:ind w:left="426" w:hanging="426"/>
        <w:contextualSpacing/>
        <w:rPr>
          <w:rFonts w:ascii="Arial" w:hAnsi="Arial" w:cs="Arial"/>
        </w:rPr>
      </w:pPr>
      <w:r w:rsidRPr="00104F4B">
        <w:rPr>
          <w:rFonts w:ascii="Arial" w:hAnsi="Arial" w:cs="Arial"/>
        </w:rPr>
        <w:lastRenderedPageBreak/>
        <w:t>Se modernizó la red institucional de datos, tanto en su parte cableada horizontal como en la inalámbrica (wifi).</w:t>
      </w:r>
    </w:p>
    <w:p w:rsidR="004700E2" w:rsidRPr="00104F4B" w:rsidRDefault="004700E2" w:rsidP="00582748">
      <w:pPr>
        <w:pStyle w:val="Prrafodelista"/>
        <w:numPr>
          <w:ilvl w:val="0"/>
          <w:numId w:val="70"/>
        </w:numPr>
        <w:spacing w:before="0"/>
        <w:ind w:left="426" w:hanging="426"/>
        <w:contextualSpacing/>
        <w:rPr>
          <w:rFonts w:ascii="Arial" w:hAnsi="Arial" w:cs="Arial"/>
        </w:rPr>
      </w:pPr>
      <w:r w:rsidRPr="00104F4B">
        <w:rPr>
          <w:rFonts w:ascii="Arial" w:hAnsi="Arial" w:cs="Arial"/>
        </w:rPr>
        <w:t>Fortalecimiento de la seguridad informática perimetral con la adquisición y puesta en producción de un firewall para aplicaciones web (WAF) en alta disponibilidad, así como por la adquisición de una solución de mitigación de ataques de denegación de servicio distribuido (anti – DDoS)</w:t>
      </w:r>
    </w:p>
    <w:p w:rsidR="004700E2" w:rsidRPr="00104F4B" w:rsidRDefault="004700E2" w:rsidP="00582748">
      <w:pPr>
        <w:pStyle w:val="Prrafodelista"/>
        <w:numPr>
          <w:ilvl w:val="0"/>
          <w:numId w:val="70"/>
        </w:numPr>
        <w:spacing w:before="0"/>
        <w:ind w:left="426" w:hanging="426"/>
        <w:contextualSpacing/>
        <w:rPr>
          <w:rFonts w:ascii="Arial" w:hAnsi="Arial" w:cs="Arial"/>
        </w:rPr>
      </w:pPr>
      <w:r w:rsidRPr="00104F4B">
        <w:rPr>
          <w:rFonts w:ascii="Arial" w:hAnsi="Arial" w:cs="Arial"/>
        </w:rPr>
        <w:t>Ampliación de la capacidad de procesamiento especializado para productos Oracle, dentro de los que se pueden mencionar las bases de datos, Weblogic y sistema operativo.</w:t>
      </w:r>
    </w:p>
    <w:p w:rsidR="004700E2" w:rsidRPr="00104F4B" w:rsidRDefault="004700E2" w:rsidP="00582748">
      <w:pPr>
        <w:pStyle w:val="Prrafodelista"/>
        <w:numPr>
          <w:ilvl w:val="0"/>
          <w:numId w:val="70"/>
        </w:numPr>
        <w:spacing w:before="0"/>
        <w:ind w:left="426" w:hanging="426"/>
        <w:contextualSpacing/>
        <w:rPr>
          <w:rFonts w:ascii="Arial" w:hAnsi="Arial" w:cs="Arial"/>
        </w:rPr>
      </w:pPr>
      <w:r w:rsidRPr="00104F4B">
        <w:rPr>
          <w:rFonts w:ascii="Arial" w:hAnsi="Arial" w:cs="Arial"/>
        </w:rPr>
        <w:t>Implementación de un sistema de correlación de eventos SIEM.</w:t>
      </w:r>
    </w:p>
    <w:p w:rsidR="004700E2" w:rsidRPr="00104F4B" w:rsidRDefault="004700E2" w:rsidP="00582748">
      <w:pPr>
        <w:pStyle w:val="Prrafodelista"/>
        <w:numPr>
          <w:ilvl w:val="0"/>
          <w:numId w:val="70"/>
        </w:numPr>
        <w:spacing w:before="0"/>
        <w:ind w:left="426" w:hanging="426"/>
        <w:contextualSpacing/>
        <w:rPr>
          <w:rFonts w:ascii="Arial" w:hAnsi="Arial" w:cs="Arial"/>
        </w:rPr>
      </w:pPr>
      <w:r w:rsidRPr="00104F4B">
        <w:rPr>
          <w:rFonts w:ascii="Arial" w:hAnsi="Arial" w:cs="Arial"/>
        </w:rPr>
        <w:t>Ampliación de capacidad del sistema de almacenamiento SAN/NAS.</w:t>
      </w:r>
    </w:p>
    <w:p w:rsidR="004700E2" w:rsidRPr="00104F4B" w:rsidRDefault="004700E2" w:rsidP="00AA4DDC">
      <w:pPr>
        <w:rPr>
          <w:rFonts w:cs="Arial"/>
          <w:szCs w:val="22"/>
        </w:rPr>
      </w:pPr>
      <w:r w:rsidRPr="00104F4B">
        <w:rPr>
          <w:rFonts w:cs="Arial"/>
          <w:b/>
          <w:szCs w:val="22"/>
        </w:rPr>
        <w:t xml:space="preserve">Desarrollo de software: </w:t>
      </w:r>
      <w:r w:rsidRPr="00104F4B">
        <w:rPr>
          <w:rFonts w:cs="Arial"/>
          <w:szCs w:val="22"/>
        </w:rPr>
        <w:t>Sobre desarrollo de software, se pusieron en funcionamiento el sistema SUE: Información documentada, el módulo de agendamiento para urbanizadores, el módulo para la administración de archivos documentales históricos del IDU que reemplaza el sistema WINISIS, el sistema Bochica: Pólizas de estabilidad, el sistema de pagos a terceros SIGPAGOS. Se realizó la migración del sistema de Información Valoricemos para hacerlo web-enable.</w:t>
      </w:r>
    </w:p>
    <w:p w:rsidR="004700E2" w:rsidRPr="00104F4B" w:rsidRDefault="004700E2" w:rsidP="00AA4DDC">
      <w:pPr>
        <w:rPr>
          <w:rFonts w:cs="Arial"/>
          <w:szCs w:val="22"/>
        </w:rPr>
      </w:pPr>
      <w:r w:rsidRPr="00104F4B">
        <w:rPr>
          <w:rFonts w:cs="Arial"/>
          <w:szCs w:val="22"/>
        </w:rPr>
        <w:t>Un proyecto que merece resaltarse en este apartado, es la reingeniería del Sistema de Gestión Documental Orfeo, el cual cumplió con su primera fase.</w:t>
      </w:r>
    </w:p>
    <w:p w:rsidR="004700E2" w:rsidRPr="00104F4B" w:rsidRDefault="004700E2" w:rsidP="00AA4DDC">
      <w:pPr>
        <w:rPr>
          <w:rFonts w:cs="Arial"/>
          <w:szCs w:val="22"/>
        </w:rPr>
      </w:pPr>
      <w:r w:rsidRPr="00104F4B">
        <w:rPr>
          <w:rFonts w:cs="Arial"/>
          <w:b/>
          <w:szCs w:val="22"/>
        </w:rPr>
        <w:t xml:space="preserve">Soporte: </w:t>
      </w:r>
      <w:r w:rsidRPr="00104F4B">
        <w:rPr>
          <w:rFonts w:cs="Arial"/>
          <w:szCs w:val="22"/>
        </w:rPr>
        <w:t>En relación con la prestación de los servicios de soporte, la mesa de servicios de TI atendió 46.290</w:t>
      </w:r>
      <w:r w:rsidRPr="00104F4B">
        <w:rPr>
          <w:rFonts w:cs="Arial"/>
          <w:color w:val="263238"/>
          <w:szCs w:val="22"/>
        </w:rPr>
        <w:t xml:space="preserve"> </w:t>
      </w:r>
      <w:r w:rsidRPr="00104F4B">
        <w:rPr>
          <w:rFonts w:cs="Arial"/>
          <w:szCs w:val="22"/>
        </w:rPr>
        <w:t>casos durante el año 2018, de los cuales se solucionaron 45.998, lo que equivale al 99.34%. De otra parte, al medir la percepción del servicio por parte de los usuarios, se obtuvo un promedio de 4,6 / 5 aumentando un punto respecto de la misma medición del año anterior.</w:t>
      </w:r>
    </w:p>
    <w:p w:rsidR="004700E2" w:rsidRPr="00104F4B" w:rsidRDefault="004700E2" w:rsidP="00AA4DDC">
      <w:pPr>
        <w:pStyle w:val="Ttulo1"/>
        <w:rPr>
          <w:rFonts w:ascii="Arial" w:hAnsi="Arial" w:cs="Arial"/>
          <w:sz w:val="22"/>
          <w:szCs w:val="22"/>
        </w:rPr>
      </w:pPr>
      <w:bookmarkStart w:id="78" w:name="_Toc536195566"/>
      <w:r w:rsidRPr="00104F4B">
        <w:rPr>
          <w:rFonts w:ascii="Arial" w:hAnsi="Arial" w:cs="Arial"/>
          <w:sz w:val="22"/>
          <w:szCs w:val="22"/>
        </w:rPr>
        <w:t>7.1.2 GESTIÓN DIRECCIÓN TÉCNICA DE APOYO A LA VALORIZACIÓN</w:t>
      </w:r>
      <w:bookmarkEnd w:id="78"/>
    </w:p>
    <w:p w:rsidR="004700E2" w:rsidRPr="00104F4B" w:rsidRDefault="004700E2" w:rsidP="00582748">
      <w:pPr>
        <w:pStyle w:val="NormalWeb"/>
        <w:numPr>
          <w:ilvl w:val="0"/>
          <w:numId w:val="75"/>
        </w:numPr>
        <w:spacing w:after="0"/>
        <w:ind w:left="426" w:hanging="426"/>
        <w:contextualSpacing/>
        <w:rPr>
          <w:rFonts w:cs="Arial"/>
          <w:szCs w:val="22"/>
        </w:rPr>
      </w:pPr>
      <w:r w:rsidRPr="00104F4B">
        <w:rPr>
          <w:rFonts w:cs="Arial"/>
          <w:szCs w:val="22"/>
        </w:rPr>
        <w:t>Estructuración del Proyecto de Acuerdo de la contribución de la valorización y la respectiva exposición de motivos para la financiación de la ejecución de un plan de obras que abarca tres zonas de influencia.</w:t>
      </w:r>
    </w:p>
    <w:p w:rsidR="004700E2" w:rsidRPr="00104F4B" w:rsidRDefault="004700E2" w:rsidP="00582748">
      <w:pPr>
        <w:pStyle w:val="NormalWeb"/>
        <w:numPr>
          <w:ilvl w:val="0"/>
          <w:numId w:val="75"/>
        </w:numPr>
        <w:spacing w:after="0"/>
        <w:ind w:left="426" w:hanging="426"/>
        <w:contextualSpacing/>
        <w:rPr>
          <w:rFonts w:cs="Arial"/>
          <w:szCs w:val="22"/>
        </w:rPr>
      </w:pPr>
      <w:r w:rsidRPr="00104F4B">
        <w:rPr>
          <w:rFonts w:cs="Arial"/>
          <w:szCs w:val="22"/>
        </w:rPr>
        <w:t xml:space="preserve">Apoyo en la sustentación técnica y jurídica para la expedición, por parte del Concejo de Bogotá D.C. del Acuerdo 724 de 2018. </w:t>
      </w:r>
      <w:r w:rsidRPr="00104F4B">
        <w:rPr>
          <w:rFonts w:cs="Arial"/>
          <w:i/>
          <w:szCs w:val="22"/>
        </w:rPr>
        <w:t>“Por el cual se establece el cobro de una contribución de valorización por beneficio local para la construcción de un plan de obras, y se dictan otras disposiciones”</w:t>
      </w:r>
    </w:p>
    <w:p w:rsidR="004700E2" w:rsidRPr="00104F4B" w:rsidRDefault="004700E2" w:rsidP="00582748">
      <w:pPr>
        <w:pStyle w:val="NormalWeb"/>
        <w:numPr>
          <w:ilvl w:val="0"/>
          <w:numId w:val="75"/>
        </w:numPr>
        <w:spacing w:after="0"/>
        <w:ind w:left="426" w:hanging="426"/>
        <w:contextualSpacing/>
        <w:rPr>
          <w:rFonts w:cs="Arial"/>
          <w:szCs w:val="22"/>
        </w:rPr>
      </w:pPr>
      <w:r w:rsidRPr="00104F4B">
        <w:rPr>
          <w:rFonts w:cs="Arial"/>
          <w:szCs w:val="22"/>
        </w:rPr>
        <w:t>Participación en la modernización del sistema de información Valoricemos.</w:t>
      </w:r>
    </w:p>
    <w:p w:rsidR="004700E2" w:rsidRPr="00104F4B" w:rsidRDefault="004700E2" w:rsidP="00582748">
      <w:pPr>
        <w:pStyle w:val="NormalWeb"/>
        <w:numPr>
          <w:ilvl w:val="0"/>
          <w:numId w:val="75"/>
        </w:numPr>
        <w:spacing w:after="0"/>
        <w:ind w:left="426" w:hanging="426"/>
        <w:contextualSpacing/>
        <w:rPr>
          <w:rFonts w:cs="Arial"/>
          <w:szCs w:val="22"/>
        </w:rPr>
      </w:pPr>
      <w:r w:rsidRPr="00104F4B">
        <w:rPr>
          <w:rFonts w:cs="Arial"/>
          <w:szCs w:val="22"/>
        </w:rPr>
        <w:t>Fortalecimiento de los canales de atención al ciudadano en los temas referentes a la valorización proceso que permitió, entre otros aspectos, brindar atención en línea de 3437 ciudadanos, evitando desplazamientos y costos innecesarios de los usuarios.</w:t>
      </w:r>
    </w:p>
    <w:p w:rsidR="004700E2" w:rsidRPr="00104F4B" w:rsidRDefault="004700E2" w:rsidP="00AA4DDC">
      <w:pPr>
        <w:pStyle w:val="NormalWeb"/>
        <w:spacing w:after="0"/>
        <w:contextualSpacing/>
        <w:rPr>
          <w:rFonts w:cs="Arial"/>
          <w:b/>
          <w:szCs w:val="22"/>
        </w:rPr>
      </w:pPr>
    </w:p>
    <w:p w:rsidR="004700E2" w:rsidRPr="00104F4B" w:rsidRDefault="004700E2" w:rsidP="00AA4DDC">
      <w:pPr>
        <w:pStyle w:val="NormalWeb"/>
        <w:spacing w:before="0" w:beforeAutospacing="0" w:after="0" w:afterAutospacing="0"/>
        <w:contextualSpacing/>
        <w:rPr>
          <w:rFonts w:cs="Arial"/>
          <w:b/>
          <w:szCs w:val="22"/>
        </w:rPr>
      </w:pPr>
      <w:r w:rsidRPr="00104F4B">
        <w:rPr>
          <w:rFonts w:cs="Arial"/>
          <w:b/>
          <w:szCs w:val="22"/>
        </w:rPr>
        <w:t>Gestión Subdirección Técnica Jurídica y de Ejecuciones Fiscales</w:t>
      </w:r>
    </w:p>
    <w:p w:rsidR="004700E2" w:rsidRPr="00104F4B" w:rsidRDefault="004700E2" w:rsidP="00AA4DDC">
      <w:pPr>
        <w:rPr>
          <w:rFonts w:cs="Arial"/>
          <w:szCs w:val="22"/>
        </w:rPr>
      </w:pPr>
      <w:r w:rsidRPr="00104F4B">
        <w:rPr>
          <w:rFonts w:cs="Arial"/>
          <w:szCs w:val="22"/>
        </w:rPr>
        <w:t>Trámite jurídico para el recaudo de la contribución de valorización correspondiente a los acuerdos 31 de 1992, 25 de 1995, 48 de 2001, 180 de 2005, 398 de 2009 y 523 de 2013.</w:t>
      </w:r>
    </w:p>
    <w:p w:rsidR="004700E2" w:rsidRPr="00104F4B" w:rsidRDefault="004700E2" w:rsidP="00AA4DDC">
      <w:pPr>
        <w:rPr>
          <w:rFonts w:cs="Arial"/>
          <w:b/>
          <w:color w:val="222222"/>
          <w:szCs w:val="22"/>
          <w:lang w:eastAsia="es-CO"/>
        </w:rPr>
      </w:pPr>
      <w:r w:rsidRPr="00104F4B">
        <w:rPr>
          <w:rFonts w:cs="Arial"/>
          <w:b/>
          <w:color w:val="222222"/>
          <w:szCs w:val="22"/>
          <w:lang w:eastAsia="es-CO"/>
        </w:rPr>
        <w:t>Gestión Subdirección Técnica de Operaciones</w:t>
      </w:r>
    </w:p>
    <w:p w:rsidR="004700E2" w:rsidRPr="00104F4B" w:rsidRDefault="004700E2" w:rsidP="00AA4DDC">
      <w:pPr>
        <w:rPr>
          <w:rFonts w:cs="Arial"/>
          <w:b/>
          <w:i/>
          <w:szCs w:val="22"/>
        </w:rPr>
      </w:pPr>
    </w:p>
    <w:p w:rsidR="004700E2" w:rsidRPr="00104F4B" w:rsidRDefault="004700E2" w:rsidP="00582748">
      <w:pPr>
        <w:pStyle w:val="Prrafodelista"/>
        <w:numPr>
          <w:ilvl w:val="0"/>
          <w:numId w:val="76"/>
        </w:numPr>
        <w:spacing w:before="0"/>
        <w:ind w:left="426" w:hanging="426"/>
        <w:contextualSpacing/>
        <w:rPr>
          <w:rFonts w:ascii="Arial" w:hAnsi="Arial" w:cs="Arial"/>
          <w:lang w:val="es-ES"/>
        </w:rPr>
      </w:pPr>
      <w:r w:rsidRPr="00104F4B">
        <w:rPr>
          <w:rFonts w:ascii="Arial" w:hAnsi="Arial" w:cs="Arial"/>
          <w:lang w:val="es-ES"/>
        </w:rPr>
        <w:t>Atención de 290.700 operaciones respecto de la atención a la ciudadanía en los puntos de atención de la calle 22 y Red SuperCade.</w:t>
      </w:r>
    </w:p>
    <w:p w:rsidR="004700E2" w:rsidRPr="00104F4B" w:rsidRDefault="004700E2" w:rsidP="00582748">
      <w:pPr>
        <w:pStyle w:val="Prrafodelista"/>
        <w:numPr>
          <w:ilvl w:val="0"/>
          <w:numId w:val="76"/>
        </w:numPr>
        <w:spacing w:before="0"/>
        <w:ind w:left="426" w:hanging="426"/>
        <w:contextualSpacing/>
        <w:rPr>
          <w:rFonts w:ascii="Arial" w:hAnsi="Arial" w:cs="Arial"/>
          <w:lang w:val="es-ES"/>
        </w:rPr>
      </w:pPr>
      <w:r w:rsidRPr="00104F4B">
        <w:rPr>
          <w:rFonts w:ascii="Arial" w:hAnsi="Arial" w:cs="Arial"/>
          <w:lang w:val="es-ES"/>
        </w:rPr>
        <w:t>Mantenimiento de los estándares mínimos establecidos por la Secretaría General de la Alcaldía Mayor, es decir en promedio de 8 minutos por ciudadano y del Indicador de Satisfacción que fue del 99.29%.</w:t>
      </w:r>
    </w:p>
    <w:p w:rsidR="004700E2" w:rsidRPr="00104F4B" w:rsidRDefault="004700E2" w:rsidP="00582748">
      <w:pPr>
        <w:pStyle w:val="Prrafodelista"/>
        <w:numPr>
          <w:ilvl w:val="0"/>
          <w:numId w:val="76"/>
        </w:numPr>
        <w:spacing w:before="0"/>
        <w:ind w:left="426" w:hanging="426"/>
        <w:contextualSpacing/>
        <w:rPr>
          <w:rFonts w:ascii="Arial" w:hAnsi="Arial" w:cs="Arial"/>
          <w:lang w:val="es-ES"/>
        </w:rPr>
      </w:pPr>
      <w:r w:rsidRPr="00104F4B">
        <w:rPr>
          <w:rFonts w:ascii="Arial" w:hAnsi="Arial" w:cs="Arial"/>
          <w:lang w:val="es-ES"/>
        </w:rPr>
        <w:lastRenderedPageBreak/>
        <w:t xml:space="preserve">Atención de 3.046 conceptos técnicos provenientes de solicitudes de la STJEF y de la Dirección Técnica de Predios. </w:t>
      </w:r>
    </w:p>
    <w:p w:rsidR="004700E2" w:rsidRPr="00104F4B" w:rsidRDefault="004700E2" w:rsidP="00582748">
      <w:pPr>
        <w:pStyle w:val="Prrafodelista"/>
        <w:numPr>
          <w:ilvl w:val="0"/>
          <w:numId w:val="76"/>
        </w:numPr>
        <w:spacing w:before="0"/>
        <w:ind w:left="426" w:hanging="426"/>
        <w:contextualSpacing/>
        <w:rPr>
          <w:rFonts w:ascii="Arial" w:hAnsi="Arial" w:cs="Arial"/>
          <w:lang w:val="es-ES"/>
        </w:rPr>
      </w:pPr>
      <w:r w:rsidRPr="00104F4B">
        <w:rPr>
          <w:rFonts w:ascii="Arial" w:hAnsi="Arial" w:cs="Arial"/>
          <w:lang w:val="es-ES"/>
        </w:rPr>
        <w:t>Adaptación y adecuación del sistema de información Valoricemos para la generación de un proyecto de valorización bajo el método de “avalúo ponderado por la distancia”</w:t>
      </w:r>
    </w:p>
    <w:p w:rsidR="004700E2" w:rsidRPr="00104F4B" w:rsidRDefault="004700E2" w:rsidP="00582748">
      <w:pPr>
        <w:pStyle w:val="Prrafodelista"/>
        <w:numPr>
          <w:ilvl w:val="0"/>
          <w:numId w:val="76"/>
        </w:numPr>
        <w:spacing w:before="0"/>
        <w:ind w:left="426" w:hanging="426"/>
        <w:contextualSpacing/>
        <w:rPr>
          <w:rFonts w:ascii="Arial" w:hAnsi="Arial" w:cs="Arial"/>
          <w:lang w:val="es-ES"/>
        </w:rPr>
      </w:pPr>
      <w:r w:rsidRPr="00104F4B">
        <w:rPr>
          <w:rFonts w:ascii="Arial" w:hAnsi="Arial" w:cs="Arial"/>
          <w:lang w:val="es-ES"/>
        </w:rPr>
        <w:t>Diseño de la Metodología para el escenario de devolución de contribuciones por las obras número 169, 108,109 y 175 definidas por del acuerdo 180 de 2005 modificado por el acuerdo 523 de 2013.</w:t>
      </w:r>
    </w:p>
    <w:p w:rsidR="004700E2" w:rsidRPr="00104F4B" w:rsidRDefault="004700E2" w:rsidP="00582748">
      <w:pPr>
        <w:pStyle w:val="Prrafodelista"/>
        <w:numPr>
          <w:ilvl w:val="0"/>
          <w:numId w:val="76"/>
        </w:numPr>
        <w:spacing w:before="0"/>
        <w:ind w:left="426" w:hanging="426"/>
        <w:contextualSpacing/>
        <w:rPr>
          <w:rFonts w:ascii="Arial" w:hAnsi="Arial" w:cs="Arial"/>
          <w:lang w:val="es-ES"/>
        </w:rPr>
      </w:pPr>
      <w:r w:rsidRPr="00104F4B">
        <w:rPr>
          <w:rFonts w:ascii="Arial" w:hAnsi="Arial" w:cs="Arial"/>
          <w:lang w:val="es-ES"/>
        </w:rPr>
        <w:t>Actualización base de datos geográfica de valorización.</w:t>
      </w:r>
    </w:p>
    <w:p w:rsidR="004700E2" w:rsidRPr="00104F4B" w:rsidRDefault="004700E2" w:rsidP="00AA4DDC">
      <w:pPr>
        <w:pStyle w:val="Ttulo1"/>
        <w:rPr>
          <w:rFonts w:ascii="Arial" w:hAnsi="Arial" w:cs="Arial"/>
          <w:sz w:val="22"/>
          <w:szCs w:val="22"/>
        </w:rPr>
      </w:pPr>
      <w:bookmarkStart w:id="79" w:name="_Toc536195567"/>
      <w:r w:rsidRPr="00104F4B">
        <w:rPr>
          <w:rFonts w:ascii="Arial" w:hAnsi="Arial" w:cs="Arial"/>
          <w:sz w:val="22"/>
          <w:szCs w:val="22"/>
        </w:rPr>
        <w:t>7.2  Mejores prácticas y logros</w:t>
      </w:r>
      <w:bookmarkEnd w:id="79"/>
    </w:p>
    <w:p w:rsidR="004700E2" w:rsidRPr="00104F4B" w:rsidRDefault="004700E2" w:rsidP="00AA4DDC">
      <w:pPr>
        <w:rPr>
          <w:rFonts w:cs="Arial"/>
          <w:b/>
          <w:szCs w:val="22"/>
        </w:rPr>
      </w:pPr>
    </w:p>
    <w:p w:rsidR="004700E2" w:rsidRPr="00104F4B" w:rsidRDefault="004700E2" w:rsidP="00582748">
      <w:pPr>
        <w:pStyle w:val="Prrafodelista"/>
        <w:numPr>
          <w:ilvl w:val="0"/>
          <w:numId w:val="70"/>
        </w:numPr>
        <w:spacing w:before="0"/>
        <w:ind w:left="426" w:hanging="426"/>
        <w:contextualSpacing/>
        <w:rPr>
          <w:rFonts w:ascii="Arial" w:hAnsi="Arial" w:cs="Arial"/>
        </w:rPr>
      </w:pPr>
      <w:r w:rsidRPr="00104F4B">
        <w:rPr>
          <w:rFonts w:ascii="Arial" w:hAnsi="Arial" w:cs="Arial"/>
        </w:rPr>
        <w:t>Mejoras en las instalaciones de la sede Calle 22, como la puesta en funcionamiento de los ascensores, instalación de toboganes de evacuación en caso de emergencias y renovación de las instalaciones eléctricas de baja tensión; lo que permite brindar una mejor operatividad y seguridad a sus trabajadores y visitantes.</w:t>
      </w:r>
    </w:p>
    <w:p w:rsidR="004700E2" w:rsidRPr="00104F4B" w:rsidRDefault="004700E2" w:rsidP="00582748">
      <w:pPr>
        <w:pStyle w:val="Prrafodelista"/>
        <w:numPr>
          <w:ilvl w:val="0"/>
          <w:numId w:val="70"/>
        </w:numPr>
        <w:spacing w:before="0"/>
        <w:ind w:left="426" w:hanging="426"/>
        <w:contextualSpacing/>
        <w:rPr>
          <w:rFonts w:ascii="Arial" w:hAnsi="Arial" w:cs="Arial"/>
        </w:rPr>
      </w:pPr>
      <w:r w:rsidRPr="00104F4B">
        <w:rPr>
          <w:rFonts w:ascii="Arial" w:hAnsi="Arial" w:cs="Arial"/>
        </w:rPr>
        <w:t>Posicionamiento del repositorio institucional DSpace, como apoyo de los procesos licitatorios misionales.</w:t>
      </w:r>
    </w:p>
    <w:p w:rsidR="004700E2" w:rsidRPr="00104F4B" w:rsidRDefault="004700E2" w:rsidP="00582748">
      <w:pPr>
        <w:pStyle w:val="Prrafodelista"/>
        <w:numPr>
          <w:ilvl w:val="0"/>
          <w:numId w:val="70"/>
        </w:numPr>
        <w:spacing w:before="0"/>
        <w:ind w:left="426" w:hanging="426"/>
        <w:contextualSpacing/>
        <w:rPr>
          <w:rFonts w:ascii="Arial" w:hAnsi="Arial" w:cs="Arial"/>
        </w:rPr>
      </w:pPr>
      <w:r w:rsidRPr="00104F4B">
        <w:rPr>
          <w:rFonts w:ascii="Arial" w:hAnsi="Arial" w:cs="Arial"/>
        </w:rPr>
        <w:t>Inclusión de los valores del Código de Integridad IDU, en las actividades del Sistema de Estímulos.</w:t>
      </w:r>
    </w:p>
    <w:p w:rsidR="004700E2" w:rsidRPr="00104F4B" w:rsidRDefault="004700E2" w:rsidP="00582748">
      <w:pPr>
        <w:pStyle w:val="Prrafodelista"/>
        <w:numPr>
          <w:ilvl w:val="0"/>
          <w:numId w:val="70"/>
        </w:numPr>
        <w:spacing w:before="0"/>
        <w:ind w:left="426" w:hanging="426"/>
        <w:contextualSpacing/>
        <w:rPr>
          <w:rFonts w:ascii="Arial" w:hAnsi="Arial" w:cs="Arial"/>
        </w:rPr>
      </w:pPr>
      <w:r w:rsidRPr="00104F4B">
        <w:rPr>
          <w:rFonts w:ascii="Arial" w:hAnsi="Arial" w:cs="Arial"/>
        </w:rPr>
        <w:t>Cumplimiento durante la vigencia de los planes de capacitación, estímulos y seguridad y salud en el trabajo.</w:t>
      </w:r>
    </w:p>
    <w:p w:rsidR="004700E2" w:rsidRPr="00104F4B" w:rsidRDefault="004700E2" w:rsidP="00582748">
      <w:pPr>
        <w:pStyle w:val="Prrafodelista"/>
        <w:numPr>
          <w:ilvl w:val="0"/>
          <w:numId w:val="70"/>
        </w:numPr>
        <w:spacing w:before="0"/>
        <w:ind w:left="426" w:hanging="426"/>
        <w:contextualSpacing/>
        <w:rPr>
          <w:rFonts w:ascii="Arial" w:hAnsi="Arial" w:cs="Arial"/>
        </w:rPr>
      </w:pPr>
      <w:r w:rsidRPr="00104F4B">
        <w:rPr>
          <w:rFonts w:ascii="Arial" w:hAnsi="Arial" w:cs="Arial"/>
        </w:rPr>
        <w:t>Incremento del Índice de Clima Corporativo, pasando de 70.03 en 2017 a 78.94 en 2018.</w:t>
      </w:r>
    </w:p>
    <w:p w:rsidR="004700E2" w:rsidRPr="00104F4B" w:rsidRDefault="004700E2" w:rsidP="00582748">
      <w:pPr>
        <w:pStyle w:val="Prrafodelista"/>
        <w:numPr>
          <w:ilvl w:val="0"/>
          <w:numId w:val="70"/>
        </w:numPr>
        <w:spacing w:before="0"/>
        <w:ind w:left="426" w:hanging="426"/>
        <w:contextualSpacing/>
        <w:rPr>
          <w:rFonts w:ascii="Arial" w:hAnsi="Arial" w:cs="Arial"/>
        </w:rPr>
      </w:pPr>
      <w:r w:rsidRPr="00104F4B">
        <w:rPr>
          <w:rFonts w:ascii="Arial" w:hAnsi="Arial" w:cs="Arial"/>
        </w:rPr>
        <w:t>Disminución en un día hábil el pago de honorarios de contratistas de apoyo a la gestión.</w:t>
      </w:r>
    </w:p>
    <w:p w:rsidR="004700E2" w:rsidRPr="00104F4B" w:rsidRDefault="004700E2" w:rsidP="00582748">
      <w:pPr>
        <w:pStyle w:val="Prrafodelista"/>
        <w:numPr>
          <w:ilvl w:val="0"/>
          <w:numId w:val="70"/>
        </w:numPr>
        <w:spacing w:before="0"/>
        <w:ind w:left="426" w:hanging="426"/>
        <w:contextualSpacing/>
        <w:rPr>
          <w:rFonts w:ascii="Arial" w:hAnsi="Arial" w:cs="Arial"/>
        </w:rPr>
      </w:pPr>
      <w:r w:rsidRPr="00104F4B">
        <w:rPr>
          <w:rFonts w:ascii="Arial" w:hAnsi="Arial" w:cs="Arial"/>
        </w:rPr>
        <w:t>La STTR realizó un diagnóstico del proceso de pago a terceros, con el fin de optimizarlo y simplificarlo, hecho que permitió establecer e implentar una serie de mejoras apoyadas en una herramienta tecnológica que reemplazó el “Sistema Pronto Pago”.</w:t>
      </w:r>
    </w:p>
    <w:p w:rsidR="004700E2" w:rsidRPr="00104F4B" w:rsidRDefault="004700E2" w:rsidP="00582748">
      <w:pPr>
        <w:pStyle w:val="Prrafodelista"/>
        <w:numPr>
          <w:ilvl w:val="0"/>
          <w:numId w:val="70"/>
        </w:numPr>
        <w:spacing w:before="0"/>
        <w:ind w:left="426" w:hanging="426"/>
        <w:contextualSpacing/>
        <w:rPr>
          <w:rFonts w:ascii="Arial" w:hAnsi="Arial" w:cs="Arial"/>
        </w:rPr>
      </w:pPr>
      <w:r w:rsidRPr="00104F4B">
        <w:rPr>
          <w:rFonts w:ascii="Arial" w:hAnsi="Arial" w:cs="Arial"/>
        </w:rPr>
        <w:t>En el periodo de radicación de Facturas y Cuentas de cobro del mes de septiembre de 2018, se puso en funcionamiento el Sistema Integral de Gestión de Pagos – SIGPAGOS con resultados satisfactorios, Entre los beneficios de la implementación se pueden mencionar:</w:t>
      </w:r>
    </w:p>
    <w:p w:rsidR="004700E2" w:rsidRPr="00104F4B" w:rsidRDefault="004700E2" w:rsidP="00582748">
      <w:pPr>
        <w:pStyle w:val="Prrafodelista"/>
        <w:numPr>
          <w:ilvl w:val="0"/>
          <w:numId w:val="70"/>
        </w:numPr>
        <w:spacing w:before="0"/>
        <w:ind w:left="426" w:hanging="426"/>
        <w:contextualSpacing/>
        <w:rPr>
          <w:rFonts w:ascii="Arial" w:hAnsi="Arial" w:cs="Arial"/>
        </w:rPr>
      </w:pPr>
      <w:r w:rsidRPr="00104F4B">
        <w:rPr>
          <w:rFonts w:ascii="Arial" w:hAnsi="Arial" w:cs="Arial"/>
        </w:rPr>
        <w:t>Disminución de revisiones duplicadas en las etapas del proceso.</w:t>
      </w:r>
    </w:p>
    <w:p w:rsidR="004700E2" w:rsidRPr="00104F4B" w:rsidRDefault="004700E2" w:rsidP="00582748">
      <w:pPr>
        <w:pStyle w:val="Prrafodelista"/>
        <w:numPr>
          <w:ilvl w:val="0"/>
          <w:numId w:val="70"/>
        </w:numPr>
        <w:spacing w:before="0"/>
        <w:ind w:left="426" w:hanging="426"/>
        <w:contextualSpacing/>
        <w:rPr>
          <w:rFonts w:ascii="Arial" w:hAnsi="Arial" w:cs="Arial"/>
        </w:rPr>
      </w:pPr>
      <w:r w:rsidRPr="00104F4B">
        <w:rPr>
          <w:rFonts w:ascii="Arial" w:hAnsi="Arial" w:cs="Arial"/>
        </w:rPr>
        <w:t>Disminución devoluciones y reprocesos.</w:t>
      </w:r>
    </w:p>
    <w:p w:rsidR="004700E2" w:rsidRPr="00104F4B" w:rsidRDefault="004700E2" w:rsidP="00582748">
      <w:pPr>
        <w:pStyle w:val="Prrafodelista"/>
        <w:numPr>
          <w:ilvl w:val="0"/>
          <w:numId w:val="70"/>
        </w:numPr>
        <w:spacing w:before="0"/>
        <w:ind w:left="426" w:hanging="426"/>
        <w:contextualSpacing/>
        <w:rPr>
          <w:rFonts w:ascii="Arial" w:hAnsi="Arial" w:cs="Arial"/>
        </w:rPr>
      </w:pPr>
      <w:r w:rsidRPr="00104F4B">
        <w:rPr>
          <w:rFonts w:ascii="Arial" w:hAnsi="Arial" w:cs="Arial"/>
        </w:rPr>
        <w:t xml:space="preserve">Optimización de la gestión, dada la simplificación y agilidad del trámite en las áreas encargadas. </w:t>
      </w:r>
    </w:p>
    <w:p w:rsidR="004700E2" w:rsidRPr="00104F4B" w:rsidRDefault="004700E2" w:rsidP="00582748">
      <w:pPr>
        <w:pStyle w:val="Prrafodelista"/>
        <w:numPr>
          <w:ilvl w:val="0"/>
          <w:numId w:val="70"/>
        </w:numPr>
        <w:spacing w:before="0"/>
        <w:ind w:left="426" w:hanging="426"/>
        <w:contextualSpacing/>
        <w:rPr>
          <w:rFonts w:ascii="Arial" w:hAnsi="Arial" w:cs="Arial"/>
        </w:rPr>
      </w:pPr>
      <w:r w:rsidRPr="00104F4B">
        <w:rPr>
          <w:rFonts w:ascii="Arial" w:hAnsi="Arial" w:cs="Arial"/>
        </w:rPr>
        <w:t>Fortalecimiento de la responsabilidad en la labor de cada participante del proceso.</w:t>
      </w:r>
    </w:p>
    <w:p w:rsidR="004700E2" w:rsidRPr="00104F4B" w:rsidRDefault="004700E2" w:rsidP="00582748">
      <w:pPr>
        <w:pStyle w:val="Prrafodelista"/>
        <w:numPr>
          <w:ilvl w:val="0"/>
          <w:numId w:val="70"/>
        </w:numPr>
        <w:spacing w:before="0"/>
        <w:ind w:left="426" w:hanging="426"/>
        <w:contextualSpacing/>
        <w:rPr>
          <w:rFonts w:ascii="Arial" w:hAnsi="Arial" w:cs="Arial"/>
        </w:rPr>
      </w:pPr>
      <w:r w:rsidRPr="00104F4B">
        <w:rPr>
          <w:rFonts w:ascii="Arial" w:hAnsi="Arial" w:cs="Arial"/>
        </w:rPr>
        <w:t>Generación de un flujo automático del proceso con mayor control y seguimiento, y automatización de tareas.</w:t>
      </w:r>
    </w:p>
    <w:p w:rsidR="004700E2" w:rsidRPr="00104F4B" w:rsidRDefault="004700E2" w:rsidP="00582748">
      <w:pPr>
        <w:pStyle w:val="Prrafodelista"/>
        <w:numPr>
          <w:ilvl w:val="0"/>
          <w:numId w:val="70"/>
        </w:numPr>
        <w:spacing w:before="0"/>
        <w:ind w:left="426" w:hanging="426"/>
        <w:contextualSpacing/>
        <w:rPr>
          <w:rFonts w:ascii="Arial" w:hAnsi="Arial" w:cs="Arial"/>
        </w:rPr>
      </w:pPr>
      <w:r w:rsidRPr="00104F4B">
        <w:rPr>
          <w:rFonts w:ascii="Arial" w:hAnsi="Arial" w:cs="Arial"/>
        </w:rPr>
        <w:t>Disminución de papel al manejar documentos digitales.</w:t>
      </w:r>
    </w:p>
    <w:p w:rsidR="004700E2" w:rsidRPr="00104F4B" w:rsidRDefault="004700E2" w:rsidP="00582748">
      <w:pPr>
        <w:pStyle w:val="Prrafodelista"/>
        <w:numPr>
          <w:ilvl w:val="0"/>
          <w:numId w:val="70"/>
        </w:numPr>
        <w:spacing w:before="0"/>
        <w:ind w:left="426" w:hanging="426"/>
        <w:contextualSpacing/>
        <w:rPr>
          <w:rFonts w:ascii="Arial" w:hAnsi="Arial" w:cs="Arial"/>
        </w:rPr>
      </w:pPr>
      <w:r w:rsidRPr="00104F4B">
        <w:rPr>
          <w:rFonts w:ascii="Arial" w:hAnsi="Arial" w:cs="Arial"/>
        </w:rPr>
        <w:t>Integración con otros aplicativos, hecho que permite obtener información unificada y de consulta permanente.</w:t>
      </w:r>
    </w:p>
    <w:p w:rsidR="004700E2" w:rsidRPr="00104F4B" w:rsidRDefault="004700E2" w:rsidP="00582748">
      <w:pPr>
        <w:pStyle w:val="Prrafodelista"/>
        <w:numPr>
          <w:ilvl w:val="0"/>
          <w:numId w:val="70"/>
        </w:numPr>
        <w:spacing w:before="0"/>
        <w:ind w:left="426" w:hanging="426"/>
        <w:contextualSpacing/>
        <w:rPr>
          <w:rFonts w:ascii="Arial" w:hAnsi="Arial" w:cs="Arial"/>
        </w:rPr>
      </w:pPr>
      <w:r w:rsidRPr="00104F4B">
        <w:rPr>
          <w:rFonts w:ascii="Arial" w:hAnsi="Arial" w:cs="Arial"/>
        </w:rPr>
        <w:t>Generación de filtros y controles automáticos que permiten disminuir el nivel de error.</w:t>
      </w:r>
    </w:p>
    <w:p w:rsidR="004700E2" w:rsidRPr="00104F4B" w:rsidRDefault="004700E2" w:rsidP="00582748">
      <w:pPr>
        <w:pStyle w:val="Prrafodelista"/>
        <w:numPr>
          <w:ilvl w:val="0"/>
          <w:numId w:val="70"/>
        </w:numPr>
        <w:spacing w:before="0"/>
        <w:ind w:left="426" w:hanging="426"/>
        <w:contextualSpacing/>
        <w:rPr>
          <w:rFonts w:ascii="Arial" w:hAnsi="Arial" w:cs="Arial"/>
        </w:rPr>
      </w:pPr>
      <w:r w:rsidRPr="00104F4B">
        <w:rPr>
          <w:rFonts w:ascii="Arial" w:hAnsi="Arial" w:cs="Arial"/>
          <w:b/>
        </w:rPr>
        <w:t xml:space="preserve">Opinión favorable sobre los estados financieros: </w:t>
      </w:r>
      <w:r w:rsidRPr="00104F4B">
        <w:rPr>
          <w:rFonts w:ascii="Arial" w:hAnsi="Arial" w:cs="Arial"/>
        </w:rPr>
        <w:t>La Contraloría de Bogotá D.C en su informe de auditoría de regularidad PAD 2018, emitió concepto favorable a los estados financieros del Instituto.</w:t>
      </w:r>
    </w:p>
    <w:p w:rsidR="004700E2" w:rsidRPr="00104F4B" w:rsidRDefault="004700E2" w:rsidP="00582748">
      <w:pPr>
        <w:pStyle w:val="Prrafodelista"/>
        <w:numPr>
          <w:ilvl w:val="0"/>
          <w:numId w:val="70"/>
        </w:numPr>
        <w:spacing w:before="0"/>
        <w:ind w:left="426" w:hanging="426"/>
        <w:contextualSpacing/>
        <w:rPr>
          <w:rFonts w:ascii="Arial" w:hAnsi="Arial" w:cs="Arial"/>
        </w:rPr>
      </w:pPr>
      <w:r w:rsidRPr="00104F4B">
        <w:rPr>
          <w:rFonts w:ascii="Arial" w:hAnsi="Arial" w:cs="Arial"/>
          <w:b/>
        </w:rPr>
        <w:t xml:space="preserve">Fenecimiento de la cuenta anual: </w:t>
      </w:r>
      <w:r w:rsidRPr="00104F4B">
        <w:rPr>
          <w:rFonts w:ascii="Arial" w:hAnsi="Arial" w:cs="Arial"/>
        </w:rPr>
        <w:t>La Contraloría de Bogotá D.C en su informe de auditoría de regularidad PAD 2018, feneció la cuenta del Instituto</w:t>
      </w:r>
    </w:p>
    <w:p w:rsidR="004700E2" w:rsidRPr="00104F4B" w:rsidRDefault="004700E2" w:rsidP="00582748">
      <w:pPr>
        <w:pStyle w:val="Prrafodelista"/>
        <w:numPr>
          <w:ilvl w:val="0"/>
          <w:numId w:val="70"/>
        </w:numPr>
        <w:spacing w:before="0"/>
        <w:ind w:left="426" w:hanging="426"/>
        <w:contextualSpacing/>
        <w:rPr>
          <w:rFonts w:ascii="Arial" w:hAnsi="Arial" w:cs="Arial"/>
        </w:rPr>
      </w:pPr>
      <w:r w:rsidRPr="00104F4B">
        <w:rPr>
          <w:rFonts w:ascii="Arial" w:hAnsi="Arial" w:cs="Arial"/>
          <w:b/>
        </w:rPr>
        <w:t xml:space="preserve">Virtualización del trámite de Pago Compensatorio de Estacionamientos: </w:t>
      </w:r>
      <w:r w:rsidRPr="00104F4B">
        <w:rPr>
          <w:rFonts w:ascii="Arial" w:hAnsi="Arial" w:cs="Arial"/>
        </w:rPr>
        <w:t>En el marco de la política de racionalización, simplificación, automatización y virtualización del trámite de Compensación de estacionamientos, se desarrolló conjuntamente con la Secretaria Distrital de Hábitat, la virtualización del trámite en la página web ventanilla única de construcción (VUC).</w:t>
      </w:r>
    </w:p>
    <w:p w:rsidR="004700E2" w:rsidRPr="00104F4B" w:rsidRDefault="004700E2" w:rsidP="00582748">
      <w:pPr>
        <w:pStyle w:val="Prrafodelista"/>
        <w:numPr>
          <w:ilvl w:val="0"/>
          <w:numId w:val="70"/>
        </w:numPr>
        <w:spacing w:before="0"/>
        <w:ind w:left="426" w:hanging="426"/>
        <w:contextualSpacing/>
        <w:rPr>
          <w:rFonts w:ascii="Arial" w:hAnsi="Arial" w:cs="Arial"/>
        </w:rPr>
      </w:pPr>
      <w:r w:rsidRPr="00104F4B">
        <w:rPr>
          <w:rFonts w:ascii="Arial" w:hAnsi="Arial" w:cs="Arial"/>
        </w:rPr>
        <w:lastRenderedPageBreak/>
        <w:t>Organización de una mesa de trabajo para la gestión de proyectos de TI bajo metodología PMI.</w:t>
      </w:r>
    </w:p>
    <w:p w:rsidR="004700E2" w:rsidRPr="00104F4B" w:rsidRDefault="004700E2" w:rsidP="00582748">
      <w:pPr>
        <w:pStyle w:val="Prrafodelista"/>
        <w:numPr>
          <w:ilvl w:val="0"/>
          <w:numId w:val="70"/>
        </w:numPr>
        <w:spacing w:before="0"/>
        <w:ind w:left="426" w:hanging="426"/>
        <w:contextualSpacing/>
        <w:rPr>
          <w:rFonts w:ascii="Arial" w:hAnsi="Arial" w:cs="Arial"/>
        </w:rPr>
      </w:pPr>
      <w:r w:rsidRPr="00104F4B">
        <w:rPr>
          <w:rFonts w:ascii="Arial" w:hAnsi="Arial" w:cs="Arial"/>
        </w:rPr>
        <w:t>Actualización de los documentos del Subsistema de Gestión de la Seguridad de la Información de los del proceso de gestión y el inventario de activos de información.</w:t>
      </w:r>
    </w:p>
    <w:p w:rsidR="004700E2" w:rsidRPr="00104F4B" w:rsidRDefault="004700E2" w:rsidP="00582748">
      <w:pPr>
        <w:pStyle w:val="Prrafodelista"/>
        <w:numPr>
          <w:ilvl w:val="0"/>
          <w:numId w:val="70"/>
        </w:numPr>
        <w:spacing w:before="0"/>
        <w:ind w:left="426" w:hanging="426"/>
        <w:contextualSpacing/>
        <w:rPr>
          <w:rFonts w:ascii="Arial" w:hAnsi="Arial" w:cs="Arial"/>
        </w:rPr>
      </w:pPr>
      <w:r w:rsidRPr="00104F4B">
        <w:rPr>
          <w:rFonts w:ascii="Arial" w:hAnsi="Arial" w:cs="Arial"/>
        </w:rPr>
        <w:t>Implementación de la estrategia del Plan de Recuperación de Desastres para Tecnología - DRP.</w:t>
      </w:r>
    </w:p>
    <w:p w:rsidR="004700E2" w:rsidRPr="00104F4B" w:rsidRDefault="004700E2" w:rsidP="00582748">
      <w:pPr>
        <w:pStyle w:val="Prrafodelista"/>
        <w:numPr>
          <w:ilvl w:val="0"/>
          <w:numId w:val="70"/>
        </w:numPr>
        <w:spacing w:before="0"/>
        <w:ind w:left="426" w:hanging="426"/>
        <w:contextualSpacing/>
        <w:rPr>
          <w:rFonts w:ascii="Arial" w:hAnsi="Arial" w:cs="Arial"/>
        </w:rPr>
      </w:pPr>
      <w:r w:rsidRPr="00104F4B">
        <w:rPr>
          <w:rFonts w:ascii="Arial" w:hAnsi="Arial" w:cs="Arial"/>
        </w:rPr>
        <w:t>Plan de concienciación y cultura organizacional sobre el Subsistema de Gestión de la Seguridad de la Información.</w:t>
      </w:r>
    </w:p>
    <w:p w:rsidR="004700E2" w:rsidRPr="00104F4B" w:rsidRDefault="004700E2" w:rsidP="00582748">
      <w:pPr>
        <w:pStyle w:val="Prrafodelista"/>
        <w:numPr>
          <w:ilvl w:val="0"/>
          <w:numId w:val="70"/>
        </w:numPr>
        <w:spacing w:before="0"/>
        <w:ind w:left="426" w:hanging="426"/>
        <w:contextualSpacing/>
        <w:rPr>
          <w:rFonts w:ascii="Arial" w:hAnsi="Arial" w:cs="Arial"/>
        </w:rPr>
      </w:pPr>
      <w:r w:rsidRPr="00104F4B">
        <w:rPr>
          <w:rFonts w:ascii="Arial" w:hAnsi="Arial" w:cs="Arial"/>
        </w:rPr>
        <w:t>Migración del Sistema Valoricemos a ambiente web.</w:t>
      </w:r>
    </w:p>
    <w:p w:rsidR="004700E2" w:rsidRPr="00104F4B" w:rsidRDefault="004700E2" w:rsidP="00582748">
      <w:pPr>
        <w:pStyle w:val="Prrafodelista"/>
        <w:numPr>
          <w:ilvl w:val="0"/>
          <w:numId w:val="70"/>
        </w:numPr>
        <w:spacing w:before="0"/>
        <w:ind w:left="426" w:hanging="426"/>
        <w:contextualSpacing/>
        <w:rPr>
          <w:rFonts w:ascii="Arial" w:hAnsi="Arial" w:cs="Arial"/>
        </w:rPr>
      </w:pPr>
      <w:r w:rsidRPr="00104F4B">
        <w:rPr>
          <w:rFonts w:ascii="Arial" w:hAnsi="Arial" w:cs="Arial"/>
        </w:rPr>
        <w:t>Puesta en producción de nuevas funcionalidades en 7 módulos de los sistemas de información institucionales.</w:t>
      </w:r>
    </w:p>
    <w:p w:rsidR="004700E2" w:rsidRPr="00104F4B" w:rsidRDefault="004700E2" w:rsidP="00582748">
      <w:pPr>
        <w:pStyle w:val="Prrafodelista"/>
        <w:numPr>
          <w:ilvl w:val="0"/>
          <w:numId w:val="70"/>
        </w:numPr>
        <w:spacing w:before="0"/>
        <w:ind w:left="426" w:hanging="426"/>
        <w:contextualSpacing/>
        <w:rPr>
          <w:rFonts w:ascii="Arial" w:hAnsi="Arial" w:cs="Arial"/>
        </w:rPr>
      </w:pPr>
      <w:r w:rsidRPr="00104F4B">
        <w:rPr>
          <w:rFonts w:ascii="Arial" w:hAnsi="Arial" w:cs="Arial"/>
        </w:rPr>
        <w:t>Puesta en producción del sistema de información de pagos a terceros SIGPAGOS.</w:t>
      </w:r>
    </w:p>
    <w:p w:rsidR="004700E2" w:rsidRPr="00104F4B" w:rsidRDefault="004700E2" w:rsidP="00582748">
      <w:pPr>
        <w:pStyle w:val="Prrafodelista"/>
        <w:numPr>
          <w:ilvl w:val="0"/>
          <w:numId w:val="70"/>
        </w:numPr>
        <w:spacing w:before="0"/>
        <w:ind w:left="426" w:hanging="426"/>
        <w:contextualSpacing/>
        <w:rPr>
          <w:rFonts w:ascii="Arial" w:hAnsi="Arial" w:cs="Arial"/>
        </w:rPr>
      </w:pPr>
      <w:r w:rsidRPr="00104F4B">
        <w:rPr>
          <w:rFonts w:ascii="Arial" w:hAnsi="Arial" w:cs="Arial"/>
        </w:rPr>
        <w:t>Implementación de un Sistema de correlación de eventos – SIEM.</w:t>
      </w:r>
    </w:p>
    <w:p w:rsidR="004700E2" w:rsidRPr="00104F4B" w:rsidRDefault="004700E2" w:rsidP="00582748">
      <w:pPr>
        <w:pStyle w:val="Prrafodelista"/>
        <w:numPr>
          <w:ilvl w:val="0"/>
          <w:numId w:val="70"/>
        </w:numPr>
        <w:spacing w:before="0"/>
        <w:ind w:left="426" w:hanging="426"/>
        <w:contextualSpacing/>
        <w:rPr>
          <w:rFonts w:ascii="Arial" w:hAnsi="Arial" w:cs="Arial"/>
        </w:rPr>
      </w:pPr>
      <w:r w:rsidRPr="00104F4B">
        <w:rPr>
          <w:rFonts w:ascii="Arial" w:hAnsi="Arial" w:cs="Arial"/>
        </w:rPr>
        <w:t>Ampliación capacidad de procesamiento y almacenamiento en servidores.</w:t>
      </w:r>
    </w:p>
    <w:p w:rsidR="004700E2" w:rsidRPr="00104F4B" w:rsidRDefault="004700E2" w:rsidP="00582748">
      <w:pPr>
        <w:pStyle w:val="Prrafodelista"/>
        <w:numPr>
          <w:ilvl w:val="0"/>
          <w:numId w:val="70"/>
        </w:numPr>
        <w:spacing w:before="0"/>
        <w:ind w:left="426" w:hanging="426"/>
        <w:contextualSpacing/>
        <w:rPr>
          <w:rFonts w:ascii="Arial" w:hAnsi="Arial" w:cs="Arial"/>
        </w:rPr>
      </w:pPr>
      <w:r w:rsidRPr="00104F4B">
        <w:rPr>
          <w:rFonts w:ascii="Arial" w:hAnsi="Arial" w:cs="Arial"/>
        </w:rPr>
        <w:t>Implementación protocolo IPV6.</w:t>
      </w:r>
    </w:p>
    <w:p w:rsidR="004700E2" w:rsidRPr="00104F4B" w:rsidRDefault="004700E2" w:rsidP="00582748">
      <w:pPr>
        <w:pStyle w:val="NormalWeb"/>
        <w:numPr>
          <w:ilvl w:val="0"/>
          <w:numId w:val="73"/>
        </w:numPr>
        <w:spacing w:before="0" w:beforeAutospacing="0" w:after="0"/>
        <w:ind w:left="426" w:hanging="426"/>
        <w:contextualSpacing/>
        <w:rPr>
          <w:rFonts w:cs="Arial"/>
          <w:szCs w:val="22"/>
        </w:rPr>
      </w:pPr>
      <w:r w:rsidRPr="00104F4B">
        <w:rPr>
          <w:rFonts w:cs="Arial"/>
          <w:szCs w:val="22"/>
        </w:rPr>
        <w:t xml:space="preserve">Aprobación en el Concejo de la ciudad del Acuerdo 724 de 2018, que permitirá recaudar $906 mil millones para financiar 16 obras importantes para la ciudad. </w:t>
      </w:r>
    </w:p>
    <w:p w:rsidR="004700E2" w:rsidRPr="00104F4B" w:rsidRDefault="004700E2" w:rsidP="00582748">
      <w:pPr>
        <w:pStyle w:val="NormalWeb"/>
        <w:numPr>
          <w:ilvl w:val="0"/>
          <w:numId w:val="73"/>
        </w:numPr>
        <w:spacing w:before="0" w:beforeAutospacing="0" w:after="0"/>
        <w:ind w:left="426" w:hanging="426"/>
        <w:contextualSpacing/>
        <w:rPr>
          <w:rFonts w:cs="Arial"/>
          <w:szCs w:val="22"/>
        </w:rPr>
      </w:pPr>
      <w:r w:rsidRPr="00104F4B">
        <w:rPr>
          <w:rFonts w:cs="Arial"/>
          <w:szCs w:val="22"/>
        </w:rPr>
        <w:t>Aprobación del procedimiento para cobro de las intervenciones en antejardines asociados a los proyectos de infraestructura IDU.</w:t>
      </w:r>
    </w:p>
    <w:p w:rsidR="004700E2" w:rsidRPr="00104F4B" w:rsidRDefault="004700E2" w:rsidP="00AA4DDC">
      <w:pPr>
        <w:pStyle w:val="Ttulo1"/>
        <w:rPr>
          <w:rFonts w:ascii="Arial" w:hAnsi="Arial" w:cs="Arial"/>
          <w:sz w:val="22"/>
          <w:szCs w:val="22"/>
        </w:rPr>
      </w:pPr>
      <w:bookmarkStart w:id="80" w:name="_Toc536195568"/>
      <w:r w:rsidRPr="00104F4B">
        <w:rPr>
          <w:rFonts w:ascii="Arial" w:hAnsi="Arial" w:cs="Arial"/>
          <w:sz w:val="22"/>
          <w:szCs w:val="22"/>
        </w:rPr>
        <w:t>Cobro coactivo</w:t>
      </w:r>
      <w:bookmarkEnd w:id="80"/>
    </w:p>
    <w:p w:rsidR="004700E2" w:rsidRPr="00104F4B" w:rsidRDefault="004700E2" w:rsidP="00582748">
      <w:pPr>
        <w:pStyle w:val="NormalWeb"/>
        <w:numPr>
          <w:ilvl w:val="0"/>
          <w:numId w:val="73"/>
        </w:numPr>
        <w:spacing w:before="0" w:beforeAutospacing="0" w:after="0"/>
        <w:ind w:left="426" w:hanging="426"/>
        <w:contextualSpacing/>
        <w:rPr>
          <w:rFonts w:cs="Arial"/>
          <w:szCs w:val="22"/>
        </w:rPr>
      </w:pPr>
      <w:r w:rsidRPr="00104F4B">
        <w:rPr>
          <w:rFonts w:cs="Arial"/>
          <w:szCs w:val="22"/>
        </w:rPr>
        <w:t>Sustanciación de 51.404 expedientes hecho que implicó la emisión de 342 mandamientos de pago, decreto de 5.373 medidas cautelares de embargo y secuestro, 381 inscripciones, 17.265 levantamientos de gravamen por valorización, suscripción de 651 acuerdos de pago y 881 requerimientos a los contribuyentes morosos. Con corte 31 de diciembre de 2018 quedaron activos 22.260 procesos de cobro coactivo. Al finalizar el año se habían recaudado $10.517´994.799.</w:t>
      </w:r>
    </w:p>
    <w:p w:rsidR="004700E2" w:rsidRPr="00104F4B" w:rsidRDefault="004700E2" w:rsidP="00AA4DDC">
      <w:pPr>
        <w:pStyle w:val="Ttulo1"/>
        <w:rPr>
          <w:rFonts w:ascii="Arial" w:hAnsi="Arial" w:cs="Arial"/>
          <w:sz w:val="22"/>
          <w:szCs w:val="22"/>
        </w:rPr>
      </w:pPr>
      <w:bookmarkStart w:id="81" w:name="_Toc536195569"/>
      <w:r w:rsidRPr="00104F4B">
        <w:rPr>
          <w:rFonts w:ascii="Arial" w:hAnsi="Arial" w:cs="Arial"/>
          <w:sz w:val="22"/>
          <w:szCs w:val="22"/>
        </w:rPr>
        <w:t>Actos administrativos</w:t>
      </w:r>
      <w:bookmarkEnd w:id="81"/>
    </w:p>
    <w:p w:rsidR="004700E2" w:rsidRPr="00104F4B" w:rsidRDefault="004700E2" w:rsidP="00582748">
      <w:pPr>
        <w:pStyle w:val="NormalWeb"/>
        <w:numPr>
          <w:ilvl w:val="0"/>
          <w:numId w:val="73"/>
        </w:numPr>
        <w:spacing w:before="0" w:beforeAutospacing="0" w:after="0" w:afterAutospacing="0"/>
        <w:ind w:left="425" w:hanging="425"/>
        <w:contextualSpacing/>
        <w:rPr>
          <w:rFonts w:cs="Arial"/>
          <w:szCs w:val="22"/>
        </w:rPr>
      </w:pPr>
      <w:r w:rsidRPr="00104F4B">
        <w:rPr>
          <w:rFonts w:cs="Arial"/>
          <w:szCs w:val="22"/>
        </w:rPr>
        <w:t>Durante el año, se proyectaron 648 resoluciones para la firma de la Subdirección General Jurídica, en relación con reclamaciones, revocatorias y actuaciones oficiosas, las cuales fueron debidamente notificadas.</w:t>
      </w:r>
    </w:p>
    <w:p w:rsidR="004700E2" w:rsidRPr="00104F4B" w:rsidRDefault="004700E2" w:rsidP="00582748">
      <w:pPr>
        <w:pStyle w:val="Prrafodelista"/>
        <w:numPr>
          <w:ilvl w:val="0"/>
          <w:numId w:val="72"/>
        </w:numPr>
        <w:spacing w:before="0"/>
        <w:ind w:left="425" w:hanging="425"/>
        <w:contextualSpacing/>
        <w:rPr>
          <w:rFonts w:ascii="Arial" w:eastAsia="Times New Roman" w:hAnsi="Arial" w:cs="Arial"/>
          <w:bCs/>
          <w:lang w:val="es-ES"/>
        </w:rPr>
      </w:pPr>
      <w:r w:rsidRPr="00104F4B">
        <w:rPr>
          <w:rFonts w:ascii="Arial" w:eastAsia="Times New Roman" w:hAnsi="Arial" w:cs="Arial"/>
          <w:bCs/>
          <w:lang w:val="es-ES"/>
        </w:rPr>
        <w:t>Estructuración de la Memoria Técnica para el Acuerdo 724 de 2018.</w:t>
      </w:r>
    </w:p>
    <w:p w:rsidR="004700E2" w:rsidRPr="00104F4B" w:rsidRDefault="004700E2" w:rsidP="00582748">
      <w:pPr>
        <w:pStyle w:val="Prrafodelista"/>
        <w:numPr>
          <w:ilvl w:val="0"/>
          <w:numId w:val="72"/>
        </w:numPr>
        <w:spacing w:before="0"/>
        <w:ind w:left="425" w:hanging="425"/>
        <w:contextualSpacing/>
        <w:rPr>
          <w:rFonts w:ascii="Arial" w:eastAsia="Times New Roman" w:hAnsi="Arial" w:cs="Arial"/>
          <w:bCs/>
          <w:lang w:val="es-ES"/>
        </w:rPr>
      </w:pPr>
      <w:r w:rsidRPr="00104F4B">
        <w:rPr>
          <w:rFonts w:ascii="Arial" w:eastAsia="Times New Roman" w:hAnsi="Arial" w:cs="Arial"/>
          <w:bCs/>
          <w:lang w:val="es-ES"/>
        </w:rPr>
        <w:t xml:space="preserve">Definición de los diferentes escenarios de devolución y fabricación de la base de datos con la información resultante de la modelación (montos de devolución) </w:t>
      </w:r>
    </w:p>
    <w:p w:rsidR="004700E2" w:rsidRPr="00104F4B" w:rsidRDefault="004700E2" w:rsidP="00582748">
      <w:pPr>
        <w:pStyle w:val="Prrafodelista"/>
        <w:numPr>
          <w:ilvl w:val="0"/>
          <w:numId w:val="72"/>
        </w:numPr>
        <w:spacing w:before="0"/>
        <w:ind w:left="426" w:hanging="426"/>
        <w:contextualSpacing/>
        <w:rPr>
          <w:rFonts w:ascii="Arial" w:hAnsi="Arial" w:cs="Arial"/>
          <w:color w:val="222222"/>
        </w:rPr>
      </w:pPr>
      <w:r w:rsidRPr="00104F4B">
        <w:rPr>
          <w:rFonts w:ascii="Arial" w:hAnsi="Arial" w:cs="Arial"/>
          <w:color w:val="222222"/>
        </w:rPr>
        <w:t>Elaboración del procedimiento de Antejardines.</w:t>
      </w:r>
    </w:p>
    <w:p w:rsidR="004700E2" w:rsidRPr="00104F4B" w:rsidRDefault="004700E2" w:rsidP="00582748">
      <w:pPr>
        <w:pStyle w:val="Prrafodelista"/>
        <w:numPr>
          <w:ilvl w:val="0"/>
          <w:numId w:val="72"/>
        </w:numPr>
        <w:spacing w:before="0"/>
        <w:ind w:left="426" w:hanging="426"/>
        <w:contextualSpacing/>
        <w:rPr>
          <w:rFonts w:ascii="Arial" w:eastAsia="Times New Roman" w:hAnsi="Arial" w:cs="Arial"/>
          <w:color w:val="222222"/>
        </w:rPr>
      </w:pPr>
      <w:r w:rsidRPr="00104F4B">
        <w:rPr>
          <w:rFonts w:ascii="Arial" w:eastAsia="Times New Roman" w:hAnsi="Arial" w:cs="Arial"/>
          <w:color w:val="222222"/>
        </w:rPr>
        <w:t>Propuesta Voluntariado de Servicio Incluyente en los puntos de atención</w:t>
      </w:r>
    </w:p>
    <w:p w:rsidR="004700E2" w:rsidRPr="00104F4B" w:rsidRDefault="004700E2" w:rsidP="00582748">
      <w:pPr>
        <w:pStyle w:val="Prrafodelista"/>
        <w:numPr>
          <w:ilvl w:val="0"/>
          <w:numId w:val="72"/>
        </w:numPr>
        <w:spacing w:before="0"/>
        <w:ind w:left="426" w:hanging="426"/>
        <w:contextualSpacing/>
        <w:rPr>
          <w:rFonts w:ascii="Arial" w:hAnsi="Arial" w:cs="Arial"/>
        </w:rPr>
      </w:pPr>
      <w:r w:rsidRPr="00104F4B">
        <w:rPr>
          <w:rFonts w:ascii="Arial" w:hAnsi="Arial" w:cs="Arial"/>
        </w:rPr>
        <w:t>Preservación y digitalización la cartografía que se encuentra en el archivo físico de la Planoteca.</w:t>
      </w:r>
    </w:p>
    <w:p w:rsidR="004700E2" w:rsidRPr="00104F4B" w:rsidRDefault="004700E2" w:rsidP="00582748">
      <w:pPr>
        <w:pStyle w:val="Prrafodelista"/>
        <w:numPr>
          <w:ilvl w:val="0"/>
          <w:numId w:val="72"/>
        </w:numPr>
        <w:spacing w:before="0"/>
        <w:ind w:left="426" w:hanging="426"/>
        <w:contextualSpacing/>
        <w:rPr>
          <w:rFonts w:ascii="Arial" w:hAnsi="Arial" w:cs="Arial"/>
          <w:color w:val="222222"/>
        </w:rPr>
      </w:pPr>
      <w:r w:rsidRPr="00104F4B">
        <w:rPr>
          <w:rFonts w:ascii="Arial" w:hAnsi="Arial" w:cs="Arial"/>
          <w:color w:val="222222"/>
        </w:rPr>
        <w:t>Estructuración e implementación de un protocolo de atención al ciudadano que permite mejorar los servicios que se prestan en la Calle 20.</w:t>
      </w:r>
    </w:p>
    <w:p w:rsidR="004700E2" w:rsidRPr="00104F4B" w:rsidRDefault="004700E2" w:rsidP="00582748">
      <w:pPr>
        <w:pStyle w:val="Prrafodelista"/>
        <w:numPr>
          <w:ilvl w:val="0"/>
          <w:numId w:val="72"/>
        </w:numPr>
        <w:spacing w:before="0"/>
        <w:ind w:left="426" w:hanging="426"/>
        <w:contextualSpacing/>
        <w:rPr>
          <w:rFonts w:ascii="Arial" w:eastAsia="Times New Roman" w:hAnsi="Arial" w:cs="Arial"/>
          <w:bCs/>
          <w:lang w:val="es-ES"/>
        </w:rPr>
      </w:pPr>
      <w:r w:rsidRPr="00104F4B">
        <w:rPr>
          <w:rFonts w:ascii="Arial" w:eastAsia="Times New Roman" w:hAnsi="Arial" w:cs="Arial"/>
          <w:bCs/>
          <w:lang w:val="es-ES"/>
        </w:rPr>
        <w:t xml:space="preserve">Depuración de la información de saldos a favor, en el aplicativo Valoricemos con el fin de realizar el saneamiento contable. </w:t>
      </w:r>
    </w:p>
    <w:p w:rsidR="004700E2" w:rsidRPr="00104F4B" w:rsidRDefault="004700E2" w:rsidP="00AA4DDC">
      <w:pPr>
        <w:pStyle w:val="Ttulo1"/>
        <w:rPr>
          <w:rFonts w:ascii="Arial" w:hAnsi="Arial" w:cs="Arial"/>
          <w:sz w:val="22"/>
          <w:szCs w:val="22"/>
        </w:rPr>
      </w:pPr>
      <w:bookmarkStart w:id="82" w:name="_Toc536195570"/>
      <w:r w:rsidRPr="00104F4B">
        <w:rPr>
          <w:rFonts w:ascii="Arial" w:hAnsi="Arial" w:cs="Arial"/>
          <w:sz w:val="22"/>
          <w:szCs w:val="22"/>
        </w:rPr>
        <w:t>7.3  Recomendaciones para el mejoramiento de la gestión</w:t>
      </w:r>
      <w:bookmarkEnd w:id="82"/>
    </w:p>
    <w:p w:rsidR="004700E2" w:rsidRPr="00104F4B" w:rsidRDefault="004700E2" w:rsidP="00582748">
      <w:pPr>
        <w:pStyle w:val="Prrafodelista"/>
        <w:numPr>
          <w:ilvl w:val="0"/>
          <w:numId w:val="70"/>
        </w:numPr>
        <w:spacing w:before="0"/>
        <w:ind w:left="426" w:hanging="426"/>
        <w:contextualSpacing/>
        <w:rPr>
          <w:rFonts w:ascii="Arial" w:hAnsi="Arial" w:cs="Arial"/>
        </w:rPr>
      </w:pPr>
      <w:r w:rsidRPr="00104F4B">
        <w:rPr>
          <w:rFonts w:ascii="Arial" w:hAnsi="Arial" w:cs="Arial"/>
        </w:rPr>
        <w:t>Realizar campañas de comunicación para despertar mayor participación e interés en los temas transversales, tales como asistir a las capacitaciones de gestión documental, de seguros, del nuevo sistema de telefonía; en las campañas de orden y aseo y en las medidas de seguridad para el ingreso y permanencia en las instalaciones.</w:t>
      </w:r>
    </w:p>
    <w:p w:rsidR="004700E2" w:rsidRPr="00104F4B" w:rsidRDefault="004700E2" w:rsidP="00582748">
      <w:pPr>
        <w:pStyle w:val="Prrafodelista"/>
        <w:numPr>
          <w:ilvl w:val="0"/>
          <w:numId w:val="70"/>
        </w:numPr>
        <w:spacing w:before="0"/>
        <w:ind w:left="426" w:hanging="426"/>
        <w:contextualSpacing/>
        <w:rPr>
          <w:rFonts w:ascii="Arial" w:hAnsi="Arial" w:cs="Arial"/>
        </w:rPr>
      </w:pPr>
      <w:r w:rsidRPr="00104F4B">
        <w:rPr>
          <w:rFonts w:ascii="Arial" w:hAnsi="Arial" w:cs="Arial"/>
        </w:rPr>
        <w:lastRenderedPageBreak/>
        <w:t>Agilizar los tiempos de revisión de las pólizas que suscriben los contratistas, junto con la definición y socialización de parámetros que no están estipulados en el contrato y que retrasan la suscripción del Acta de Inicio.</w:t>
      </w:r>
    </w:p>
    <w:p w:rsidR="004700E2" w:rsidRPr="00104F4B" w:rsidRDefault="004700E2" w:rsidP="00582748">
      <w:pPr>
        <w:pStyle w:val="Prrafodelista"/>
        <w:numPr>
          <w:ilvl w:val="0"/>
          <w:numId w:val="70"/>
        </w:numPr>
        <w:spacing w:before="0"/>
        <w:ind w:left="426" w:hanging="426"/>
        <w:contextualSpacing/>
        <w:rPr>
          <w:rFonts w:ascii="Arial" w:hAnsi="Arial" w:cs="Arial"/>
        </w:rPr>
      </w:pPr>
      <w:r w:rsidRPr="00104F4B">
        <w:rPr>
          <w:rFonts w:ascii="Arial" w:hAnsi="Arial" w:cs="Arial"/>
        </w:rPr>
        <w:t>Con el fin de agilizar los procesos de contratación, una vez radicados éstos en la DTPS, se sugiere que la emisión unificada de observaciones, que sea producto de un análisis integral.</w:t>
      </w:r>
    </w:p>
    <w:p w:rsidR="004700E2" w:rsidRPr="00104F4B" w:rsidRDefault="004700E2" w:rsidP="00582748">
      <w:pPr>
        <w:pStyle w:val="Prrafodelista"/>
        <w:numPr>
          <w:ilvl w:val="0"/>
          <w:numId w:val="70"/>
        </w:numPr>
        <w:spacing w:before="0"/>
        <w:ind w:left="426" w:hanging="426"/>
        <w:contextualSpacing/>
        <w:rPr>
          <w:rFonts w:ascii="Arial" w:hAnsi="Arial" w:cs="Arial"/>
        </w:rPr>
      </w:pPr>
      <w:r w:rsidRPr="00104F4B">
        <w:rPr>
          <w:rFonts w:ascii="Arial" w:hAnsi="Arial" w:cs="Arial"/>
        </w:rPr>
        <w:t>Continuar con actividades para mejoramiento de clima laboral y fortalecimiento de trabajo en equipo.</w:t>
      </w:r>
    </w:p>
    <w:p w:rsidR="004700E2" w:rsidRPr="00104F4B" w:rsidRDefault="004700E2" w:rsidP="00582748">
      <w:pPr>
        <w:pStyle w:val="Prrafodelista"/>
        <w:numPr>
          <w:ilvl w:val="0"/>
          <w:numId w:val="70"/>
        </w:numPr>
        <w:spacing w:before="0"/>
        <w:ind w:left="426" w:hanging="426"/>
        <w:contextualSpacing/>
        <w:rPr>
          <w:rFonts w:ascii="Arial" w:hAnsi="Arial" w:cs="Arial"/>
        </w:rPr>
      </w:pPr>
      <w:r w:rsidRPr="00104F4B">
        <w:rPr>
          <w:rFonts w:ascii="Arial" w:hAnsi="Arial" w:cs="Arial"/>
        </w:rPr>
        <w:t>Continuar con la divulgación y apropiación del Código de Integridad.</w:t>
      </w:r>
    </w:p>
    <w:p w:rsidR="004700E2" w:rsidRPr="00104F4B" w:rsidRDefault="004700E2" w:rsidP="00582748">
      <w:pPr>
        <w:pStyle w:val="Prrafodelista"/>
        <w:numPr>
          <w:ilvl w:val="0"/>
          <w:numId w:val="70"/>
        </w:numPr>
        <w:spacing w:before="0"/>
        <w:ind w:left="426" w:hanging="426"/>
        <w:contextualSpacing/>
        <w:rPr>
          <w:rFonts w:ascii="Arial" w:hAnsi="Arial" w:cs="Arial"/>
        </w:rPr>
      </w:pPr>
      <w:r w:rsidRPr="00104F4B">
        <w:rPr>
          <w:rFonts w:ascii="Arial" w:hAnsi="Arial" w:cs="Arial"/>
        </w:rPr>
        <w:t>Realizar actividades para toma de conciencia en la prevención de riesgos y prácticas de autocuidado.</w:t>
      </w:r>
    </w:p>
    <w:p w:rsidR="004700E2" w:rsidRPr="00104F4B" w:rsidRDefault="004700E2" w:rsidP="00582748">
      <w:pPr>
        <w:pStyle w:val="Prrafodelista"/>
        <w:numPr>
          <w:ilvl w:val="0"/>
          <w:numId w:val="70"/>
        </w:numPr>
        <w:spacing w:before="0"/>
        <w:ind w:left="426" w:hanging="426"/>
        <w:contextualSpacing/>
        <w:rPr>
          <w:rFonts w:ascii="Arial" w:hAnsi="Arial" w:cs="Arial"/>
        </w:rPr>
      </w:pPr>
      <w:r w:rsidRPr="00104F4B">
        <w:rPr>
          <w:rFonts w:ascii="Arial" w:hAnsi="Arial" w:cs="Arial"/>
        </w:rPr>
        <w:t>A partir de abril de 2019, la SHD tiene previsto implementar el sistema BOGDATA , para realizar todos los tramites financieros (Presupuesto – Tesorería – Terceros.), lo que conlleva a que el Instituto deba ajustar su sistema financiero STONE, para cumplir con los nuevos requerimientos.</w:t>
      </w:r>
    </w:p>
    <w:p w:rsidR="004700E2" w:rsidRPr="00104F4B" w:rsidRDefault="004700E2" w:rsidP="00582748">
      <w:pPr>
        <w:pStyle w:val="Prrafodelista"/>
        <w:numPr>
          <w:ilvl w:val="0"/>
          <w:numId w:val="70"/>
        </w:numPr>
        <w:spacing w:before="0"/>
        <w:ind w:left="426" w:hanging="426"/>
        <w:contextualSpacing/>
        <w:rPr>
          <w:rFonts w:ascii="Arial" w:hAnsi="Arial" w:cs="Arial"/>
        </w:rPr>
      </w:pPr>
      <w:r w:rsidRPr="00104F4B">
        <w:rPr>
          <w:rFonts w:ascii="Arial" w:hAnsi="Arial" w:cs="Arial"/>
        </w:rPr>
        <w:t>Continuar optimizando el Sistema SIGPAGOS.</w:t>
      </w:r>
    </w:p>
    <w:p w:rsidR="004700E2" w:rsidRPr="00104F4B" w:rsidRDefault="004700E2" w:rsidP="00582748">
      <w:pPr>
        <w:pStyle w:val="Prrafodelista"/>
        <w:numPr>
          <w:ilvl w:val="0"/>
          <w:numId w:val="70"/>
        </w:numPr>
        <w:spacing w:before="0"/>
        <w:ind w:left="426" w:hanging="426"/>
        <w:contextualSpacing/>
        <w:rPr>
          <w:rFonts w:ascii="Arial" w:hAnsi="Arial" w:cs="Arial"/>
        </w:rPr>
      </w:pPr>
      <w:r w:rsidRPr="00104F4B">
        <w:rPr>
          <w:rFonts w:ascii="Arial" w:hAnsi="Arial" w:cs="Arial"/>
        </w:rPr>
        <w:t>Administrar el recaudo de la contribución por valorización prevista en el Acuerdo de Valorización 724 de 2018. En este marco se debe hacer seguimiento al desarrollo informático, por parte de las entidades financieras del web service – aplicación en línea.</w:t>
      </w:r>
    </w:p>
    <w:p w:rsidR="004700E2" w:rsidRPr="00104F4B" w:rsidRDefault="004700E2" w:rsidP="00582748">
      <w:pPr>
        <w:pStyle w:val="Prrafodelista"/>
        <w:numPr>
          <w:ilvl w:val="0"/>
          <w:numId w:val="70"/>
        </w:numPr>
        <w:spacing w:before="0"/>
        <w:ind w:left="426" w:hanging="426"/>
        <w:contextualSpacing/>
        <w:rPr>
          <w:rFonts w:ascii="Arial" w:hAnsi="Arial" w:cs="Arial"/>
        </w:rPr>
      </w:pPr>
      <w:r w:rsidRPr="00104F4B">
        <w:rPr>
          <w:rFonts w:ascii="Arial" w:hAnsi="Arial" w:cs="Arial"/>
        </w:rPr>
        <w:t>Asumir el nuevo esquema de administración de los depósitos judiciales, en consideración de las políticas del Banco Agrario.</w:t>
      </w:r>
    </w:p>
    <w:p w:rsidR="004700E2" w:rsidRPr="00104F4B" w:rsidRDefault="004700E2" w:rsidP="00582748">
      <w:pPr>
        <w:pStyle w:val="Prrafodelista"/>
        <w:numPr>
          <w:ilvl w:val="0"/>
          <w:numId w:val="70"/>
        </w:numPr>
        <w:spacing w:before="0"/>
        <w:ind w:left="426" w:hanging="426"/>
        <w:contextualSpacing/>
        <w:rPr>
          <w:rFonts w:ascii="Arial" w:hAnsi="Arial" w:cs="Arial"/>
        </w:rPr>
      </w:pPr>
      <w:r w:rsidRPr="00104F4B">
        <w:rPr>
          <w:rFonts w:ascii="Arial" w:hAnsi="Arial" w:cs="Arial"/>
        </w:rPr>
        <w:t>Implementar en el sistema STONE, el módulo de cesiones de derechos económicos.</w:t>
      </w:r>
    </w:p>
    <w:p w:rsidR="004700E2" w:rsidRPr="00104F4B" w:rsidRDefault="004700E2" w:rsidP="00582748">
      <w:pPr>
        <w:pStyle w:val="Prrafodelista"/>
        <w:numPr>
          <w:ilvl w:val="0"/>
          <w:numId w:val="78"/>
        </w:numPr>
        <w:spacing w:before="0"/>
        <w:ind w:left="360"/>
        <w:contextualSpacing/>
        <w:rPr>
          <w:rFonts w:ascii="Arial" w:hAnsi="Arial" w:cs="Arial"/>
        </w:rPr>
      </w:pPr>
      <w:r w:rsidRPr="00104F4B">
        <w:rPr>
          <w:rFonts w:ascii="Arial" w:hAnsi="Arial" w:cs="Arial"/>
        </w:rPr>
        <w:t>A partir del 1 de abril de 2019 la Secretaría Distrital de Hacienda tiene previsto implementar una nueva herramienta tecnológica denominada BOGDATA, por lo que el Instituto debe estar atento respecto de los requerimientos para la correspondiente implementación.</w:t>
      </w:r>
    </w:p>
    <w:p w:rsidR="004700E2" w:rsidRPr="00104F4B" w:rsidRDefault="004700E2" w:rsidP="00582748">
      <w:pPr>
        <w:pStyle w:val="Prrafodelista"/>
        <w:numPr>
          <w:ilvl w:val="0"/>
          <w:numId w:val="70"/>
        </w:numPr>
        <w:spacing w:before="0"/>
        <w:ind w:left="426" w:hanging="426"/>
        <w:contextualSpacing/>
        <w:rPr>
          <w:rFonts w:ascii="Arial" w:hAnsi="Arial" w:cs="Arial"/>
        </w:rPr>
      </w:pPr>
      <w:r w:rsidRPr="00104F4B">
        <w:rPr>
          <w:rFonts w:ascii="Arial" w:hAnsi="Arial" w:cs="Arial"/>
        </w:rPr>
        <w:t>Aumentar la integración vertical de la institución con la STRT.</w:t>
      </w:r>
    </w:p>
    <w:p w:rsidR="004700E2" w:rsidRPr="00104F4B" w:rsidRDefault="004700E2" w:rsidP="00582748">
      <w:pPr>
        <w:pStyle w:val="Prrafodelista"/>
        <w:numPr>
          <w:ilvl w:val="0"/>
          <w:numId w:val="70"/>
        </w:numPr>
        <w:spacing w:before="0"/>
        <w:ind w:left="426" w:hanging="426"/>
        <w:contextualSpacing/>
        <w:rPr>
          <w:rFonts w:ascii="Arial" w:hAnsi="Arial" w:cs="Arial"/>
        </w:rPr>
      </w:pPr>
      <w:r w:rsidRPr="00104F4B">
        <w:rPr>
          <w:rFonts w:ascii="Arial" w:hAnsi="Arial" w:cs="Arial"/>
        </w:rPr>
        <w:t>Optimizar el proceso interno precontractual y contractual del IDU.</w:t>
      </w:r>
    </w:p>
    <w:p w:rsidR="004700E2" w:rsidRPr="00104F4B" w:rsidRDefault="004700E2" w:rsidP="00582748">
      <w:pPr>
        <w:pStyle w:val="Prrafodelista"/>
        <w:numPr>
          <w:ilvl w:val="0"/>
          <w:numId w:val="70"/>
        </w:numPr>
        <w:spacing w:before="0"/>
        <w:ind w:left="426" w:hanging="426"/>
        <w:contextualSpacing/>
        <w:rPr>
          <w:rFonts w:ascii="Arial" w:hAnsi="Arial" w:cs="Arial"/>
        </w:rPr>
      </w:pPr>
      <w:r w:rsidRPr="00104F4B">
        <w:rPr>
          <w:rFonts w:ascii="Arial" w:eastAsiaTheme="minorHAnsi" w:hAnsi="Arial" w:cs="Arial"/>
          <w:lang w:eastAsia="en-US"/>
        </w:rPr>
        <w:t>Revisar lo dispuesto en la ley 1386 de 2010 que estableció la prohibición que las entidades territoriales deleguen, a cualquier título, la administración de los diferentes tributos a</w:t>
      </w:r>
      <w:r w:rsidRPr="00104F4B">
        <w:rPr>
          <w:rFonts w:ascii="Arial" w:hAnsi="Arial" w:cs="Arial"/>
        </w:rPr>
        <w:t xml:space="preserve"> particulares.</w:t>
      </w:r>
    </w:p>
    <w:p w:rsidR="004700E2" w:rsidRPr="00104F4B" w:rsidRDefault="004700E2" w:rsidP="00582748">
      <w:pPr>
        <w:pStyle w:val="Prrafodelista"/>
        <w:numPr>
          <w:ilvl w:val="0"/>
          <w:numId w:val="74"/>
        </w:numPr>
        <w:spacing w:before="0"/>
        <w:ind w:left="426" w:hanging="426"/>
        <w:contextualSpacing/>
        <w:rPr>
          <w:rFonts w:ascii="Arial" w:eastAsia="Times New Roman" w:hAnsi="Arial" w:cs="Arial"/>
          <w:bCs/>
          <w:lang w:val="es-ES"/>
        </w:rPr>
      </w:pPr>
      <w:r w:rsidRPr="00104F4B">
        <w:rPr>
          <w:rFonts w:ascii="Arial" w:eastAsia="Times New Roman" w:hAnsi="Arial" w:cs="Arial"/>
          <w:bCs/>
          <w:lang w:val="es-ES"/>
        </w:rPr>
        <w:t xml:space="preserve">Implementar y publicar como caso de éxito el procedimiento de generación de un Proyecto Nuevo de Valorización teniendo y sus implementaciones realizadas al Sistema de Información Valoricemos, </w:t>
      </w:r>
    </w:p>
    <w:p w:rsidR="004700E2" w:rsidRPr="00104F4B" w:rsidRDefault="004700E2" w:rsidP="00582748">
      <w:pPr>
        <w:pStyle w:val="Prrafodelista"/>
        <w:numPr>
          <w:ilvl w:val="0"/>
          <w:numId w:val="74"/>
        </w:numPr>
        <w:spacing w:before="0"/>
        <w:ind w:left="426" w:hanging="426"/>
        <w:contextualSpacing/>
        <w:rPr>
          <w:rFonts w:ascii="Arial" w:eastAsia="Times New Roman" w:hAnsi="Arial" w:cs="Arial"/>
          <w:b/>
          <w:bCs/>
          <w:lang w:val="es-ES"/>
        </w:rPr>
      </w:pPr>
      <w:r w:rsidRPr="00104F4B">
        <w:rPr>
          <w:rFonts w:ascii="Arial" w:eastAsia="Times New Roman" w:hAnsi="Arial" w:cs="Arial"/>
          <w:bCs/>
          <w:lang w:val="es-ES"/>
        </w:rPr>
        <w:t>Proporcionar a la Subdirección Técnica de Operaciones, una Base de Datos Geográfica que contenga la información de los diferentes acuerdos de valorización y que se ajuste con el esquema que exige la Dirección Técnica Estratégica, para su incorporación al SIG institucional.</w:t>
      </w:r>
    </w:p>
    <w:p w:rsidR="004700E2" w:rsidRPr="00104F4B" w:rsidRDefault="004700E2" w:rsidP="00AA4DDC">
      <w:pPr>
        <w:pStyle w:val="Ttulo1"/>
        <w:rPr>
          <w:rFonts w:ascii="Arial" w:hAnsi="Arial" w:cs="Arial"/>
          <w:sz w:val="22"/>
          <w:szCs w:val="22"/>
        </w:rPr>
      </w:pPr>
      <w:bookmarkStart w:id="83" w:name="_Toc536195571"/>
      <w:r w:rsidRPr="00104F4B">
        <w:rPr>
          <w:rFonts w:ascii="Arial" w:hAnsi="Arial" w:cs="Arial"/>
          <w:sz w:val="22"/>
          <w:szCs w:val="22"/>
        </w:rPr>
        <w:t>7.4 Dificultades en la ejecución de la gestión a cargo</w:t>
      </w:r>
      <w:bookmarkEnd w:id="83"/>
    </w:p>
    <w:p w:rsidR="004700E2" w:rsidRPr="00104F4B" w:rsidRDefault="004700E2" w:rsidP="00AA4DDC">
      <w:pPr>
        <w:rPr>
          <w:rFonts w:cs="Arial"/>
          <w:b/>
          <w:szCs w:val="22"/>
        </w:rPr>
      </w:pPr>
    </w:p>
    <w:p w:rsidR="004700E2" w:rsidRPr="00104F4B" w:rsidRDefault="004700E2" w:rsidP="00582748">
      <w:pPr>
        <w:pStyle w:val="Prrafodelista"/>
        <w:numPr>
          <w:ilvl w:val="0"/>
          <w:numId w:val="70"/>
        </w:numPr>
        <w:spacing w:before="0"/>
        <w:ind w:left="426" w:hanging="426"/>
        <w:contextualSpacing/>
        <w:rPr>
          <w:rFonts w:ascii="Arial" w:hAnsi="Arial" w:cs="Arial"/>
        </w:rPr>
      </w:pPr>
      <w:r w:rsidRPr="00104F4B">
        <w:rPr>
          <w:rFonts w:ascii="Arial" w:hAnsi="Arial" w:cs="Arial"/>
        </w:rPr>
        <w:t xml:space="preserve">Poca asistencia por parte de los servidores a los cursos de capacitación y práctica de exámenes médicos. </w:t>
      </w:r>
    </w:p>
    <w:p w:rsidR="004700E2" w:rsidRPr="00104F4B" w:rsidRDefault="004700E2" w:rsidP="00582748">
      <w:pPr>
        <w:pStyle w:val="Prrafodelista"/>
        <w:numPr>
          <w:ilvl w:val="0"/>
          <w:numId w:val="70"/>
        </w:numPr>
        <w:spacing w:before="0"/>
        <w:ind w:left="426" w:hanging="426"/>
        <w:contextualSpacing/>
        <w:rPr>
          <w:rFonts w:ascii="Arial" w:hAnsi="Arial" w:cs="Arial"/>
        </w:rPr>
      </w:pPr>
      <w:r w:rsidRPr="00104F4B">
        <w:rPr>
          <w:rFonts w:ascii="Arial" w:hAnsi="Arial" w:cs="Arial"/>
        </w:rPr>
        <w:t>La ejecución de la programación inicial del PAC efectuada por las diferentes áreas ejecutoras del IDU, no fue optima, situación que afectó la planeación financiera.</w:t>
      </w:r>
    </w:p>
    <w:p w:rsidR="004700E2" w:rsidRPr="00104F4B" w:rsidRDefault="004700E2" w:rsidP="00582748">
      <w:pPr>
        <w:pStyle w:val="Prrafodelista"/>
        <w:numPr>
          <w:ilvl w:val="0"/>
          <w:numId w:val="70"/>
        </w:numPr>
        <w:spacing w:before="0"/>
        <w:ind w:left="426" w:hanging="426"/>
        <w:contextualSpacing/>
        <w:rPr>
          <w:rFonts w:ascii="Arial" w:hAnsi="Arial" w:cs="Arial"/>
        </w:rPr>
      </w:pPr>
      <w:r w:rsidRPr="00104F4B">
        <w:rPr>
          <w:rFonts w:ascii="Arial" w:hAnsi="Arial" w:cs="Arial"/>
        </w:rPr>
        <w:t>La etapa precontractual de los procesos de contratación no se realiza con la agilidad esperada, lo que imposibilita el oportuno desarrollo de los proyectos definidos en el plan de acción de la Subdirección.</w:t>
      </w:r>
    </w:p>
    <w:p w:rsidR="004700E2" w:rsidRPr="00104F4B" w:rsidRDefault="004700E2" w:rsidP="00582748">
      <w:pPr>
        <w:pStyle w:val="Prrafodelista"/>
        <w:numPr>
          <w:ilvl w:val="0"/>
          <w:numId w:val="70"/>
        </w:numPr>
        <w:spacing w:before="0"/>
        <w:ind w:left="426" w:hanging="426"/>
        <w:contextualSpacing/>
        <w:rPr>
          <w:rFonts w:ascii="Arial" w:hAnsi="Arial" w:cs="Arial"/>
        </w:rPr>
      </w:pPr>
      <w:r w:rsidRPr="00104F4B">
        <w:rPr>
          <w:rFonts w:ascii="Arial" w:hAnsi="Arial" w:cs="Arial"/>
        </w:rPr>
        <w:t>Baja apropiación de los sistemas de información por parte de los propietarios, retrasando la oportunidad en la entrega de la información.</w:t>
      </w:r>
    </w:p>
    <w:p w:rsidR="004700E2" w:rsidRPr="00104F4B" w:rsidRDefault="004700E2" w:rsidP="00582748">
      <w:pPr>
        <w:pStyle w:val="Prrafodelista"/>
        <w:numPr>
          <w:ilvl w:val="0"/>
          <w:numId w:val="70"/>
        </w:numPr>
        <w:spacing w:before="0"/>
        <w:ind w:left="426" w:hanging="426"/>
        <w:contextualSpacing/>
        <w:rPr>
          <w:rFonts w:ascii="Arial" w:hAnsi="Arial" w:cs="Arial"/>
        </w:rPr>
      </w:pPr>
      <w:r w:rsidRPr="00104F4B">
        <w:rPr>
          <w:rFonts w:ascii="Arial" w:hAnsi="Arial" w:cs="Arial"/>
        </w:rPr>
        <w:t xml:space="preserve">Bajo nivel de adopción de la </w:t>
      </w:r>
      <w:r w:rsidRPr="00104F4B">
        <w:rPr>
          <w:rFonts w:ascii="Arial" w:hAnsi="Arial" w:cs="Arial"/>
          <w:i/>
        </w:rPr>
        <w:t>gente IDU</w:t>
      </w:r>
      <w:r w:rsidRPr="00104F4B">
        <w:rPr>
          <w:rFonts w:ascii="Arial" w:hAnsi="Arial" w:cs="Arial"/>
        </w:rPr>
        <w:t xml:space="preserve"> con el SGSI.</w:t>
      </w:r>
    </w:p>
    <w:p w:rsidR="004700E2" w:rsidRPr="00104F4B" w:rsidRDefault="004700E2" w:rsidP="00582748">
      <w:pPr>
        <w:pStyle w:val="Prrafodelista"/>
        <w:numPr>
          <w:ilvl w:val="0"/>
          <w:numId w:val="70"/>
        </w:numPr>
        <w:spacing w:before="0"/>
        <w:ind w:left="426" w:hanging="426"/>
        <w:contextualSpacing/>
        <w:rPr>
          <w:rFonts w:ascii="Arial" w:hAnsi="Arial" w:cs="Arial"/>
        </w:rPr>
      </w:pPr>
      <w:r w:rsidRPr="00104F4B">
        <w:rPr>
          <w:rFonts w:ascii="Arial" w:hAnsi="Arial" w:cs="Arial"/>
        </w:rPr>
        <w:t>Limitación de espacio disponible para la atención al ciudadano en los procesos coactivos.</w:t>
      </w:r>
    </w:p>
    <w:p w:rsidR="004700E2" w:rsidRPr="00104F4B" w:rsidRDefault="004700E2" w:rsidP="00582748">
      <w:pPr>
        <w:pStyle w:val="Prrafodelista"/>
        <w:numPr>
          <w:ilvl w:val="0"/>
          <w:numId w:val="70"/>
        </w:numPr>
        <w:spacing w:before="0"/>
        <w:ind w:left="426" w:hanging="426"/>
        <w:contextualSpacing/>
        <w:rPr>
          <w:rFonts w:ascii="Arial" w:eastAsiaTheme="minorHAnsi" w:hAnsi="Arial" w:cs="Arial"/>
        </w:rPr>
      </w:pPr>
      <w:r w:rsidRPr="00104F4B">
        <w:rPr>
          <w:rFonts w:ascii="Arial" w:eastAsiaTheme="minorHAnsi" w:hAnsi="Arial" w:cs="Arial"/>
        </w:rPr>
        <w:lastRenderedPageBreak/>
        <w:t xml:space="preserve">Dificultades técnicas para aprobación e implementación de los requerimientos para la mejora del Sistema de Información Valoricemos. </w:t>
      </w:r>
    </w:p>
    <w:p w:rsidR="004700E2" w:rsidRPr="00104F4B" w:rsidRDefault="004700E2" w:rsidP="00582748">
      <w:pPr>
        <w:pStyle w:val="Prrafodelista"/>
        <w:numPr>
          <w:ilvl w:val="0"/>
          <w:numId w:val="70"/>
        </w:numPr>
        <w:spacing w:before="0"/>
        <w:ind w:left="426" w:hanging="426"/>
        <w:contextualSpacing/>
        <w:rPr>
          <w:rFonts w:ascii="Arial" w:hAnsi="Arial" w:cs="Arial"/>
        </w:rPr>
      </w:pPr>
      <w:r w:rsidRPr="00104F4B">
        <w:rPr>
          <w:rFonts w:ascii="Arial" w:hAnsi="Arial" w:cs="Arial"/>
        </w:rPr>
        <w:t>Demora en la obtención de los estudios de mercado debido a la renuencia o falta de interés para cotizar de los proveedores de bienes y servicios.</w:t>
      </w:r>
    </w:p>
    <w:p w:rsidR="004700E2" w:rsidRPr="00104F4B" w:rsidRDefault="004700E2" w:rsidP="00582748">
      <w:pPr>
        <w:pStyle w:val="Prrafodelista"/>
        <w:numPr>
          <w:ilvl w:val="0"/>
          <w:numId w:val="70"/>
        </w:numPr>
        <w:spacing w:before="0"/>
        <w:ind w:left="426" w:hanging="426"/>
        <w:contextualSpacing/>
        <w:rPr>
          <w:rFonts w:ascii="Arial" w:hAnsi="Arial" w:cs="Arial"/>
        </w:rPr>
      </w:pPr>
      <w:r w:rsidRPr="00104F4B">
        <w:rPr>
          <w:rFonts w:ascii="Arial" w:hAnsi="Arial" w:cs="Arial"/>
        </w:rPr>
        <w:t>Falta de atención de las áreas misionales frente a los requerimientos de información por los siniestros ocurridos y en proceso de reclamación respecto de las obras aseguradas.</w:t>
      </w:r>
    </w:p>
    <w:p w:rsidR="007C5EDF" w:rsidRPr="007C5EDF" w:rsidRDefault="007C5EDF" w:rsidP="00582748">
      <w:pPr>
        <w:pStyle w:val="Prrafodelista"/>
        <w:numPr>
          <w:ilvl w:val="0"/>
          <w:numId w:val="70"/>
        </w:numPr>
        <w:spacing w:before="0"/>
        <w:ind w:left="426" w:hanging="426"/>
        <w:contextualSpacing/>
        <w:rPr>
          <w:rFonts w:ascii="Arial" w:hAnsi="Arial" w:cs="Arial"/>
        </w:rPr>
      </w:pPr>
      <w:r w:rsidRPr="007C5EDF">
        <w:rPr>
          <w:rFonts w:ascii="Arial" w:hAnsi="Arial" w:cs="Arial"/>
        </w:rPr>
        <w:t>Emisión de los autos interlocutorios y práctica de medidas cautelares solo en cabeza de los servidores públicos de planta.</w:t>
      </w:r>
    </w:p>
    <w:p w:rsidR="0039410F" w:rsidRDefault="0039410F" w:rsidP="00AA4DDC">
      <w:pPr>
        <w:rPr>
          <w:rFonts w:cs="Arial"/>
          <w:szCs w:val="22"/>
          <w:lang w:val="es-CO"/>
        </w:rPr>
      </w:pPr>
    </w:p>
    <w:p w:rsidR="00587563" w:rsidRDefault="00587563" w:rsidP="00AA4DDC">
      <w:pPr>
        <w:rPr>
          <w:rFonts w:cs="Arial"/>
          <w:szCs w:val="22"/>
          <w:lang w:val="es-CO"/>
        </w:rPr>
      </w:pPr>
    </w:p>
    <w:p w:rsidR="00587563" w:rsidRDefault="00587563" w:rsidP="00AA4DDC">
      <w:pPr>
        <w:rPr>
          <w:rFonts w:cs="Arial"/>
          <w:szCs w:val="22"/>
          <w:lang w:val="es-CO"/>
        </w:rPr>
      </w:pPr>
    </w:p>
    <w:p w:rsidR="00587563" w:rsidRDefault="00587563" w:rsidP="00AA4DDC">
      <w:pPr>
        <w:rPr>
          <w:rFonts w:cs="Arial"/>
          <w:szCs w:val="22"/>
          <w:lang w:val="es-CO"/>
        </w:rPr>
      </w:pPr>
    </w:p>
    <w:p w:rsidR="00587563" w:rsidRDefault="00587563" w:rsidP="00AA4DDC">
      <w:pPr>
        <w:rPr>
          <w:rFonts w:cs="Arial"/>
          <w:szCs w:val="22"/>
          <w:lang w:val="es-CO"/>
        </w:rPr>
      </w:pPr>
    </w:p>
    <w:p w:rsidR="00587563" w:rsidRDefault="00587563" w:rsidP="00AA4DDC">
      <w:pPr>
        <w:rPr>
          <w:rFonts w:cs="Arial"/>
          <w:szCs w:val="22"/>
          <w:lang w:val="es-CO"/>
        </w:rPr>
      </w:pPr>
    </w:p>
    <w:p w:rsidR="00587563" w:rsidRDefault="00587563" w:rsidP="00AA4DDC">
      <w:pPr>
        <w:rPr>
          <w:rFonts w:cs="Arial"/>
          <w:szCs w:val="22"/>
          <w:lang w:val="es-CO"/>
        </w:rPr>
      </w:pPr>
    </w:p>
    <w:p w:rsidR="00587563" w:rsidRDefault="00587563" w:rsidP="00AA4DDC">
      <w:pPr>
        <w:rPr>
          <w:rFonts w:cs="Arial"/>
          <w:szCs w:val="22"/>
          <w:lang w:val="es-CO"/>
        </w:rPr>
      </w:pPr>
    </w:p>
    <w:p w:rsidR="00587563" w:rsidRDefault="00587563" w:rsidP="00AA4DDC">
      <w:pPr>
        <w:rPr>
          <w:rFonts w:cs="Arial"/>
          <w:szCs w:val="22"/>
          <w:lang w:val="es-CO"/>
        </w:rPr>
      </w:pPr>
    </w:p>
    <w:p w:rsidR="00587563" w:rsidRDefault="00587563" w:rsidP="00AA4DDC">
      <w:pPr>
        <w:rPr>
          <w:rFonts w:cs="Arial"/>
          <w:szCs w:val="22"/>
          <w:lang w:val="es-CO"/>
        </w:rPr>
      </w:pPr>
    </w:p>
    <w:p w:rsidR="00587563" w:rsidRDefault="00587563" w:rsidP="00AA4DDC">
      <w:pPr>
        <w:rPr>
          <w:rFonts w:cs="Arial"/>
          <w:szCs w:val="22"/>
          <w:lang w:val="es-CO"/>
        </w:rPr>
      </w:pPr>
    </w:p>
    <w:p w:rsidR="00587563" w:rsidRDefault="00587563" w:rsidP="00AA4DDC">
      <w:pPr>
        <w:rPr>
          <w:rFonts w:cs="Arial"/>
          <w:szCs w:val="22"/>
          <w:lang w:val="es-CO"/>
        </w:rPr>
      </w:pPr>
    </w:p>
    <w:p w:rsidR="00587563" w:rsidRDefault="00587563" w:rsidP="00AA4DDC">
      <w:pPr>
        <w:rPr>
          <w:rFonts w:cs="Arial"/>
          <w:szCs w:val="22"/>
          <w:lang w:val="es-CO"/>
        </w:rPr>
      </w:pPr>
    </w:p>
    <w:p w:rsidR="00587563" w:rsidRDefault="00587563" w:rsidP="00AA4DDC">
      <w:pPr>
        <w:rPr>
          <w:rFonts w:cs="Arial"/>
          <w:szCs w:val="22"/>
          <w:lang w:val="es-CO"/>
        </w:rPr>
      </w:pPr>
    </w:p>
    <w:p w:rsidR="00587563" w:rsidRDefault="00587563" w:rsidP="00AA4DDC">
      <w:pPr>
        <w:rPr>
          <w:rFonts w:cs="Arial"/>
          <w:szCs w:val="22"/>
          <w:lang w:val="es-CO"/>
        </w:rPr>
      </w:pPr>
    </w:p>
    <w:p w:rsidR="00587563" w:rsidRDefault="00587563" w:rsidP="00AA4DDC">
      <w:pPr>
        <w:rPr>
          <w:rFonts w:cs="Arial"/>
          <w:szCs w:val="22"/>
          <w:lang w:val="es-CO"/>
        </w:rPr>
      </w:pPr>
    </w:p>
    <w:p w:rsidR="00587563" w:rsidRDefault="00587563" w:rsidP="00AA4DDC">
      <w:pPr>
        <w:rPr>
          <w:rFonts w:cs="Arial"/>
          <w:szCs w:val="22"/>
          <w:lang w:val="es-CO"/>
        </w:rPr>
      </w:pPr>
    </w:p>
    <w:p w:rsidR="00587563" w:rsidRDefault="00587563" w:rsidP="00AA4DDC">
      <w:pPr>
        <w:rPr>
          <w:rFonts w:cs="Arial"/>
          <w:szCs w:val="22"/>
          <w:lang w:val="es-CO"/>
        </w:rPr>
      </w:pPr>
    </w:p>
    <w:p w:rsidR="00587563" w:rsidRDefault="00587563" w:rsidP="00AA4DDC">
      <w:pPr>
        <w:rPr>
          <w:rFonts w:cs="Arial"/>
          <w:szCs w:val="22"/>
          <w:lang w:val="es-CO"/>
        </w:rPr>
      </w:pPr>
    </w:p>
    <w:p w:rsidR="00587563" w:rsidRDefault="00587563" w:rsidP="00AA4DDC">
      <w:pPr>
        <w:rPr>
          <w:rFonts w:cs="Arial"/>
          <w:szCs w:val="22"/>
          <w:lang w:val="es-CO"/>
        </w:rPr>
      </w:pPr>
    </w:p>
    <w:p w:rsidR="00587563" w:rsidRDefault="00587563" w:rsidP="00AA4DDC">
      <w:pPr>
        <w:rPr>
          <w:rFonts w:cs="Arial"/>
          <w:szCs w:val="22"/>
          <w:lang w:val="es-CO"/>
        </w:rPr>
      </w:pPr>
    </w:p>
    <w:p w:rsidR="00587563" w:rsidRDefault="00587563" w:rsidP="00AA4DDC">
      <w:pPr>
        <w:rPr>
          <w:rFonts w:cs="Arial"/>
          <w:szCs w:val="22"/>
          <w:lang w:val="es-CO"/>
        </w:rPr>
      </w:pPr>
    </w:p>
    <w:p w:rsidR="00587563" w:rsidRDefault="00587563" w:rsidP="00AA4DDC">
      <w:pPr>
        <w:rPr>
          <w:rFonts w:cs="Arial"/>
          <w:szCs w:val="22"/>
          <w:lang w:val="es-CO"/>
        </w:rPr>
      </w:pPr>
    </w:p>
    <w:p w:rsidR="00587563" w:rsidRDefault="00587563" w:rsidP="00AA4DDC">
      <w:pPr>
        <w:rPr>
          <w:rFonts w:cs="Arial"/>
          <w:szCs w:val="22"/>
          <w:lang w:val="es-CO"/>
        </w:rPr>
      </w:pPr>
    </w:p>
    <w:p w:rsidR="00587563" w:rsidRDefault="00587563" w:rsidP="00AA4DDC">
      <w:pPr>
        <w:rPr>
          <w:rFonts w:cs="Arial"/>
          <w:szCs w:val="22"/>
          <w:lang w:val="es-CO"/>
        </w:rPr>
      </w:pPr>
    </w:p>
    <w:p w:rsidR="00587563" w:rsidRDefault="00587563" w:rsidP="00AA4DDC">
      <w:pPr>
        <w:rPr>
          <w:rFonts w:cs="Arial"/>
          <w:szCs w:val="22"/>
          <w:lang w:val="es-CO"/>
        </w:rPr>
      </w:pPr>
    </w:p>
    <w:p w:rsidR="00587563" w:rsidRDefault="00587563" w:rsidP="00AA4DDC">
      <w:pPr>
        <w:rPr>
          <w:rFonts w:cs="Arial"/>
          <w:szCs w:val="22"/>
          <w:lang w:val="es-CO"/>
        </w:rPr>
      </w:pPr>
    </w:p>
    <w:p w:rsidR="00587563" w:rsidRDefault="00587563" w:rsidP="00587563">
      <w:pPr>
        <w:pStyle w:val="Ttulo1"/>
        <w:jc w:val="center"/>
        <w:rPr>
          <w:rFonts w:ascii="Arial" w:hAnsi="Arial" w:cs="Arial"/>
          <w:sz w:val="22"/>
          <w:szCs w:val="22"/>
        </w:rPr>
      </w:pPr>
      <w:bookmarkStart w:id="84" w:name="_Toc504723970"/>
    </w:p>
    <w:p w:rsidR="00587563" w:rsidRDefault="00587563" w:rsidP="00587563">
      <w:pPr>
        <w:pStyle w:val="Ttulo1"/>
        <w:jc w:val="center"/>
        <w:rPr>
          <w:rFonts w:ascii="Arial" w:hAnsi="Arial" w:cs="Arial"/>
          <w:sz w:val="22"/>
          <w:szCs w:val="22"/>
        </w:rPr>
      </w:pPr>
    </w:p>
    <w:p w:rsidR="00587563" w:rsidRPr="00587563" w:rsidRDefault="00587563" w:rsidP="00587563">
      <w:pPr>
        <w:pStyle w:val="Ttulo1"/>
        <w:jc w:val="center"/>
        <w:rPr>
          <w:rFonts w:ascii="Arial" w:hAnsi="Arial" w:cs="Arial"/>
          <w:sz w:val="22"/>
          <w:szCs w:val="22"/>
        </w:rPr>
      </w:pPr>
      <w:bookmarkStart w:id="85" w:name="_Toc536195572"/>
      <w:r w:rsidRPr="00587563">
        <w:rPr>
          <w:rFonts w:ascii="Arial" w:hAnsi="Arial" w:cs="Arial"/>
          <w:sz w:val="22"/>
          <w:szCs w:val="22"/>
        </w:rPr>
        <w:t>CONCLUSIÓN</w:t>
      </w:r>
      <w:bookmarkEnd w:id="84"/>
      <w:bookmarkEnd w:id="85"/>
      <w:r w:rsidRPr="00587563">
        <w:rPr>
          <w:rFonts w:ascii="Arial" w:hAnsi="Arial" w:cs="Arial"/>
          <w:sz w:val="22"/>
          <w:szCs w:val="22"/>
        </w:rPr>
        <w:t xml:space="preserve"> </w:t>
      </w:r>
    </w:p>
    <w:p w:rsidR="00587563" w:rsidRPr="00587563" w:rsidRDefault="00587563" w:rsidP="00587563">
      <w:pPr>
        <w:rPr>
          <w:rFonts w:cs="Arial"/>
        </w:rPr>
      </w:pPr>
    </w:p>
    <w:p w:rsidR="00587563" w:rsidRPr="00587563" w:rsidRDefault="00587563" w:rsidP="00587563">
      <w:pPr>
        <w:rPr>
          <w:rFonts w:cs="Arial"/>
        </w:rPr>
      </w:pPr>
      <w:r w:rsidRPr="00587563">
        <w:rPr>
          <w:rFonts w:cs="Arial"/>
        </w:rPr>
        <w:t>La Entidad pone a disposición de sus grupos de valor el Informe de gestión que tiene por objeto dar cuenta de las actividades estratégicas, de ejecución y dirección realizada durante la vigencia 201</w:t>
      </w:r>
      <w:r>
        <w:rPr>
          <w:rFonts w:cs="Arial"/>
        </w:rPr>
        <w:t>8</w:t>
      </w:r>
      <w:r w:rsidRPr="00587563">
        <w:rPr>
          <w:rFonts w:cs="Arial"/>
        </w:rPr>
        <w:t>. Así mismo, esta publicación es un insumo fundamental que permite llevar a cabo seguimiento y evaluación a la misión de la Entidad por parte de los diferentes organismos de control, ciudadanos en general y organismos de control político de la Ciudad, cumpliendo de esta manera con el  compromiso de brindar transparencia y acceso a la información de las actuaciones realizadas para el cumplimiento de los fines misionales del Instituto.</w:t>
      </w:r>
    </w:p>
    <w:p w:rsidR="00587563" w:rsidRPr="00587563" w:rsidRDefault="00587563" w:rsidP="00587563">
      <w:pPr>
        <w:tabs>
          <w:tab w:val="left" w:pos="8522"/>
        </w:tabs>
        <w:rPr>
          <w:rFonts w:cs="Arial"/>
        </w:rPr>
      </w:pPr>
      <w:r w:rsidRPr="00587563">
        <w:rPr>
          <w:rFonts w:cs="Arial"/>
        </w:rPr>
        <w:t>En este sentido la Entidad se encuentra a disposición de las partes interesadas para aclarar o ampliar cualquier información que se requiera para garantizar una adecuada rendición de cuentas a la ciudadanía en general.</w:t>
      </w:r>
    </w:p>
    <w:p w:rsidR="00587563" w:rsidRDefault="00587563" w:rsidP="00587563">
      <w:pPr>
        <w:tabs>
          <w:tab w:val="left" w:pos="8522"/>
        </w:tabs>
        <w:rPr>
          <w:rFonts w:ascii="Arial Narrow" w:hAnsi="Arial Narrow"/>
        </w:rPr>
      </w:pPr>
    </w:p>
    <w:p w:rsidR="00587563" w:rsidRPr="00587563" w:rsidRDefault="00587563" w:rsidP="00AA4DDC">
      <w:pPr>
        <w:rPr>
          <w:rFonts w:cs="Arial"/>
          <w:szCs w:val="22"/>
        </w:rPr>
      </w:pPr>
    </w:p>
    <w:p w:rsidR="000C122C" w:rsidRPr="00104F4B" w:rsidRDefault="000C122C" w:rsidP="00AA4DDC">
      <w:pPr>
        <w:tabs>
          <w:tab w:val="left" w:pos="8522"/>
        </w:tabs>
        <w:rPr>
          <w:rFonts w:cs="Arial"/>
          <w:szCs w:val="22"/>
        </w:rPr>
      </w:pPr>
      <w:r w:rsidRPr="00104F4B">
        <w:rPr>
          <w:rFonts w:cs="Arial"/>
          <w:szCs w:val="22"/>
        </w:rPr>
        <w:t xml:space="preserve">FECHA DE PUBLICACIÓN PORTAL WEB </w:t>
      </w:r>
      <w:hyperlink r:id="rId62" w:history="1">
        <w:r w:rsidRPr="00104F4B">
          <w:rPr>
            <w:rStyle w:val="Hipervnculo"/>
            <w:rFonts w:cs="Arial"/>
            <w:szCs w:val="22"/>
          </w:rPr>
          <w:t>WWW.IDU.GOV.CO</w:t>
        </w:r>
      </w:hyperlink>
      <w:r w:rsidRPr="00104F4B">
        <w:rPr>
          <w:rFonts w:cs="Arial"/>
          <w:szCs w:val="22"/>
        </w:rPr>
        <w:t xml:space="preserve">: Enero </w:t>
      </w:r>
      <w:r w:rsidR="00587563">
        <w:rPr>
          <w:rFonts w:cs="Arial"/>
          <w:szCs w:val="22"/>
        </w:rPr>
        <w:t>XX</w:t>
      </w:r>
      <w:r w:rsidRPr="00104F4B">
        <w:rPr>
          <w:rFonts w:cs="Arial"/>
          <w:szCs w:val="22"/>
        </w:rPr>
        <w:t xml:space="preserve"> de 201</w:t>
      </w:r>
      <w:r w:rsidR="00587563">
        <w:rPr>
          <w:rFonts w:cs="Arial"/>
          <w:szCs w:val="22"/>
        </w:rPr>
        <w:t>9</w:t>
      </w:r>
    </w:p>
    <w:p w:rsidR="00524EDD" w:rsidRPr="00104F4B" w:rsidRDefault="00524EDD" w:rsidP="00AA4DDC">
      <w:pPr>
        <w:shd w:val="clear" w:color="auto" w:fill="FFFFFF"/>
        <w:spacing w:before="0"/>
        <w:contextualSpacing/>
        <w:rPr>
          <w:rFonts w:cs="Arial"/>
          <w:b/>
          <w:szCs w:val="22"/>
        </w:rPr>
      </w:pPr>
    </w:p>
    <w:sectPr w:rsidR="00524EDD" w:rsidRPr="00104F4B" w:rsidSect="003A6E45">
      <w:footerReference w:type="default" r:id="rId63"/>
      <w:pgSz w:w="12242" w:h="15842" w:code="1"/>
      <w:pgMar w:top="1701" w:right="1134" w:bottom="1418" w:left="1418" w:header="709" w:footer="391"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52F03" w:rsidRDefault="00152F03" w:rsidP="00E70990">
      <w:r>
        <w:separator/>
      </w:r>
    </w:p>
  </w:endnote>
  <w:endnote w:type="continuationSeparator" w:id="0">
    <w:p w:rsidR="00152F03" w:rsidRDefault="00152F03" w:rsidP="00E709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Futura Md BT">
    <w:altName w:val="Lucida Sans Unicode"/>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Times New Roman"/>
    <w:charset w:val="00"/>
    <w:family w:val="roman"/>
    <w:pitch w:val="default"/>
  </w:font>
  <w:font w:name="Swis721 Md BT">
    <w:altName w:val="Arial"/>
    <w:charset w:val="00"/>
    <w:family w:val="swiss"/>
    <w:pitch w:val="variable"/>
    <w:sig w:usb0="00000087" w:usb1="00000000" w:usb2="00000000" w:usb3="00000000" w:csb0="0000001B"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Franklin Gothic Medium">
    <w:panose1 w:val="020B0603020102020204"/>
    <w:charset w:val="00"/>
    <w:family w:val="swiss"/>
    <w:pitch w:val="variable"/>
    <w:sig w:usb0="00000287" w:usb1="00000000" w:usb2="00000000" w:usb3="00000000" w:csb0="0000009F" w:csb1="00000000"/>
  </w:font>
  <w:font w:name="Intro">
    <w:panose1 w:val="00000000000000000000"/>
    <w:charset w:val="00"/>
    <w:family w:val="roman"/>
    <w:notTrueType/>
    <w:pitch w:val="default"/>
  </w:font>
  <w:font w:name="CG Times">
    <w:panose1 w:val="00000000000000000000"/>
    <w:charset w:val="00"/>
    <w:family w:val="roman"/>
    <w:notTrueType/>
    <w:pitch w:val="variable"/>
    <w:sig w:usb0="00000003" w:usb1="00000000" w:usb2="00000000" w:usb3="00000000" w:csb0="00000001" w:csb1="00000000"/>
  </w:font>
  <w:font w:name="Times New Roman Bold">
    <w:panose1 w:val="00000000000000000000"/>
    <w:charset w:val="00"/>
    <w:family w:val="roman"/>
    <w:notTrueType/>
    <w:pitch w:val="variable"/>
    <w:sig w:usb0="00000003" w:usb1="00000000" w:usb2="00000000" w:usb3="00000000" w:csb0="00000001" w:csb1="00000000"/>
  </w:font>
  <w:font w:name="Univers">
    <w:altName w:val="Arial"/>
    <w:charset w:val="00"/>
    <w:family w:val="swiss"/>
    <w:pitch w:val="variable"/>
    <w:sig w:usb0="00000007" w:usb1="00000000" w:usb2="00000000" w:usb3="00000000" w:csb0="00000093" w:csb1="00000000"/>
  </w:font>
  <w:font w:name="Liberation Serif">
    <w:altName w:val="Times New Roman"/>
    <w:charset w:val="00"/>
    <w:family w:val="roman"/>
    <w:pitch w:val="variable"/>
    <w:sig w:usb0="00000000"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Mangal">
    <w:altName w:val="ESRI NIMA VMAP1&amp;2 PT"/>
    <w:panose1 w:val="00000400000000000000"/>
    <w:charset w:val="00"/>
    <w:family w:val="roman"/>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1932489"/>
      <w:docPartObj>
        <w:docPartGallery w:val="Page Numbers (Bottom of Page)"/>
        <w:docPartUnique/>
      </w:docPartObj>
    </w:sdtPr>
    <w:sdtEndPr/>
    <w:sdtContent>
      <w:p w:rsidR="003156EC" w:rsidRDefault="003156EC" w:rsidP="008B124E">
        <w:pPr>
          <w:pStyle w:val="Piedepgina"/>
          <w:jc w:val="right"/>
        </w:pPr>
        <w:r>
          <w:fldChar w:fldCharType="begin"/>
        </w:r>
        <w:r>
          <w:instrText>PAGE   \* MERGEFORMAT</w:instrText>
        </w:r>
        <w:r>
          <w:fldChar w:fldCharType="separate"/>
        </w:r>
        <w:r w:rsidR="00AA20E2">
          <w:rPr>
            <w:noProof/>
          </w:rPr>
          <w:t>115</w:t>
        </w:r>
        <w:r>
          <w:fldChar w:fldCharType="end"/>
        </w:r>
        <w:r>
          <w:t xml:space="preserve">    </w:t>
        </w:r>
        <w:r>
          <w:rPr>
            <w:noProof/>
            <w:lang w:val="es-CO" w:eastAsia="es-CO"/>
          </w:rPr>
          <w:drawing>
            <wp:inline distT="0" distB="0" distL="0" distR="0" wp14:anchorId="55D397F1" wp14:editId="3178E75F">
              <wp:extent cx="747569" cy="575130"/>
              <wp:effectExtent l="0" t="0" r="0" b="0"/>
              <wp:docPr id="25" name="Imag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1"/>
                      <pic:cNvPicPr>
                        <a:picLocks noChangeAspect="1" noChangeArrowheads="1"/>
                      </pic:cNvPicPr>
                    </pic:nvPicPr>
                    <pic:blipFill>
                      <a:blip r:embed="rId1"/>
                      <a:stretch>
                        <a:fillRect/>
                      </a:stretch>
                    </pic:blipFill>
                    <pic:spPr bwMode="auto">
                      <a:xfrm>
                        <a:off x="0" y="0"/>
                        <a:ext cx="752683" cy="579064"/>
                      </a:xfrm>
                      <a:prstGeom prst="rect">
                        <a:avLst/>
                      </a:prstGeom>
                    </pic:spPr>
                  </pic:pic>
                </a:graphicData>
              </a:graphic>
            </wp:inline>
          </w:drawing>
        </w:r>
      </w:p>
    </w:sdtContent>
  </w:sdt>
  <w:p w:rsidR="003156EC" w:rsidRPr="0032263E" w:rsidRDefault="003156EC" w:rsidP="008B124E">
    <w:pPr>
      <w:pStyle w:val="Piedepgina"/>
      <w:tabs>
        <w:tab w:val="left" w:pos="5950"/>
      </w:tabs>
    </w:pPr>
    <w:r>
      <w:tab/>
    </w:r>
    <w:r>
      <w:tab/>
    </w:r>
    <w:r>
      <w:tab/>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52F03" w:rsidRDefault="00152F03" w:rsidP="00E70990">
      <w:r>
        <w:separator/>
      </w:r>
    </w:p>
  </w:footnote>
  <w:footnote w:type="continuationSeparator" w:id="0">
    <w:p w:rsidR="00152F03" w:rsidRDefault="00152F03" w:rsidP="00E70990">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A3AFC"/>
    <w:multiLevelType w:val="hybridMultilevel"/>
    <w:tmpl w:val="33025FC2"/>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2506F0D"/>
    <w:multiLevelType w:val="multilevel"/>
    <w:tmpl w:val="0C0A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2" w15:restartNumberingAfterBreak="0">
    <w:nsid w:val="04C64679"/>
    <w:multiLevelType w:val="hybridMultilevel"/>
    <w:tmpl w:val="04F0C504"/>
    <w:lvl w:ilvl="0" w:tplc="77543B00">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 w15:restartNumberingAfterBreak="0">
    <w:nsid w:val="065350C6"/>
    <w:multiLevelType w:val="hybridMultilevel"/>
    <w:tmpl w:val="ECE00CEE"/>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094E2B69"/>
    <w:multiLevelType w:val="multilevel"/>
    <w:tmpl w:val="8088805E"/>
    <w:styleLink w:val="Estilo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50"/>
        </w:tabs>
        <w:ind w:left="750" w:hanging="360"/>
      </w:pPr>
      <w:rPr>
        <w:rFonts w:hint="default"/>
      </w:rPr>
    </w:lvl>
    <w:lvl w:ilvl="2">
      <w:start w:val="1"/>
      <w:numFmt w:val="decimal"/>
      <w:lvlText w:val="%1.%2.%3"/>
      <w:lvlJc w:val="left"/>
      <w:pPr>
        <w:tabs>
          <w:tab w:val="num" w:pos="1500"/>
        </w:tabs>
        <w:ind w:left="1500" w:hanging="720"/>
      </w:pPr>
      <w:rPr>
        <w:rFonts w:hint="default"/>
      </w:rPr>
    </w:lvl>
    <w:lvl w:ilvl="3">
      <w:start w:val="1"/>
      <w:numFmt w:val="decimal"/>
      <w:lvlText w:val="%1.%2.%3.%4"/>
      <w:lvlJc w:val="left"/>
      <w:pPr>
        <w:tabs>
          <w:tab w:val="num" w:pos="2250"/>
        </w:tabs>
        <w:ind w:left="2250" w:hanging="1080"/>
      </w:pPr>
      <w:rPr>
        <w:rFonts w:hint="default"/>
      </w:rPr>
    </w:lvl>
    <w:lvl w:ilvl="4">
      <w:start w:val="1"/>
      <w:numFmt w:val="decimal"/>
      <w:lvlText w:val="%1.%2.%3.%4.%5"/>
      <w:lvlJc w:val="left"/>
      <w:pPr>
        <w:tabs>
          <w:tab w:val="num" w:pos="2640"/>
        </w:tabs>
        <w:ind w:left="2640" w:hanging="1080"/>
      </w:pPr>
      <w:rPr>
        <w:rFonts w:hint="default"/>
      </w:rPr>
    </w:lvl>
    <w:lvl w:ilvl="5">
      <w:start w:val="1"/>
      <w:numFmt w:val="decimal"/>
      <w:lvlText w:val="%1.%2.%3.%4.%5.%6"/>
      <w:lvlJc w:val="left"/>
      <w:pPr>
        <w:tabs>
          <w:tab w:val="num" w:pos="3390"/>
        </w:tabs>
        <w:ind w:left="3390" w:hanging="1440"/>
      </w:pPr>
      <w:rPr>
        <w:rFonts w:hint="default"/>
      </w:rPr>
    </w:lvl>
    <w:lvl w:ilvl="6">
      <w:start w:val="1"/>
      <w:numFmt w:val="decimal"/>
      <w:lvlText w:val="%1.%2.%3.%4.%5.%6.%7"/>
      <w:lvlJc w:val="left"/>
      <w:pPr>
        <w:tabs>
          <w:tab w:val="num" w:pos="3780"/>
        </w:tabs>
        <w:ind w:left="3780" w:hanging="1440"/>
      </w:pPr>
      <w:rPr>
        <w:rFonts w:hint="default"/>
      </w:rPr>
    </w:lvl>
    <w:lvl w:ilvl="7">
      <w:start w:val="1"/>
      <w:numFmt w:val="decimal"/>
      <w:lvlText w:val="%1.%2.%3.%4.%5.%6.%7.%8"/>
      <w:lvlJc w:val="left"/>
      <w:pPr>
        <w:tabs>
          <w:tab w:val="num" w:pos="4530"/>
        </w:tabs>
        <w:ind w:left="4530" w:hanging="1800"/>
      </w:pPr>
      <w:rPr>
        <w:rFonts w:hint="default"/>
      </w:rPr>
    </w:lvl>
    <w:lvl w:ilvl="8">
      <w:start w:val="1"/>
      <w:numFmt w:val="decimal"/>
      <w:lvlText w:val="%1.%2.%3.%4.%5.%6.%7.%8.%9"/>
      <w:lvlJc w:val="left"/>
      <w:pPr>
        <w:tabs>
          <w:tab w:val="num" w:pos="4920"/>
        </w:tabs>
        <w:ind w:left="4920" w:hanging="1800"/>
      </w:pPr>
      <w:rPr>
        <w:rFonts w:hint="default"/>
      </w:rPr>
    </w:lvl>
  </w:abstractNum>
  <w:abstractNum w:abstractNumId="5" w15:restartNumberingAfterBreak="0">
    <w:nsid w:val="0AA17E9B"/>
    <w:multiLevelType w:val="hybridMultilevel"/>
    <w:tmpl w:val="9B162B98"/>
    <w:lvl w:ilvl="0" w:tplc="77543B00">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6" w15:restartNumberingAfterBreak="0">
    <w:nsid w:val="0C2A5E59"/>
    <w:multiLevelType w:val="hybridMultilevel"/>
    <w:tmpl w:val="9FDC3DB0"/>
    <w:lvl w:ilvl="0" w:tplc="240A000D">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7" w15:restartNumberingAfterBreak="0">
    <w:nsid w:val="0CCA47F9"/>
    <w:multiLevelType w:val="hybridMultilevel"/>
    <w:tmpl w:val="C1961E4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0DA81A86"/>
    <w:multiLevelType w:val="hybridMultilevel"/>
    <w:tmpl w:val="2A1E2956"/>
    <w:lvl w:ilvl="0" w:tplc="240A0001">
      <w:start w:val="1"/>
      <w:numFmt w:val="bullet"/>
      <w:lvlText w:val=""/>
      <w:lvlJc w:val="left"/>
      <w:pPr>
        <w:tabs>
          <w:tab w:val="num" w:pos="360"/>
        </w:tabs>
        <w:ind w:left="360" w:hanging="360"/>
      </w:pPr>
      <w:rPr>
        <w:rFonts w:ascii="Symbol" w:hAnsi="Symbol" w:hint="default"/>
        <w:b/>
      </w:rPr>
    </w:lvl>
    <w:lvl w:ilvl="1" w:tplc="240A000B">
      <w:start w:val="1"/>
      <w:numFmt w:val="bullet"/>
      <w:lvlText w:val=""/>
      <w:lvlJc w:val="left"/>
      <w:pPr>
        <w:tabs>
          <w:tab w:val="num" w:pos="1080"/>
        </w:tabs>
        <w:ind w:left="1080" w:hanging="360"/>
      </w:pPr>
      <w:rPr>
        <w:rFonts w:ascii="Wingdings" w:hAnsi="Wingdings" w:hint="default"/>
        <w:b/>
      </w:r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9" w15:restartNumberingAfterBreak="0">
    <w:nsid w:val="0DCD1B61"/>
    <w:multiLevelType w:val="multilevel"/>
    <w:tmpl w:val="DC9CEB80"/>
    <w:styleLink w:val="Estilo11"/>
    <w:lvl w:ilvl="0">
      <w:start w:val="1"/>
      <w:numFmt w:val="decimal"/>
      <w:lvlText w:val="%1."/>
      <w:lvlJc w:val="left"/>
      <w:pPr>
        <w:ind w:left="360" w:hanging="360"/>
      </w:pPr>
      <w:rPr>
        <w:rFonts w:cs="Times New Roman" w:hint="default"/>
      </w:rPr>
    </w:lvl>
    <w:lvl w:ilvl="1">
      <w:start w:val="1"/>
      <w:numFmt w:val="decimal"/>
      <w:lvlText w:val="%1.%2."/>
      <w:lvlJc w:val="left"/>
      <w:pPr>
        <w:ind w:left="792" w:hanging="432"/>
      </w:pPr>
      <w:rPr>
        <w:rFonts w:cs="Times New Roman" w:hint="default"/>
      </w:r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10" w15:restartNumberingAfterBreak="0">
    <w:nsid w:val="110F2F56"/>
    <w:multiLevelType w:val="hybridMultilevel"/>
    <w:tmpl w:val="E08841BC"/>
    <w:lvl w:ilvl="0" w:tplc="1932EC4E">
      <w:start w:val="7"/>
      <w:numFmt w:val="bullet"/>
      <w:lvlText w:val=""/>
      <w:lvlJc w:val="left"/>
      <w:pPr>
        <w:ind w:left="360" w:hanging="360"/>
      </w:pPr>
      <w:rPr>
        <w:rFonts w:ascii="Symbol" w:eastAsiaTheme="minorHAnsi" w:hAnsi="Symbol" w:cs="Times New Roman"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1" w15:restartNumberingAfterBreak="0">
    <w:nsid w:val="117A3BDE"/>
    <w:multiLevelType w:val="hybridMultilevel"/>
    <w:tmpl w:val="DE9E1492"/>
    <w:lvl w:ilvl="0" w:tplc="77543B00">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2" w15:restartNumberingAfterBreak="0">
    <w:nsid w:val="124B7CF1"/>
    <w:multiLevelType w:val="multilevel"/>
    <w:tmpl w:val="7AC6A14E"/>
    <w:styleLink w:val="Listanumeradaurbana"/>
    <w:lvl w:ilvl="0">
      <w:start w:val="1"/>
      <w:numFmt w:val="decimal"/>
      <w:lvlText w:val="%1."/>
      <w:lvlJc w:val="left"/>
      <w:pPr>
        <w:ind w:left="288" w:hanging="288"/>
      </w:pPr>
      <w:rPr>
        <w:rFonts w:asciiTheme="minorHAnsi" w:hAnsiTheme="minorHAnsi" w:hint="default"/>
        <w:i w:val="0"/>
        <w:color w:val="9BBB59" w:themeColor="accent3"/>
        <w:sz w:val="20"/>
      </w:rPr>
    </w:lvl>
    <w:lvl w:ilvl="1">
      <w:start w:val="1"/>
      <w:numFmt w:val="upperLetter"/>
      <w:lvlText w:val="%2."/>
      <w:lvlJc w:val="left"/>
      <w:pPr>
        <w:ind w:left="792" w:hanging="288"/>
      </w:pPr>
      <w:rPr>
        <w:rFonts w:asciiTheme="minorHAnsi" w:hAnsiTheme="minorHAnsi" w:hint="default"/>
        <w:b w:val="0"/>
        <w:i w:val="0"/>
        <w:color w:val="C0504D" w:themeColor="accent2"/>
        <w:sz w:val="20"/>
      </w:rPr>
    </w:lvl>
    <w:lvl w:ilvl="2">
      <w:start w:val="1"/>
      <w:numFmt w:val="lowerRoman"/>
      <w:lvlText w:val="%3."/>
      <w:lvlJc w:val="right"/>
      <w:pPr>
        <w:ind w:left="1296" w:hanging="288"/>
      </w:pPr>
      <w:rPr>
        <w:rFonts w:asciiTheme="minorHAnsi" w:hAnsiTheme="minorHAnsi" w:hint="default"/>
        <w:b w:val="0"/>
        <w:i w:val="0"/>
        <w:color w:val="4F81BD" w:themeColor="accent1"/>
        <w:sz w:val="20"/>
      </w:rPr>
    </w:lvl>
    <w:lvl w:ilvl="3">
      <w:start w:val="1"/>
      <w:numFmt w:val="decimal"/>
      <w:lvlText w:val="%4."/>
      <w:lvlJc w:val="left"/>
      <w:pPr>
        <w:ind w:left="1800" w:hanging="288"/>
      </w:pPr>
      <w:rPr>
        <w:rFonts w:asciiTheme="minorHAnsi" w:hAnsiTheme="minorHAnsi" w:hint="default"/>
        <w:b w:val="0"/>
        <w:i w:val="0"/>
        <w:color w:val="4F81BD" w:themeColor="accent1"/>
        <w:sz w:val="20"/>
      </w:rPr>
    </w:lvl>
    <w:lvl w:ilvl="4">
      <w:start w:val="1"/>
      <w:numFmt w:val="lowerLetter"/>
      <w:lvlText w:val="%5."/>
      <w:lvlJc w:val="left"/>
      <w:pPr>
        <w:ind w:left="2304" w:hanging="288"/>
      </w:pPr>
      <w:rPr>
        <w:rFonts w:asciiTheme="minorHAnsi" w:hAnsiTheme="minorHAnsi" w:hint="default"/>
        <w:b w:val="0"/>
        <w:i w:val="0"/>
        <w:color w:val="4F81BD" w:themeColor="accent1"/>
        <w:sz w:val="20"/>
      </w:rPr>
    </w:lvl>
    <w:lvl w:ilvl="5">
      <w:start w:val="1"/>
      <w:numFmt w:val="lowerRoman"/>
      <w:lvlText w:val="%6."/>
      <w:lvlJc w:val="right"/>
      <w:pPr>
        <w:ind w:left="2808" w:hanging="288"/>
      </w:pPr>
      <w:rPr>
        <w:rFonts w:asciiTheme="minorHAnsi" w:hAnsiTheme="minorHAnsi" w:hint="default"/>
        <w:b w:val="0"/>
        <w:i w:val="0"/>
        <w:color w:val="4F81BD" w:themeColor="accent1"/>
        <w:sz w:val="20"/>
      </w:rPr>
    </w:lvl>
    <w:lvl w:ilvl="6">
      <w:start w:val="1"/>
      <w:numFmt w:val="decimal"/>
      <w:lvlText w:val="%7."/>
      <w:lvlJc w:val="left"/>
      <w:pPr>
        <w:ind w:left="3312" w:hanging="288"/>
      </w:pPr>
      <w:rPr>
        <w:rFonts w:asciiTheme="minorHAnsi" w:hAnsiTheme="minorHAnsi" w:hint="default"/>
        <w:b w:val="0"/>
        <w:i w:val="0"/>
        <w:color w:val="4F81BD" w:themeColor="accent1"/>
        <w:sz w:val="20"/>
      </w:rPr>
    </w:lvl>
    <w:lvl w:ilvl="7">
      <w:start w:val="1"/>
      <w:numFmt w:val="lowerLetter"/>
      <w:lvlText w:val="%8."/>
      <w:lvlJc w:val="left"/>
      <w:pPr>
        <w:ind w:left="3816" w:hanging="288"/>
      </w:pPr>
      <w:rPr>
        <w:rFonts w:asciiTheme="minorHAnsi" w:hAnsiTheme="minorHAnsi" w:hint="default"/>
        <w:b w:val="0"/>
        <w:i w:val="0"/>
        <w:color w:val="4F81BD" w:themeColor="accent1"/>
        <w:sz w:val="20"/>
      </w:rPr>
    </w:lvl>
    <w:lvl w:ilvl="8">
      <w:start w:val="1"/>
      <w:numFmt w:val="lowerRoman"/>
      <w:lvlText w:val="%9."/>
      <w:lvlJc w:val="right"/>
      <w:pPr>
        <w:ind w:left="4320" w:hanging="288"/>
      </w:pPr>
      <w:rPr>
        <w:rFonts w:asciiTheme="minorHAnsi" w:hAnsiTheme="minorHAnsi" w:hint="default"/>
        <w:b w:val="0"/>
        <w:i w:val="0"/>
        <w:color w:val="4F81BD" w:themeColor="accent1"/>
        <w:sz w:val="20"/>
      </w:rPr>
    </w:lvl>
  </w:abstractNum>
  <w:abstractNum w:abstractNumId="13" w15:restartNumberingAfterBreak="0">
    <w:nsid w:val="132E0FF5"/>
    <w:multiLevelType w:val="hybridMultilevel"/>
    <w:tmpl w:val="D0C23C74"/>
    <w:lvl w:ilvl="0" w:tplc="240A000D">
      <w:start w:val="1"/>
      <w:numFmt w:val="bullet"/>
      <w:lvlText w:val=""/>
      <w:lvlJc w:val="left"/>
      <w:pPr>
        <w:ind w:left="1080" w:hanging="360"/>
      </w:pPr>
      <w:rPr>
        <w:rFonts w:ascii="Wingdings" w:hAnsi="Wingdings"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4" w15:restartNumberingAfterBreak="0">
    <w:nsid w:val="149B431E"/>
    <w:multiLevelType w:val="multilevel"/>
    <w:tmpl w:val="BE86D59A"/>
    <w:lvl w:ilvl="0">
      <w:start w:val="1"/>
      <w:numFmt w:val="decimal"/>
      <w:lvlText w:val="%1."/>
      <w:lvlJc w:val="left"/>
      <w:pPr>
        <w:ind w:left="644" w:hanging="360"/>
      </w:pPr>
      <w:rPr>
        <w:rFonts w:hint="default"/>
      </w:rPr>
    </w:lvl>
    <w:lvl w:ilvl="1">
      <w:start w:val="1"/>
      <w:numFmt w:val="bullet"/>
      <w:lvlText w:val=""/>
      <w:lvlJc w:val="left"/>
      <w:pPr>
        <w:ind w:left="1146" w:hanging="720"/>
      </w:pPr>
      <w:rPr>
        <w:rFonts w:ascii="Wingdings" w:hAnsi="Wingdings" w:hint="default"/>
        <w:b/>
      </w:rPr>
    </w:lvl>
    <w:lvl w:ilvl="2">
      <w:start w:val="1"/>
      <w:numFmt w:val="bullet"/>
      <w:lvlText w:val=""/>
      <w:lvlJc w:val="left"/>
      <w:pPr>
        <w:ind w:left="1004" w:hanging="720"/>
      </w:pPr>
      <w:rPr>
        <w:rFonts w:ascii="Symbol" w:hAnsi="Symbol" w:hint="default"/>
      </w:rPr>
    </w:lvl>
    <w:lvl w:ilvl="3">
      <w:start w:val="1"/>
      <w:numFmt w:val="decimal"/>
      <w:isLgl/>
      <w:lvlText w:val="%1.%2.%3.%4."/>
      <w:lvlJc w:val="left"/>
      <w:pPr>
        <w:ind w:left="1364" w:hanging="108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724" w:hanging="144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2084" w:hanging="1800"/>
      </w:pPr>
      <w:rPr>
        <w:rFonts w:hint="default"/>
      </w:rPr>
    </w:lvl>
    <w:lvl w:ilvl="8">
      <w:start w:val="1"/>
      <w:numFmt w:val="decimal"/>
      <w:isLgl/>
      <w:lvlText w:val="%1.%2.%3.%4.%5.%6.%7.%8.%9."/>
      <w:lvlJc w:val="left"/>
      <w:pPr>
        <w:ind w:left="2444" w:hanging="2160"/>
      </w:pPr>
      <w:rPr>
        <w:rFonts w:hint="default"/>
      </w:rPr>
    </w:lvl>
  </w:abstractNum>
  <w:abstractNum w:abstractNumId="15" w15:restartNumberingAfterBreak="0">
    <w:nsid w:val="167C4E6F"/>
    <w:multiLevelType w:val="hybridMultilevel"/>
    <w:tmpl w:val="5A3662C0"/>
    <w:lvl w:ilvl="0" w:tplc="3850DC1C">
      <w:start w:val="1"/>
      <w:numFmt w:val="bullet"/>
      <w:lvlText w:val=""/>
      <w:lvlJc w:val="left"/>
      <w:pPr>
        <w:ind w:left="360" w:hanging="360"/>
      </w:pPr>
      <w:rPr>
        <w:rFonts w:ascii="Wingdings" w:hAnsi="Wingdings" w:hint="default"/>
        <w:b w:val="0"/>
        <w:color w:val="auto"/>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6" w15:restartNumberingAfterBreak="0">
    <w:nsid w:val="1E072C0D"/>
    <w:multiLevelType w:val="multilevel"/>
    <w:tmpl w:val="F2181224"/>
    <w:lvl w:ilvl="0">
      <w:start w:val="5"/>
      <w:numFmt w:val="decimal"/>
      <w:lvlText w:val="%1"/>
      <w:lvlJc w:val="left"/>
      <w:pPr>
        <w:tabs>
          <w:tab w:val="num" w:pos="360"/>
        </w:tabs>
        <w:ind w:left="360" w:hanging="360"/>
      </w:pPr>
      <w:rPr>
        <w:rFonts w:hint="default"/>
      </w:rPr>
    </w:lvl>
    <w:lvl w:ilvl="1">
      <w:start w:val="13"/>
      <w:numFmt w:val="decimal"/>
      <w:lvlText w:val="%1.%2"/>
      <w:lvlJc w:val="left"/>
      <w:pPr>
        <w:tabs>
          <w:tab w:val="num" w:pos="750"/>
        </w:tabs>
        <w:ind w:left="0" w:firstLine="390"/>
      </w:pPr>
      <w:rPr>
        <w:rFonts w:hint="default"/>
      </w:rPr>
    </w:lvl>
    <w:lvl w:ilvl="2">
      <w:start w:val="1"/>
      <w:numFmt w:val="decimal"/>
      <w:lvlText w:val="%1.%2.%3"/>
      <w:lvlJc w:val="left"/>
      <w:pPr>
        <w:tabs>
          <w:tab w:val="num" w:pos="1500"/>
        </w:tabs>
        <w:ind w:left="1500" w:hanging="720"/>
      </w:pPr>
      <w:rPr>
        <w:rFonts w:hint="default"/>
        <w:b/>
        <w:color w:val="auto"/>
      </w:rPr>
    </w:lvl>
    <w:lvl w:ilvl="3">
      <w:start w:val="1"/>
      <w:numFmt w:val="decimal"/>
      <w:pStyle w:val="Estilotitulo3Arial"/>
      <w:lvlText w:val="%1.%2.%3.%4"/>
      <w:lvlJc w:val="left"/>
      <w:pPr>
        <w:tabs>
          <w:tab w:val="num" w:pos="2250"/>
        </w:tabs>
        <w:ind w:left="2250" w:hanging="1080"/>
      </w:pPr>
      <w:rPr>
        <w:rFonts w:hint="default"/>
      </w:rPr>
    </w:lvl>
    <w:lvl w:ilvl="4">
      <w:start w:val="1"/>
      <w:numFmt w:val="decimal"/>
      <w:lvlText w:val="%1.%2.%3.%4.%5"/>
      <w:lvlJc w:val="left"/>
      <w:pPr>
        <w:tabs>
          <w:tab w:val="num" w:pos="2640"/>
        </w:tabs>
        <w:ind w:left="2640" w:hanging="1080"/>
      </w:pPr>
      <w:rPr>
        <w:rFonts w:hint="default"/>
      </w:rPr>
    </w:lvl>
    <w:lvl w:ilvl="5">
      <w:start w:val="1"/>
      <w:numFmt w:val="decimal"/>
      <w:lvlText w:val="%1.%2.%3.%4.%5.%6"/>
      <w:lvlJc w:val="left"/>
      <w:pPr>
        <w:tabs>
          <w:tab w:val="num" w:pos="3390"/>
        </w:tabs>
        <w:ind w:left="3390" w:hanging="1440"/>
      </w:pPr>
      <w:rPr>
        <w:rFonts w:hint="default"/>
      </w:rPr>
    </w:lvl>
    <w:lvl w:ilvl="6">
      <w:start w:val="1"/>
      <w:numFmt w:val="decimal"/>
      <w:lvlText w:val="%1.%2.%3.%4.%5.%6.%7"/>
      <w:lvlJc w:val="left"/>
      <w:pPr>
        <w:tabs>
          <w:tab w:val="num" w:pos="3780"/>
        </w:tabs>
        <w:ind w:left="3780" w:hanging="1440"/>
      </w:pPr>
      <w:rPr>
        <w:rFonts w:hint="default"/>
      </w:rPr>
    </w:lvl>
    <w:lvl w:ilvl="7">
      <w:start w:val="1"/>
      <w:numFmt w:val="decimal"/>
      <w:lvlText w:val="%1.%2.%3.%4.%5.%6.%7.%8"/>
      <w:lvlJc w:val="left"/>
      <w:pPr>
        <w:tabs>
          <w:tab w:val="num" w:pos="4530"/>
        </w:tabs>
        <w:ind w:left="4530" w:hanging="1800"/>
      </w:pPr>
      <w:rPr>
        <w:rFonts w:hint="default"/>
      </w:rPr>
    </w:lvl>
    <w:lvl w:ilvl="8">
      <w:start w:val="1"/>
      <w:numFmt w:val="decimal"/>
      <w:lvlText w:val="%1.%2.%3.%4.%5.%6.%7.%8.%9"/>
      <w:lvlJc w:val="left"/>
      <w:pPr>
        <w:tabs>
          <w:tab w:val="num" w:pos="4920"/>
        </w:tabs>
        <w:ind w:left="4920" w:hanging="1800"/>
      </w:pPr>
      <w:rPr>
        <w:rFonts w:hint="default"/>
      </w:rPr>
    </w:lvl>
  </w:abstractNum>
  <w:abstractNum w:abstractNumId="17" w15:restartNumberingAfterBreak="0">
    <w:nsid w:val="1FB939CF"/>
    <w:multiLevelType w:val="multilevel"/>
    <w:tmpl w:val="F566FE70"/>
    <w:lvl w:ilvl="0">
      <w:start w:val="1"/>
      <w:numFmt w:val="decimal"/>
      <w:lvlText w:val="%1."/>
      <w:lvlJc w:val="left"/>
      <w:pPr>
        <w:ind w:left="720" w:hanging="360"/>
      </w:pPr>
      <w:rPr>
        <w:rFonts w:hint="default"/>
      </w:rPr>
    </w:lvl>
    <w:lvl w:ilvl="1">
      <w:start w:val="2"/>
      <w:numFmt w:val="decimal"/>
      <w:isLgl/>
      <w:lvlText w:val="%1.%2"/>
      <w:lvlJc w:val="left"/>
      <w:pPr>
        <w:ind w:left="960" w:hanging="60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23135933"/>
    <w:multiLevelType w:val="hybridMultilevel"/>
    <w:tmpl w:val="8C02A822"/>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23DA1CD0"/>
    <w:multiLevelType w:val="multilevel"/>
    <w:tmpl w:val="939E80D0"/>
    <w:lvl w:ilvl="0">
      <w:start w:val="1"/>
      <w:numFmt w:val="decimal"/>
      <w:pStyle w:val="EstiloFranklinGothicMediumNegritaAntes12ptoDespus61"/>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20" w15:restartNumberingAfterBreak="0">
    <w:nsid w:val="24AE4FAB"/>
    <w:multiLevelType w:val="hybridMultilevel"/>
    <w:tmpl w:val="BE1E0A88"/>
    <w:lvl w:ilvl="0" w:tplc="C3E0E820">
      <w:start w:val="1"/>
      <w:numFmt w:val="decimal"/>
      <w:pStyle w:val="Ttulo2"/>
      <w:lvlText w:val="%1.1"/>
      <w:lvlJc w:val="left"/>
      <w:pPr>
        <w:ind w:left="720" w:hanging="360"/>
      </w:pPr>
      <w:rPr>
        <w:rFont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15:restartNumberingAfterBreak="0">
    <w:nsid w:val="27E4052F"/>
    <w:multiLevelType w:val="hybridMultilevel"/>
    <w:tmpl w:val="167E27D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28626A4F"/>
    <w:multiLevelType w:val="hybridMultilevel"/>
    <w:tmpl w:val="4A646B8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34F43C73"/>
    <w:multiLevelType w:val="hybridMultilevel"/>
    <w:tmpl w:val="96A0019E"/>
    <w:lvl w:ilvl="0" w:tplc="1932EC4E">
      <w:start w:val="7"/>
      <w:numFmt w:val="bullet"/>
      <w:lvlText w:val=""/>
      <w:lvlJc w:val="left"/>
      <w:pPr>
        <w:ind w:left="720" w:hanging="360"/>
      </w:pPr>
      <w:rPr>
        <w:rFonts w:ascii="Symbol" w:eastAsiaTheme="minorHAnsi" w:hAnsi="Symbol"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39D56230"/>
    <w:multiLevelType w:val="hybridMultilevel"/>
    <w:tmpl w:val="176AC646"/>
    <w:lvl w:ilvl="0" w:tplc="77543B00">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3B560012"/>
    <w:multiLevelType w:val="hybridMultilevel"/>
    <w:tmpl w:val="BDD66B7C"/>
    <w:lvl w:ilvl="0" w:tplc="A8BA8804">
      <w:start w:val="1"/>
      <w:numFmt w:val="upperRoman"/>
      <w:pStyle w:val="Ttulo-3"/>
      <w:lvlText w:val="%1."/>
      <w:lvlJc w:val="righ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6" w15:restartNumberingAfterBreak="0">
    <w:nsid w:val="3C780E24"/>
    <w:multiLevelType w:val="multilevel"/>
    <w:tmpl w:val="6DA6EF94"/>
    <w:styleLink w:val="Estilo5"/>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7" w15:restartNumberingAfterBreak="0">
    <w:nsid w:val="3D9C46A3"/>
    <w:multiLevelType w:val="multilevel"/>
    <w:tmpl w:val="33B056D0"/>
    <w:styleLink w:val="Listaconvietasurbana"/>
    <w:lvl w:ilvl="0">
      <w:start w:val="1"/>
      <w:numFmt w:val="bullet"/>
      <w:lvlText w:val=""/>
      <w:lvlJc w:val="left"/>
      <w:pPr>
        <w:ind w:left="216" w:hanging="216"/>
      </w:pPr>
      <w:rPr>
        <w:rFonts w:ascii="Symbol" w:hAnsi="Symbol" w:hint="default"/>
        <w:b w:val="0"/>
        <w:i w:val="0"/>
        <w:color w:val="9BBB59" w:themeColor="accent3"/>
        <w:sz w:val="18"/>
      </w:rPr>
    </w:lvl>
    <w:lvl w:ilvl="1">
      <w:start w:val="1"/>
      <w:numFmt w:val="bullet"/>
      <w:lvlText w:val=""/>
      <w:lvlJc w:val="left"/>
      <w:pPr>
        <w:ind w:left="461" w:hanging="216"/>
      </w:pPr>
      <w:rPr>
        <w:rFonts w:ascii="Wingdings" w:hAnsi="Wingdings" w:hint="default"/>
        <w:b w:val="0"/>
        <w:i w:val="0"/>
        <w:color w:val="C0504D" w:themeColor="accent2"/>
        <w:sz w:val="12"/>
      </w:rPr>
    </w:lvl>
    <w:lvl w:ilvl="2">
      <w:start w:val="1"/>
      <w:numFmt w:val="bullet"/>
      <w:lvlText w:val=""/>
      <w:lvlJc w:val="left"/>
      <w:pPr>
        <w:ind w:left="706" w:hanging="216"/>
      </w:pPr>
      <w:rPr>
        <w:rFonts w:ascii="Symbol" w:hAnsi="Symbol" w:hint="default"/>
        <w:b w:val="0"/>
        <w:i w:val="0"/>
        <w:color w:val="4F81BD" w:themeColor="accent1"/>
        <w:sz w:val="16"/>
      </w:rPr>
    </w:lvl>
    <w:lvl w:ilvl="3">
      <w:start w:val="1"/>
      <w:numFmt w:val="bullet"/>
      <w:lvlText w:val=""/>
      <w:lvlJc w:val="left"/>
      <w:pPr>
        <w:ind w:left="951" w:hanging="216"/>
      </w:pPr>
      <w:rPr>
        <w:rFonts w:ascii="Symbol" w:hAnsi="Symbol" w:hint="default"/>
        <w:b w:val="0"/>
        <w:i w:val="0"/>
        <w:color w:val="4F81BD" w:themeColor="accent1"/>
        <w:sz w:val="16"/>
      </w:rPr>
    </w:lvl>
    <w:lvl w:ilvl="4">
      <w:start w:val="1"/>
      <w:numFmt w:val="bullet"/>
      <w:lvlText w:val=""/>
      <w:lvlJc w:val="left"/>
      <w:pPr>
        <w:ind w:left="1196" w:hanging="216"/>
      </w:pPr>
      <w:rPr>
        <w:rFonts w:ascii="Symbol" w:hAnsi="Symbol" w:hint="default"/>
        <w:color w:val="4F81BD" w:themeColor="accent1"/>
        <w:sz w:val="16"/>
      </w:rPr>
    </w:lvl>
    <w:lvl w:ilvl="5">
      <w:start w:val="1"/>
      <w:numFmt w:val="bullet"/>
      <w:lvlText w:val=""/>
      <w:lvlJc w:val="left"/>
      <w:pPr>
        <w:ind w:left="1441" w:hanging="216"/>
      </w:pPr>
      <w:rPr>
        <w:rFonts w:ascii="Symbol" w:hAnsi="Symbol" w:hint="default"/>
        <w:color w:val="4F81BD" w:themeColor="accent1"/>
        <w:sz w:val="16"/>
      </w:rPr>
    </w:lvl>
    <w:lvl w:ilvl="6">
      <w:start w:val="1"/>
      <w:numFmt w:val="bullet"/>
      <w:lvlText w:val=""/>
      <w:lvlJc w:val="left"/>
      <w:pPr>
        <w:ind w:left="1686" w:hanging="216"/>
      </w:pPr>
      <w:rPr>
        <w:rFonts w:ascii="Symbol" w:hAnsi="Symbol" w:hint="default"/>
        <w:color w:val="4F81BD" w:themeColor="accent1"/>
        <w:sz w:val="16"/>
      </w:rPr>
    </w:lvl>
    <w:lvl w:ilvl="7">
      <w:start w:val="1"/>
      <w:numFmt w:val="bullet"/>
      <w:lvlText w:val=""/>
      <w:lvlJc w:val="left"/>
      <w:pPr>
        <w:ind w:left="1931" w:hanging="216"/>
      </w:pPr>
      <w:rPr>
        <w:rFonts w:ascii="Symbol" w:hAnsi="Symbol" w:hint="default"/>
        <w:color w:val="4F81BD" w:themeColor="accent1"/>
        <w:sz w:val="16"/>
      </w:rPr>
    </w:lvl>
    <w:lvl w:ilvl="8">
      <w:start w:val="1"/>
      <w:numFmt w:val="bullet"/>
      <w:lvlText w:val=""/>
      <w:lvlJc w:val="left"/>
      <w:pPr>
        <w:ind w:left="2176" w:hanging="216"/>
      </w:pPr>
      <w:rPr>
        <w:rFonts w:ascii="Symbol" w:hAnsi="Symbol" w:hint="default"/>
        <w:color w:val="4F81BD" w:themeColor="accent1"/>
        <w:sz w:val="16"/>
      </w:rPr>
    </w:lvl>
  </w:abstractNum>
  <w:abstractNum w:abstractNumId="28" w15:restartNumberingAfterBreak="0">
    <w:nsid w:val="3EB031DA"/>
    <w:multiLevelType w:val="hybridMultilevel"/>
    <w:tmpl w:val="6282AE14"/>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9" w15:restartNumberingAfterBreak="0">
    <w:nsid w:val="3FB708F6"/>
    <w:multiLevelType w:val="hybridMultilevel"/>
    <w:tmpl w:val="09426724"/>
    <w:lvl w:ilvl="0" w:tplc="240A000D">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0" w15:restartNumberingAfterBreak="0">
    <w:nsid w:val="41A16CD5"/>
    <w:multiLevelType w:val="multilevel"/>
    <w:tmpl w:val="2DF8FF2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lang w:val="es-E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431C3A96"/>
    <w:multiLevelType w:val="hybridMultilevel"/>
    <w:tmpl w:val="9C8650BC"/>
    <w:lvl w:ilvl="0" w:tplc="240A000D">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2" w15:restartNumberingAfterBreak="0">
    <w:nsid w:val="44803727"/>
    <w:multiLevelType w:val="hybridMultilevel"/>
    <w:tmpl w:val="03B0CFC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15:restartNumberingAfterBreak="0">
    <w:nsid w:val="46321F66"/>
    <w:multiLevelType w:val="hybridMultilevel"/>
    <w:tmpl w:val="79BE0D5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15:restartNumberingAfterBreak="0">
    <w:nsid w:val="47036F3B"/>
    <w:multiLevelType w:val="hybridMultilevel"/>
    <w:tmpl w:val="0C8E1888"/>
    <w:lvl w:ilvl="0" w:tplc="240A000D">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5" w15:restartNumberingAfterBreak="0">
    <w:nsid w:val="482B4F32"/>
    <w:multiLevelType w:val="hybridMultilevel"/>
    <w:tmpl w:val="BCDCBF9C"/>
    <w:lvl w:ilvl="0" w:tplc="240A000D">
      <w:start w:val="1"/>
      <w:numFmt w:val="bullet"/>
      <w:lvlText w:val=""/>
      <w:lvlJc w:val="left"/>
      <w:pPr>
        <w:ind w:left="720" w:hanging="360"/>
      </w:pPr>
      <w:rPr>
        <w:rFonts w:ascii="Wingdings" w:hAnsi="Wingdings" w:hint="default"/>
        <w:sz w:val="24"/>
        <w:szCs w:val="24"/>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15:restartNumberingAfterBreak="0">
    <w:nsid w:val="496A19B9"/>
    <w:multiLevelType w:val="hybridMultilevel"/>
    <w:tmpl w:val="E86AC7A2"/>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15:restartNumberingAfterBreak="0">
    <w:nsid w:val="49A74A79"/>
    <w:multiLevelType w:val="hybridMultilevel"/>
    <w:tmpl w:val="AB6E437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8" w15:restartNumberingAfterBreak="0">
    <w:nsid w:val="49B735A7"/>
    <w:multiLevelType w:val="hybridMultilevel"/>
    <w:tmpl w:val="A0FE9E04"/>
    <w:lvl w:ilvl="0" w:tplc="985A4162">
      <w:start w:val="3"/>
      <w:numFmt w:val="bullet"/>
      <w:lvlText w:val=""/>
      <w:lvlJc w:val="left"/>
      <w:pPr>
        <w:ind w:left="360" w:hanging="360"/>
      </w:pPr>
      <w:rPr>
        <w:rFonts w:ascii="Symbol" w:eastAsia="Times New Roman" w:hAnsi="Symbol" w:cs="Times New Roman" w:hint="default"/>
        <w:b/>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9" w15:restartNumberingAfterBreak="0">
    <w:nsid w:val="4AEA2661"/>
    <w:multiLevelType w:val="hybridMultilevel"/>
    <w:tmpl w:val="045A2E9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0" w15:restartNumberingAfterBreak="0">
    <w:nsid w:val="4C3605DB"/>
    <w:multiLevelType w:val="hybridMultilevel"/>
    <w:tmpl w:val="04EC3E66"/>
    <w:lvl w:ilvl="0" w:tplc="240A000D">
      <w:start w:val="1"/>
      <w:numFmt w:val="bullet"/>
      <w:lvlText w:val=""/>
      <w:lvlJc w:val="left"/>
      <w:pPr>
        <w:ind w:left="360" w:hanging="360"/>
      </w:pPr>
      <w:rPr>
        <w:rFonts w:ascii="Wingdings" w:hAnsi="Wingdings" w:hint="default"/>
        <w:b w:val="0"/>
      </w:r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41" w15:restartNumberingAfterBreak="0">
    <w:nsid w:val="4D1554D1"/>
    <w:multiLevelType w:val="hybridMultilevel"/>
    <w:tmpl w:val="17B60A2A"/>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2" w15:restartNumberingAfterBreak="0">
    <w:nsid w:val="4D4053A5"/>
    <w:multiLevelType w:val="multilevel"/>
    <w:tmpl w:val="FECA56E2"/>
    <w:lvl w:ilvl="0">
      <w:start w:val="1"/>
      <w:numFmt w:val="decimal"/>
      <w:pStyle w:val="subtitulodel3"/>
      <w:lvlText w:val="I.%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43" w15:restartNumberingAfterBreak="0">
    <w:nsid w:val="4D8D5BCE"/>
    <w:multiLevelType w:val="singleLevel"/>
    <w:tmpl w:val="2D3CB69E"/>
    <w:lvl w:ilvl="0">
      <w:start w:val="1"/>
      <w:numFmt w:val="bullet"/>
      <w:pStyle w:val="ndice1"/>
      <w:lvlText w:val=""/>
      <w:lvlJc w:val="left"/>
      <w:pPr>
        <w:tabs>
          <w:tab w:val="num" w:pos="360"/>
        </w:tabs>
        <w:ind w:left="360" w:hanging="360"/>
      </w:pPr>
      <w:rPr>
        <w:rFonts w:ascii="Symbol" w:hAnsi="Symbol" w:hint="default"/>
      </w:rPr>
    </w:lvl>
  </w:abstractNum>
  <w:abstractNum w:abstractNumId="44" w15:restartNumberingAfterBreak="0">
    <w:nsid w:val="4E671D14"/>
    <w:multiLevelType w:val="hybridMultilevel"/>
    <w:tmpl w:val="7C288306"/>
    <w:lvl w:ilvl="0" w:tplc="0C0A0005">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503B20C8"/>
    <w:multiLevelType w:val="hybridMultilevel"/>
    <w:tmpl w:val="8A8A400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6" w15:restartNumberingAfterBreak="0">
    <w:nsid w:val="52B65627"/>
    <w:multiLevelType w:val="hybridMultilevel"/>
    <w:tmpl w:val="DA9AFD16"/>
    <w:lvl w:ilvl="0" w:tplc="77543B00">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7" w15:restartNumberingAfterBreak="0">
    <w:nsid w:val="53757CC5"/>
    <w:multiLevelType w:val="hybridMultilevel"/>
    <w:tmpl w:val="E2BCD0C6"/>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8" w15:restartNumberingAfterBreak="0">
    <w:nsid w:val="538C6D13"/>
    <w:multiLevelType w:val="hybridMultilevel"/>
    <w:tmpl w:val="6638D84E"/>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9" w15:restartNumberingAfterBreak="0">
    <w:nsid w:val="54160B15"/>
    <w:multiLevelType w:val="hybridMultilevel"/>
    <w:tmpl w:val="99EED77C"/>
    <w:lvl w:ilvl="0" w:tplc="240A000D">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0" w15:restartNumberingAfterBreak="0">
    <w:nsid w:val="55DD39C6"/>
    <w:multiLevelType w:val="hybridMultilevel"/>
    <w:tmpl w:val="60E6C2BA"/>
    <w:lvl w:ilvl="0" w:tplc="240A000D">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51" w15:restartNumberingAfterBreak="0">
    <w:nsid w:val="5637429D"/>
    <w:multiLevelType w:val="hybridMultilevel"/>
    <w:tmpl w:val="A3E28582"/>
    <w:lvl w:ilvl="0" w:tplc="3850DC1C">
      <w:start w:val="1"/>
      <w:numFmt w:val="bullet"/>
      <w:lvlText w:val=""/>
      <w:lvlJc w:val="left"/>
      <w:pPr>
        <w:ind w:left="360" w:hanging="360"/>
      </w:pPr>
      <w:rPr>
        <w:rFonts w:ascii="Wingdings" w:hAnsi="Wingdings" w:hint="default"/>
        <w:b w:val="0"/>
        <w:color w:val="auto"/>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52" w15:restartNumberingAfterBreak="0">
    <w:nsid w:val="5A025856"/>
    <w:multiLevelType w:val="multilevel"/>
    <w:tmpl w:val="862224A6"/>
    <w:lvl w:ilvl="0">
      <w:start w:val="1"/>
      <w:numFmt w:val="decimal"/>
      <w:pStyle w:val="EstiloTtulo1Justificado"/>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53" w15:restartNumberingAfterBreak="0">
    <w:nsid w:val="5AFC4F1E"/>
    <w:multiLevelType w:val="hybridMultilevel"/>
    <w:tmpl w:val="D88C011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4" w15:restartNumberingAfterBreak="0">
    <w:nsid w:val="5D8467E4"/>
    <w:multiLevelType w:val="hybridMultilevel"/>
    <w:tmpl w:val="C04A5044"/>
    <w:lvl w:ilvl="0" w:tplc="240A000D">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55" w15:restartNumberingAfterBreak="0">
    <w:nsid w:val="5EAE7CF8"/>
    <w:multiLevelType w:val="multilevel"/>
    <w:tmpl w:val="9B185AF0"/>
    <w:lvl w:ilvl="0">
      <w:start w:val="1"/>
      <w:numFmt w:val="decimal"/>
      <w:lvlText w:val="%1"/>
      <w:lvlJc w:val="left"/>
      <w:pPr>
        <w:ind w:left="360" w:hanging="360"/>
      </w:pPr>
      <w:rPr>
        <w:rFonts w:hint="default"/>
      </w:rPr>
    </w:lvl>
    <w:lvl w:ilvl="1">
      <w:start w:val="1"/>
      <w:numFmt w:val="decimal"/>
      <w:lvlText w:val="%1.%2"/>
      <w:lvlJc w:val="left"/>
      <w:pPr>
        <w:ind w:left="360" w:hanging="360"/>
      </w:pPr>
      <w:rPr>
        <w:rFonts w:ascii="Arial" w:hAnsi="Arial" w:cs="Arial"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6" w15:restartNumberingAfterBreak="0">
    <w:nsid w:val="5F5A4F62"/>
    <w:multiLevelType w:val="hybridMultilevel"/>
    <w:tmpl w:val="60783BE8"/>
    <w:lvl w:ilvl="0" w:tplc="240A000D">
      <w:start w:val="1"/>
      <w:numFmt w:val="bullet"/>
      <w:lvlText w:val=""/>
      <w:lvlJc w:val="left"/>
      <w:pPr>
        <w:ind w:left="1080" w:hanging="360"/>
      </w:pPr>
      <w:rPr>
        <w:rFonts w:ascii="Wingdings" w:hAnsi="Wingdings"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57" w15:restartNumberingAfterBreak="0">
    <w:nsid w:val="5FE770D9"/>
    <w:multiLevelType w:val="hybridMultilevel"/>
    <w:tmpl w:val="1CEE45FE"/>
    <w:lvl w:ilvl="0" w:tplc="3850DC1C">
      <w:start w:val="1"/>
      <w:numFmt w:val="bullet"/>
      <w:lvlText w:val=""/>
      <w:lvlJc w:val="left"/>
      <w:pPr>
        <w:ind w:left="360" w:hanging="360"/>
      </w:pPr>
      <w:rPr>
        <w:rFonts w:ascii="Wingdings" w:hAnsi="Wingdings" w:hint="default"/>
        <w:b w:val="0"/>
        <w:color w:val="auto"/>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58" w15:restartNumberingAfterBreak="0">
    <w:nsid w:val="60486AA6"/>
    <w:multiLevelType w:val="hybridMultilevel"/>
    <w:tmpl w:val="4C18C08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9" w15:restartNumberingAfterBreak="0">
    <w:nsid w:val="6126407E"/>
    <w:multiLevelType w:val="multilevel"/>
    <w:tmpl w:val="85B88700"/>
    <w:lvl w:ilvl="0">
      <w:start w:val="5"/>
      <w:numFmt w:val="decimal"/>
      <w:lvlText w:val="%1"/>
      <w:lvlJc w:val="left"/>
      <w:pPr>
        <w:tabs>
          <w:tab w:val="num" w:pos="360"/>
        </w:tabs>
        <w:ind w:left="360" w:hanging="360"/>
      </w:pPr>
      <w:rPr>
        <w:rFonts w:hint="default"/>
      </w:rPr>
    </w:lvl>
    <w:lvl w:ilvl="1">
      <w:start w:val="1"/>
      <w:numFmt w:val="decimal"/>
      <w:pStyle w:val="T22"/>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60" w15:restartNumberingAfterBreak="0">
    <w:nsid w:val="65441BB9"/>
    <w:multiLevelType w:val="hybridMultilevel"/>
    <w:tmpl w:val="65FA8188"/>
    <w:lvl w:ilvl="0" w:tplc="240A000D">
      <w:start w:val="1"/>
      <w:numFmt w:val="bullet"/>
      <w:lvlText w:val=""/>
      <w:lvlJc w:val="left"/>
      <w:pPr>
        <w:ind w:left="578" w:hanging="360"/>
      </w:pPr>
      <w:rPr>
        <w:rFonts w:ascii="Wingdings" w:hAnsi="Wingdings" w:hint="default"/>
      </w:rPr>
    </w:lvl>
    <w:lvl w:ilvl="1" w:tplc="240A0003" w:tentative="1">
      <w:start w:val="1"/>
      <w:numFmt w:val="bullet"/>
      <w:lvlText w:val="o"/>
      <w:lvlJc w:val="left"/>
      <w:pPr>
        <w:ind w:left="1298" w:hanging="360"/>
      </w:pPr>
      <w:rPr>
        <w:rFonts w:ascii="Courier New" w:hAnsi="Courier New" w:cs="Courier New" w:hint="default"/>
      </w:rPr>
    </w:lvl>
    <w:lvl w:ilvl="2" w:tplc="240A0005" w:tentative="1">
      <w:start w:val="1"/>
      <w:numFmt w:val="bullet"/>
      <w:lvlText w:val=""/>
      <w:lvlJc w:val="left"/>
      <w:pPr>
        <w:ind w:left="2018" w:hanging="360"/>
      </w:pPr>
      <w:rPr>
        <w:rFonts w:ascii="Wingdings" w:hAnsi="Wingdings" w:hint="default"/>
      </w:rPr>
    </w:lvl>
    <w:lvl w:ilvl="3" w:tplc="240A0001" w:tentative="1">
      <w:start w:val="1"/>
      <w:numFmt w:val="bullet"/>
      <w:lvlText w:val=""/>
      <w:lvlJc w:val="left"/>
      <w:pPr>
        <w:ind w:left="2738" w:hanging="360"/>
      </w:pPr>
      <w:rPr>
        <w:rFonts w:ascii="Symbol" w:hAnsi="Symbol" w:hint="default"/>
      </w:rPr>
    </w:lvl>
    <w:lvl w:ilvl="4" w:tplc="240A0003" w:tentative="1">
      <w:start w:val="1"/>
      <w:numFmt w:val="bullet"/>
      <w:lvlText w:val="o"/>
      <w:lvlJc w:val="left"/>
      <w:pPr>
        <w:ind w:left="3458" w:hanging="360"/>
      </w:pPr>
      <w:rPr>
        <w:rFonts w:ascii="Courier New" w:hAnsi="Courier New" w:cs="Courier New" w:hint="default"/>
      </w:rPr>
    </w:lvl>
    <w:lvl w:ilvl="5" w:tplc="240A0005" w:tentative="1">
      <w:start w:val="1"/>
      <w:numFmt w:val="bullet"/>
      <w:lvlText w:val=""/>
      <w:lvlJc w:val="left"/>
      <w:pPr>
        <w:ind w:left="4178" w:hanging="360"/>
      </w:pPr>
      <w:rPr>
        <w:rFonts w:ascii="Wingdings" w:hAnsi="Wingdings" w:hint="default"/>
      </w:rPr>
    </w:lvl>
    <w:lvl w:ilvl="6" w:tplc="240A0001" w:tentative="1">
      <w:start w:val="1"/>
      <w:numFmt w:val="bullet"/>
      <w:lvlText w:val=""/>
      <w:lvlJc w:val="left"/>
      <w:pPr>
        <w:ind w:left="4898" w:hanging="360"/>
      </w:pPr>
      <w:rPr>
        <w:rFonts w:ascii="Symbol" w:hAnsi="Symbol" w:hint="default"/>
      </w:rPr>
    </w:lvl>
    <w:lvl w:ilvl="7" w:tplc="240A0003" w:tentative="1">
      <w:start w:val="1"/>
      <w:numFmt w:val="bullet"/>
      <w:lvlText w:val="o"/>
      <w:lvlJc w:val="left"/>
      <w:pPr>
        <w:ind w:left="5618" w:hanging="360"/>
      </w:pPr>
      <w:rPr>
        <w:rFonts w:ascii="Courier New" w:hAnsi="Courier New" w:cs="Courier New" w:hint="default"/>
      </w:rPr>
    </w:lvl>
    <w:lvl w:ilvl="8" w:tplc="240A0005" w:tentative="1">
      <w:start w:val="1"/>
      <w:numFmt w:val="bullet"/>
      <w:lvlText w:val=""/>
      <w:lvlJc w:val="left"/>
      <w:pPr>
        <w:ind w:left="6338" w:hanging="360"/>
      </w:pPr>
      <w:rPr>
        <w:rFonts w:ascii="Wingdings" w:hAnsi="Wingdings" w:hint="default"/>
      </w:rPr>
    </w:lvl>
  </w:abstractNum>
  <w:abstractNum w:abstractNumId="61" w15:restartNumberingAfterBreak="0">
    <w:nsid w:val="66E94BB7"/>
    <w:multiLevelType w:val="hybridMultilevel"/>
    <w:tmpl w:val="582AA7B4"/>
    <w:lvl w:ilvl="0" w:tplc="B3E62F80">
      <w:start w:val="1"/>
      <w:numFmt w:val="bullet"/>
      <w:lvlText w:val="•"/>
      <w:lvlJc w:val="left"/>
      <w:pPr>
        <w:ind w:left="1440" w:hanging="360"/>
      </w:pPr>
      <w:rPr>
        <w:rFonts w:ascii="Arial" w:hAnsi="Aria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62" w15:restartNumberingAfterBreak="0">
    <w:nsid w:val="678B17D9"/>
    <w:multiLevelType w:val="multilevel"/>
    <w:tmpl w:val="7876DDAC"/>
    <w:lvl w:ilvl="0">
      <w:start w:val="2"/>
      <w:numFmt w:val="decimal"/>
      <w:lvlText w:val="%1"/>
      <w:lvlJc w:val="left"/>
      <w:pPr>
        <w:tabs>
          <w:tab w:val="num" w:pos="525"/>
        </w:tabs>
        <w:ind w:left="525" w:hanging="525"/>
      </w:pPr>
      <w:rPr>
        <w:rFonts w:hint="default"/>
      </w:rPr>
    </w:lvl>
    <w:lvl w:ilvl="1">
      <w:start w:val="2"/>
      <w:numFmt w:val="decimal"/>
      <w:lvlText w:val="%1.%2"/>
      <w:lvlJc w:val="left"/>
      <w:pPr>
        <w:tabs>
          <w:tab w:val="num" w:pos="1335"/>
        </w:tabs>
        <w:ind w:left="1335" w:hanging="525"/>
      </w:pPr>
      <w:rPr>
        <w:rFonts w:hint="default"/>
      </w:rPr>
    </w:lvl>
    <w:lvl w:ilvl="2">
      <w:start w:val="8"/>
      <w:numFmt w:val="decimal"/>
      <w:lvlText w:val="%1.%2.%3"/>
      <w:lvlJc w:val="left"/>
      <w:pPr>
        <w:tabs>
          <w:tab w:val="num" w:pos="2520"/>
        </w:tabs>
        <w:ind w:left="2520" w:hanging="720"/>
      </w:pPr>
      <w:rPr>
        <w:rFonts w:hint="default"/>
        <w:b/>
      </w:rPr>
    </w:lvl>
    <w:lvl w:ilvl="3">
      <w:start w:val="1"/>
      <w:numFmt w:val="decimal"/>
      <w:pStyle w:val="EstiloTtulo4Ttulo4-BCN4dashd3Cursiva"/>
      <w:lvlText w:val="%1.%2.%3.%4"/>
      <w:lvlJc w:val="left"/>
      <w:pPr>
        <w:tabs>
          <w:tab w:val="num" w:pos="1440"/>
        </w:tabs>
        <w:ind w:left="1440" w:hanging="1080"/>
      </w:pPr>
      <w:rPr>
        <w:rFonts w:hint="default"/>
      </w:rPr>
    </w:lvl>
    <w:lvl w:ilvl="4">
      <w:start w:val="1"/>
      <w:numFmt w:val="decimal"/>
      <w:lvlText w:val="%1.%2.%3.%4.%5"/>
      <w:lvlJc w:val="left"/>
      <w:pPr>
        <w:tabs>
          <w:tab w:val="num" w:pos="4320"/>
        </w:tabs>
        <w:ind w:left="4320" w:hanging="1080"/>
      </w:pPr>
      <w:rPr>
        <w:rFonts w:hint="default"/>
      </w:rPr>
    </w:lvl>
    <w:lvl w:ilvl="5">
      <w:start w:val="1"/>
      <w:numFmt w:val="decimal"/>
      <w:lvlText w:val="%1.%2.%3.%4.%5.%6"/>
      <w:lvlJc w:val="left"/>
      <w:pPr>
        <w:tabs>
          <w:tab w:val="num" w:pos="5490"/>
        </w:tabs>
        <w:ind w:left="5490" w:hanging="1440"/>
      </w:pPr>
      <w:rPr>
        <w:rFonts w:hint="default"/>
      </w:rPr>
    </w:lvl>
    <w:lvl w:ilvl="6">
      <w:start w:val="1"/>
      <w:numFmt w:val="decimal"/>
      <w:lvlText w:val="%1.%2.%3.%4.%5.%6.%7"/>
      <w:lvlJc w:val="left"/>
      <w:pPr>
        <w:tabs>
          <w:tab w:val="num" w:pos="6300"/>
        </w:tabs>
        <w:ind w:left="6300" w:hanging="1440"/>
      </w:pPr>
      <w:rPr>
        <w:rFonts w:hint="default"/>
      </w:rPr>
    </w:lvl>
    <w:lvl w:ilvl="7">
      <w:start w:val="1"/>
      <w:numFmt w:val="decimal"/>
      <w:lvlText w:val="%1.%2.%3.%4.%5.%6.%7.%8"/>
      <w:lvlJc w:val="left"/>
      <w:pPr>
        <w:tabs>
          <w:tab w:val="num" w:pos="7470"/>
        </w:tabs>
        <w:ind w:left="7470" w:hanging="1800"/>
      </w:pPr>
      <w:rPr>
        <w:rFonts w:hint="default"/>
      </w:rPr>
    </w:lvl>
    <w:lvl w:ilvl="8">
      <w:start w:val="1"/>
      <w:numFmt w:val="decimal"/>
      <w:lvlText w:val="%1.%2.%3.%4.%5.%6.%7.%8.%9"/>
      <w:lvlJc w:val="left"/>
      <w:pPr>
        <w:tabs>
          <w:tab w:val="num" w:pos="8280"/>
        </w:tabs>
        <w:ind w:left="8280" w:hanging="1800"/>
      </w:pPr>
      <w:rPr>
        <w:rFonts w:hint="default"/>
      </w:rPr>
    </w:lvl>
  </w:abstractNum>
  <w:abstractNum w:abstractNumId="63" w15:restartNumberingAfterBreak="0">
    <w:nsid w:val="6A5222B0"/>
    <w:multiLevelType w:val="hybridMultilevel"/>
    <w:tmpl w:val="F5FC770C"/>
    <w:lvl w:ilvl="0" w:tplc="240A0001">
      <w:start w:val="1"/>
      <w:numFmt w:val="bullet"/>
      <w:lvlText w:val=""/>
      <w:lvlJc w:val="left"/>
      <w:pPr>
        <w:ind w:left="720" w:hanging="360"/>
      </w:pPr>
      <w:rPr>
        <w:rFonts w:ascii="Symbol" w:hAnsi="Symbol" w:hint="default"/>
      </w:rPr>
    </w:lvl>
    <w:lvl w:ilvl="1" w:tplc="76181B5E">
      <w:numFmt w:val="bullet"/>
      <w:lvlText w:val="•"/>
      <w:lvlJc w:val="left"/>
      <w:pPr>
        <w:ind w:left="1440" w:hanging="360"/>
      </w:pPr>
      <w:rPr>
        <w:rFonts w:ascii="Arial Narrow" w:eastAsia="Times New Roman" w:hAnsi="Arial Narrow" w:cs="Arial"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4" w15:restartNumberingAfterBreak="0">
    <w:nsid w:val="6D397385"/>
    <w:multiLevelType w:val="multilevel"/>
    <w:tmpl w:val="37DC4912"/>
    <w:lvl w:ilvl="0">
      <w:start w:val="1"/>
      <w:numFmt w:val="bullet"/>
      <w:pStyle w:val="Titulo3"/>
      <w:lvlText w:val="-"/>
      <w:lvlJc w:val="left"/>
      <w:pPr>
        <w:ind w:left="0" w:firstLine="360"/>
      </w:pPr>
      <w:rPr>
        <w:rFonts w:ascii="Arial" w:eastAsia="Arial" w:hAnsi="Arial" w:cs="Arial"/>
      </w:rPr>
    </w:lvl>
    <w:lvl w:ilvl="1">
      <w:start w:val="1"/>
      <w:numFmt w:val="bullet"/>
      <w:lvlText w:val="o"/>
      <w:lvlJc w:val="left"/>
      <w:pPr>
        <w:ind w:left="720" w:firstLine="1080"/>
      </w:pPr>
      <w:rPr>
        <w:rFonts w:ascii="Arial" w:eastAsia="Arial" w:hAnsi="Arial" w:cs="Arial"/>
      </w:rPr>
    </w:lvl>
    <w:lvl w:ilvl="2">
      <w:start w:val="1"/>
      <w:numFmt w:val="bullet"/>
      <w:lvlText w:val="▪"/>
      <w:lvlJc w:val="left"/>
      <w:pPr>
        <w:ind w:left="1440" w:firstLine="1800"/>
      </w:pPr>
      <w:rPr>
        <w:rFonts w:ascii="Arial" w:eastAsia="Arial" w:hAnsi="Arial" w:cs="Arial"/>
      </w:rPr>
    </w:lvl>
    <w:lvl w:ilvl="3">
      <w:start w:val="1"/>
      <w:numFmt w:val="bullet"/>
      <w:lvlText w:val="●"/>
      <w:lvlJc w:val="left"/>
      <w:pPr>
        <w:ind w:left="2160" w:firstLine="2520"/>
      </w:pPr>
      <w:rPr>
        <w:rFonts w:ascii="Arial" w:eastAsia="Arial" w:hAnsi="Arial" w:cs="Arial"/>
      </w:rPr>
    </w:lvl>
    <w:lvl w:ilvl="4">
      <w:start w:val="1"/>
      <w:numFmt w:val="bullet"/>
      <w:lvlText w:val="o"/>
      <w:lvlJc w:val="left"/>
      <w:pPr>
        <w:ind w:left="2880" w:firstLine="3240"/>
      </w:pPr>
      <w:rPr>
        <w:rFonts w:ascii="Arial" w:eastAsia="Arial" w:hAnsi="Arial" w:cs="Arial"/>
      </w:rPr>
    </w:lvl>
    <w:lvl w:ilvl="5">
      <w:start w:val="1"/>
      <w:numFmt w:val="bullet"/>
      <w:lvlText w:val="▪"/>
      <w:lvlJc w:val="left"/>
      <w:pPr>
        <w:ind w:left="3600" w:firstLine="3960"/>
      </w:pPr>
      <w:rPr>
        <w:rFonts w:ascii="Arial" w:eastAsia="Arial" w:hAnsi="Arial" w:cs="Arial"/>
      </w:rPr>
    </w:lvl>
    <w:lvl w:ilvl="6">
      <w:start w:val="1"/>
      <w:numFmt w:val="bullet"/>
      <w:lvlText w:val="●"/>
      <w:lvlJc w:val="left"/>
      <w:pPr>
        <w:ind w:left="4320" w:firstLine="4680"/>
      </w:pPr>
      <w:rPr>
        <w:rFonts w:ascii="Arial" w:eastAsia="Arial" w:hAnsi="Arial" w:cs="Arial"/>
      </w:rPr>
    </w:lvl>
    <w:lvl w:ilvl="7">
      <w:start w:val="1"/>
      <w:numFmt w:val="bullet"/>
      <w:lvlText w:val="o"/>
      <w:lvlJc w:val="left"/>
      <w:pPr>
        <w:ind w:left="5040" w:firstLine="5400"/>
      </w:pPr>
      <w:rPr>
        <w:rFonts w:ascii="Arial" w:eastAsia="Arial" w:hAnsi="Arial" w:cs="Arial"/>
      </w:rPr>
    </w:lvl>
    <w:lvl w:ilvl="8">
      <w:start w:val="1"/>
      <w:numFmt w:val="bullet"/>
      <w:lvlText w:val="▪"/>
      <w:lvlJc w:val="left"/>
      <w:pPr>
        <w:ind w:left="5760" w:firstLine="6120"/>
      </w:pPr>
      <w:rPr>
        <w:rFonts w:ascii="Arial" w:eastAsia="Arial" w:hAnsi="Arial" w:cs="Arial"/>
      </w:rPr>
    </w:lvl>
  </w:abstractNum>
  <w:abstractNum w:abstractNumId="65" w15:restartNumberingAfterBreak="0">
    <w:nsid w:val="6EBD0F06"/>
    <w:multiLevelType w:val="hybridMultilevel"/>
    <w:tmpl w:val="3592A81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6" w15:restartNumberingAfterBreak="0">
    <w:nsid w:val="6EC12E02"/>
    <w:multiLevelType w:val="hybridMultilevel"/>
    <w:tmpl w:val="E13EB444"/>
    <w:lvl w:ilvl="0" w:tplc="05862B48">
      <w:start w:val="1"/>
      <w:numFmt w:val="upperLetter"/>
      <w:pStyle w:val="subtitulodel4"/>
      <w:lvlText w:val="I.1.%1"/>
      <w:lvlJc w:val="left"/>
      <w:pPr>
        <w:ind w:left="720"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7" w15:restartNumberingAfterBreak="0">
    <w:nsid w:val="6F3A4E20"/>
    <w:multiLevelType w:val="hybridMultilevel"/>
    <w:tmpl w:val="B136DA5A"/>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8" w15:restartNumberingAfterBreak="0">
    <w:nsid w:val="7042658D"/>
    <w:multiLevelType w:val="multilevel"/>
    <w:tmpl w:val="8088805E"/>
    <w:styleLink w:val="Estilo1"/>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50"/>
        </w:tabs>
        <w:ind w:left="750" w:hanging="360"/>
      </w:pPr>
      <w:rPr>
        <w:rFonts w:hint="default"/>
      </w:rPr>
    </w:lvl>
    <w:lvl w:ilvl="2">
      <w:start w:val="1"/>
      <w:numFmt w:val="decimal"/>
      <w:lvlText w:val="%1.%2.%3"/>
      <w:lvlJc w:val="left"/>
      <w:pPr>
        <w:tabs>
          <w:tab w:val="num" w:pos="1500"/>
        </w:tabs>
        <w:ind w:left="1500" w:hanging="720"/>
      </w:pPr>
      <w:rPr>
        <w:rFonts w:hint="default"/>
      </w:rPr>
    </w:lvl>
    <w:lvl w:ilvl="3">
      <w:start w:val="1"/>
      <w:numFmt w:val="decimal"/>
      <w:lvlText w:val="%1.%2.%3.%4"/>
      <w:lvlJc w:val="left"/>
      <w:pPr>
        <w:tabs>
          <w:tab w:val="num" w:pos="2250"/>
        </w:tabs>
        <w:ind w:left="2250" w:hanging="1080"/>
      </w:pPr>
      <w:rPr>
        <w:rFonts w:hint="default"/>
      </w:rPr>
    </w:lvl>
    <w:lvl w:ilvl="4">
      <w:start w:val="1"/>
      <w:numFmt w:val="decimal"/>
      <w:lvlText w:val="%1.%2.%3.%4.%5"/>
      <w:lvlJc w:val="left"/>
      <w:pPr>
        <w:tabs>
          <w:tab w:val="num" w:pos="2640"/>
        </w:tabs>
        <w:ind w:left="2640" w:hanging="1080"/>
      </w:pPr>
      <w:rPr>
        <w:rFonts w:hint="default"/>
      </w:rPr>
    </w:lvl>
    <w:lvl w:ilvl="5">
      <w:start w:val="1"/>
      <w:numFmt w:val="decimal"/>
      <w:lvlText w:val="%1.%2.%3.%4.%5.%6"/>
      <w:lvlJc w:val="left"/>
      <w:pPr>
        <w:tabs>
          <w:tab w:val="num" w:pos="3390"/>
        </w:tabs>
        <w:ind w:left="3390" w:hanging="1440"/>
      </w:pPr>
      <w:rPr>
        <w:rFonts w:hint="default"/>
      </w:rPr>
    </w:lvl>
    <w:lvl w:ilvl="6">
      <w:start w:val="1"/>
      <w:numFmt w:val="decimal"/>
      <w:lvlText w:val="%1.%2.%3.%4.%5.%6.%7"/>
      <w:lvlJc w:val="left"/>
      <w:pPr>
        <w:tabs>
          <w:tab w:val="num" w:pos="3780"/>
        </w:tabs>
        <w:ind w:left="3780" w:hanging="1440"/>
      </w:pPr>
      <w:rPr>
        <w:rFonts w:hint="default"/>
      </w:rPr>
    </w:lvl>
    <w:lvl w:ilvl="7">
      <w:start w:val="1"/>
      <w:numFmt w:val="decimal"/>
      <w:lvlText w:val="%1.%2.%3.%4.%5.%6.%7.%8"/>
      <w:lvlJc w:val="left"/>
      <w:pPr>
        <w:tabs>
          <w:tab w:val="num" w:pos="4530"/>
        </w:tabs>
        <w:ind w:left="4530" w:hanging="1800"/>
      </w:pPr>
      <w:rPr>
        <w:rFonts w:hint="default"/>
      </w:rPr>
    </w:lvl>
    <w:lvl w:ilvl="8">
      <w:start w:val="1"/>
      <w:numFmt w:val="decimal"/>
      <w:lvlText w:val="%1.%2.%3.%4.%5.%6.%7.%8.%9"/>
      <w:lvlJc w:val="left"/>
      <w:pPr>
        <w:tabs>
          <w:tab w:val="num" w:pos="4920"/>
        </w:tabs>
        <w:ind w:left="4920" w:hanging="1800"/>
      </w:pPr>
      <w:rPr>
        <w:rFonts w:hint="default"/>
      </w:rPr>
    </w:lvl>
  </w:abstractNum>
  <w:abstractNum w:abstractNumId="69" w15:restartNumberingAfterBreak="0">
    <w:nsid w:val="73B36906"/>
    <w:multiLevelType w:val="hybridMultilevel"/>
    <w:tmpl w:val="D71AC33A"/>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0" w15:restartNumberingAfterBreak="0">
    <w:nsid w:val="75A05FC1"/>
    <w:multiLevelType w:val="hybridMultilevel"/>
    <w:tmpl w:val="8A648CC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1" w15:restartNumberingAfterBreak="0">
    <w:nsid w:val="76FF6EAF"/>
    <w:multiLevelType w:val="hybridMultilevel"/>
    <w:tmpl w:val="E0943A2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2" w15:restartNumberingAfterBreak="0">
    <w:nsid w:val="77CF2364"/>
    <w:multiLevelType w:val="hybridMultilevel"/>
    <w:tmpl w:val="D4569E52"/>
    <w:lvl w:ilvl="0" w:tplc="1932EC4E">
      <w:start w:val="7"/>
      <w:numFmt w:val="bullet"/>
      <w:lvlText w:val=""/>
      <w:lvlJc w:val="left"/>
      <w:pPr>
        <w:ind w:left="360" w:hanging="360"/>
      </w:pPr>
      <w:rPr>
        <w:rFonts w:ascii="Symbol" w:eastAsiaTheme="minorHAnsi" w:hAnsi="Symbol" w:cs="Times New Roman"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73" w15:restartNumberingAfterBreak="0">
    <w:nsid w:val="79700BD6"/>
    <w:multiLevelType w:val="hybridMultilevel"/>
    <w:tmpl w:val="94DAFAD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4" w15:restartNumberingAfterBreak="0">
    <w:nsid w:val="7AF67BD8"/>
    <w:multiLevelType w:val="hybridMultilevel"/>
    <w:tmpl w:val="A1026CD0"/>
    <w:lvl w:ilvl="0" w:tplc="77543B00">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75" w15:restartNumberingAfterBreak="0">
    <w:nsid w:val="7BE43BEC"/>
    <w:multiLevelType w:val="hybridMultilevel"/>
    <w:tmpl w:val="361646D2"/>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6" w15:restartNumberingAfterBreak="0">
    <w:nsid w:val="7C45242A"/>
    <w:multiLevelType w:val="hybridMultilevel"/>
    <w:tmpl w:val="470892B6"/>
    <w:lvl w:ilvl="0" w:tplc="240A000D">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77" w15:restartNumberingAfterBreak="0">
    <w:nsid w:val="7C6D2279"/>
    <w:multiLevelType w:val="multilevel"/>
    <w:tmpl w:val="0DE8FEFE"/>
    <w:name w:val="WW8Num22"/>
    <w:styleLink w:val="Estilo4"/>
    <w:lvl w:ilvl="0">
      <w:start w:val="1"/>
      <w:numFmt w:val="decimal"/>
      <w:lvlText w:val="%1"/>
      <w:lvlJc w:val="left"/>
      <w:pPr>
        <w:tabs>
          <w:tab w:val="num" w:pos="1410"/>
        </w:tabs>
        <w:ind w:left="1410" w:hanging="1410"/>
      </w:pPr>
      <w:rPr>
        <w:rFonts w:hint="default"/>
      </w:rPr>
    </w:lvl>
    <w:lvl w:ilvl="1">
      <w:start w:val="2"/>
      <w:numFmt w:val="decimal"/>
      <w:lvlText w:val="%1.%2"/>
      <w:lvlJc w:val="left"/>
      <w:pPr>
        <w:tabs>
          <w:tab w:val="num" w:pos="1410"/>
        </w:tabs>
        <w:ind w:left="1410" w:hanging="1410"/>
      </w:pPr>
      <w:rPr>
        <w:rFonts w:hint="default"/>
      </w:rPr>
    </w:lvl>
    <w:lvl w:ilvl="2">
      <w:start w:val="10"/>
      <w:numFmt w:val="decimal"/>
      <w:lvlText w:val="%1.%2.%3"/>
      <w:lvlJc w:val="left"/>
      <w:pPr>
        <w:tabs>
          <w:tab w:val="num" w:pos="1410"/>
        </w:tabs>
        <w:ind w:left="1410" w:hanging="1410"/>
      </w:pPr>
      <w:rPr>
        <w:rFonts w:hint="default"/>
      </w:rPr>
    </w:lvl>
    <w:lvl w:ilvl="3">
      <w:start w:val="1"/>
      <w:numFmt w:val="decimal"/>
      <w:lvlText w:val="%1.%2.%3.%4"/>
      <w:lvlJc w:val="left"/>
      <w:pPr>
        <w:tabs>
          <w:tab w:val="num" w:pos="1410"/>
        </w:tabs>
        <w:ind w:left="1410" w:hanging="1410"/>
      </w:pPr>
      <w:rPr>
        <w:rFonts w:hint="default"/>
      </w:rPr>
    </w:lvl>
    <w:lvl w:ilvl="4">
      <w:start w:val="1"/>
      <w:numFmt w:val="decimal"/>
      <w:lvlText w:val="%1.%2.%3.%4.%5"/>
      <w:lvlJc w:val="left"/>
      <w:pPr>
        <w:tabs>
          <w:tab w:val="num" w:pos="1410"/>
        </w:tabs>
        <w:ind w:left="1410" w:hanging="141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78" w15:restartNumberingAfterBreak="0">
    <w:nsid w:val="7E4742A8"/>
    <w:multiLevelType w:val="multilevel"/>
    <w:tmpl w:val="E438DBF8"/>
    <w:lvl w:ilvl="0">
      <w:start w:val="1"/>
      <w:numFmt w:val="bullet"/>
      <w:lvlText w:val=""/>
      <w:lvlJc w:val="left"/>
      <w:pPr>
        <w:ind w:left="360" w:hanging="360"/>
      </w:pPr>
      <w:rPr>
        <w:rFonts w:ascii="Wingdings" w:hAnsi="Wingdings" w:hint="default"/>
      </w:rPr>
    </w:lvl>
    <w:lvl w:ilvl="1">
      <w:start w:val="1"/>
      <w:numFmt w:val="decimal"/>
      <w:lvlText w:val="%1.%2"/>
      <w:lvlJc w:val="left"/>
      <w:pPr>
        <w:ind w:left="360" w:hanging="360"/>
      </w:pPr>
      <w:rPr>
        <w:rFonts w:hint="default"/>
        <w:b/>
        <w:lang w:val="es-E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20"/>
  </w:num>
  <w:num w:numId="2">
    <w:abstractNumId w:val="52"/>
  </w:num>
  <w:num w:numId="3">
    <w:abstractNumId w:val="43"/>
  </w:num>
  <w:num w:numId="4">
    <w:abstractNumId w:val="16"/>
  </w:num>
  <w:num w:numId="5">
    <w:abstractNumId w:val="59"/>
  </w:num>
  <w:num w:numId="6">
    <w:abstractNumId w:val="1"/>
  </w:num>
  <w:num w:numId="7">
    <w:abstractNumId w:val="68"/>
  </w:num>
  <w:num w:numId="8">
    <w:abstractNumId w:val="4"/>
  </w:num>
  <w:num w:numId="9">
    <w:abstractNumId w:val="77"/>
  </w:num>
  <w:num w:numId="10">
    <w:abstractNumId w:val="26"/>
  </w:num>
  <w:num w:numId="11">
    <w:abstractNumId w:val="62"/>
  </w:num>
  <w:num w:numId="12">
    <w:abstractNumId w:val="19"/>
  </w:num>
  <w:num w:numId="13">
    <w:abstractNumId w:val="9"/>
  </w:num>
  <w:num w:numId="14">
    <w:abstractNumId w:val="27"/>
  </w:num>
  <w:num w:numId="15">
    <w:abstractNumId w:val="12"/>
  </w:num>
  <w:num w:numId="16">
    <w:abstractNumId w:val="64"/>
  </w:num>
  <w:num w:numId="17">
    <w:abstractNumId w:val="30"/>
  </w:num>
  <w:num w:numId="18">
    <w:abstractNumId w:val="55"/>
  </w:num>
  <w:num w:numId="19">
    <w:abstractNumId w:val="8"/>
  </w:num>
  <w:num w:numId="20">
    <w:abstractNumId w:val="38"/>
  </w:num>
  <w:num w:numId="21">
    <w:abstractNumId w:val="63"/>
  </w:num>
  <w:num w:numId="22">
    <w:abstractNumId w:val="42"/>
  </w:num>
  <w:num w:numId="23">
    <w:abstractNumId w:val="66"/>
  </w:num>
  <w:num w:numId="24">
    <w:abstractNumId w:val="78"/>
  </w:num>
  <w:num w:numId="25">
    <w:abstractNumId w:val="11"/>
  </w:num>
  <w:num w:numId="26">
    <w:abstractNumId w:val="46"/>
  </w:num>
  <w:num w:numId="27">
    <w:abstractNumId w:val="24"/>
  </w:num>
  <w:num w:numId="28">
    <w:abstractNumId w:val="17"/>
  </w:num>
  <w:num w:numId="29">
    <w:abstractNumId w:val="56"/>
  </w:num>
  <w:num w:numId="30">
    <w:abstractNumId w:val="71"/>
  </w:num>
  <w:num w:numId="31">
    <w:abstractNumId w:val="28"/>
  </w:num>
  <w:num w:numId="32">
    <w:abstractNumId w:val="14"/>
  </w:num>
  <w:num w:numId="33">
    <w:abstractNumId w:val="6"/>
  </w:num>
  <w:num w:numId="34">
    <w:abstractNumId w:val="13"/>
  </w:num>
  <w:num w:numId="35">
    <w:abstractNumId w:val="34"/>
  </w:num>
  <w:num w:numId="36">
    <w:abstractNumId w:val="73"/>
  </w:num>
  <w:num w:numId="37">
    <w:abstractNumId w:val="58"/>
  </w:num>
  <w:num w:numId="38">
    <w:abstractNumId w:val="61"/>
  </w:num>
  <w:num w:numId="39">
    <w:abstractNumId w:val="50"/>
  </w:num>
  <w:num w:numId="40">
    <w:abstractNumId w:val="31"/>
  </w:num>
  <w:num w:numId="41">
    <w:abstractNumId w:val="54"/>
  </w:num>
  <w:num w:numId="42">
    <w:abstractNumId w:val="29"/>
  </w:num>
  <w:num w:numId="43">
    <w:abstractNumId w:val="76"/>
  </w:num>
  <w:num w:numId="44">
    <w:abstractNumId w:val="5"/>
  </w:num>
  <w:num w:numId="45">
    <w:abstractNumId w:val="53"/>
  </w:num>
  <w:num w:numId="46">
    <w:abstractNumId w:val="48"/>
  </w:num>
  <w:num w:numId="47">
    <w:abstractNumId w:val="23"/>
  </w:num>
  <w:num w:numId="48">
    <w:abstractNumId w:val="10"/>
  </w:num>
  <w:num w:numId="49">
    <w:abstractNumId w:val="21"/>
  </w:num>
  <w:num w:numId="50">
    <w:abstractNumId w:val="72"/>
  </w:num>
  <w:num w:numId="51">
    <w:abstractNumId w:val="44"/>
  </w:num>
  <w:num w:numId="52">
    <w:abstractNumId w:val="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25"/>
  </w:num>
  <w:num w:numId="54">
    <w:abstractNumId w:val="39"/>
  </w:num>
  <w:num w:numId="55">
    <w:abstractNumId w:val="3"/>
  </w:num>
  <w:num w:numId="56">
    <w:abstractNumId w:val="7"/>
  </w:num>
  <w:num w:numId="57">
    <w:abstractNumId w:val="35"/>
  </w:num>
  <w:num w:numId="58">
    <w:abstractNumId w:val="2"/>
  </w:num>
  <w:num w:numId="59">
    <w:abstractNumId w:val="74"/>
  </w:num>
  <w:num w:numId="60">
    <w:abstractNumId w:val="57"/>
  </w:num>
  <w:num w:numId="61">
    <w:abstractNumId w:val="49"/>
  </w:num>
  <w:num w:numId="62">
    <w:abstractNumId w:val="32"/>
  </w:num>
  <w:num w:numId="63">
    <w:abstractNumId w:val="69"/>
  </w:num>
  <w:num w:numId="64">
    <w:abstractNumId w:val="37"/>
  </w:num>
  <w:num w:numId="65">
    <w:abstractNumId w:val="70"/>
  </w:num>
  <w:num w:numId="66">
    <w:abstractNumId w:val="18"/>
  </w:num>
  <w:num w:numId="67">
    <w:abstractNumId w:val="22"/>
  </w:num>
  <w:num w:numId="68">
    <w:abstractNumId w:val="51"/>
  </w:num>
  <w:num w:numId="69">
    <w:abstractNumId w:val="15"/>
  </w:num>
  <w:num w:numId="70">
    <w:abstractNumId w:val="40"/>
  </w:num>
  <w:num w:numId="71">
    <w:abstractNumId w:val="45"/>
  </w:num>
  <w:num w:numId="72">
    <w:abstractNumId w:val="36"/>
  </w:num>
  <w:num w:numId="73">
    <w:abstractNumId w:val="41"/>
  </w:num>
  <w:num w:numId="74">
    <w:abstractNumId w:val="60"/>
  </w:num>
  <w:num w:numId="75">
    <w:abstractNumId w:val="65"/>
  </w:num>
  <w:num w:numId="76">
    <w:abstractNumId w:val="75"/>
  </w:num>
  <w:num w:numId="77">
    <w:abstractNumId w:val="67"/>
  </w:num>
  <w:num w:numId="78">
    <w:abstractNumId w:val="0"/>
  </w:num>
  <w:num w:numId="79">
    <w:abstractNumId w:val="33"/>
  </w:num>
  <w:num w:numId="80">
    <w:abstractNumId w:val="47"/>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pt-BR" w:vendorID="64" w:dllVersion="131078" w:nlCheck="1" w:checkStyle="0"/>
  <w:activeWritingStyle w:appName="MSWord" w:lang="es-ES" w:vendorID="64" w:dllVersion="131078" w:nlCheck="1" w:checkStyle="0"/>
  <w:activeWritingStyle w:appName="MSWord" w:lang="es-ES_tradnl" w:vendorID="64" w:dllVersion="131078" w:nlCheck="1" w:checkStyle="0"/>
  <w:activeWritingStyle w:appName="MSWord" w:lang="es-MX" w:vendorID="64" w:dllVersion="131078" w:nlCheck="1" w:checkStyle="0"/>
  <w:activeWritingStyle w:appName="MSWord" w:lang="en-US" w:vendorID="64" w:dllVersion="131078" w:nlCheck="1" w:checkStyle="1"/>
  <w:activeWritingStyle w:appName="MSWord" w:lang="es-CO" w:vendorID="64" w:dllVersion="131078" w:nlCheck="1" w:checkStyle="0"/>
  <w:activeWritingStyle w:appName="MSWord" w:lang="es-419"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64C1"/>
    <w:rsid w:val="00001626"/>
    <w:rsid w:val="000019DB"/>
    <w:rsid w:val="00001C2F"/>
    <w:rsid w:val="00002A8C"/>
    <w:rsid w:val="00002C9F"/>
    <w:rsid w:val="00003D83"/>
    <w:rsid w:val="00005206"/>
    <w:rsid w:val="00005550"/>
    <w:rsid w:val="00005C16"/>
    <w:rsid w:val="00006874"/>
    <w:rsid w:val="00006D08"/>
    <w:rsid w:val="00006D1F"/>
    <w:rsid w:val="00007562"/>
    <w:rsid w:val="000075FC"/>
    <w:rsid w:val="00007DBE"/>
    <w:rsid w:val="0001016D"/>
    <w:rsid w:val="00010D18"/>
    <w:rsid w:val="00011DAF"/>
    <w:rsid w:val="000122E7"/>
    <w:rsid w:val="00013C2F"/>
    <w:rsid w:val="00014F9D"/>
    <w:rsid w:val="000154F1"/>
    <w:rsid w:val="000160CF"/>
    <w:rsid w:val="000165BA"/>
    <w:rsid w:val="00016D65"/>
    <w:rsid w:val="00017779"/>
    <w:rsid w:val="00020E04"/>
    <w:rsid w:val="000227CA"/>
    <w:rsid w:val="00023477"/>
    <w:rsid w:val="00023D0F"/>
    <w:rsid w:val="00026D22"/>
    <w:rsid w:val="00027F86"/>
    <w:rsid w:val="00030478"/>
    <w:rsid w:val="00031D1E"/>
    <w:rsid w:val="00032073"/>
    <w:rsid w:val="000324D9"/>
    <w:rsid w:val="00032B10"/>
    <w:rsid w:val="00033EBB"/>
    <w:rsid w:val="000351CC"/>
    <w:rsid w:val="00035802"/>
    <w:rsid w:val="00035C32"/>
    <w:rsid w:val="00036AF3"/>
    <w:rsid w:val="0003709C"/>
    <w:rsid w:val="00037693"/>
    <w:rsid w:val="0004009A"/>
    <w:rsid w:val="00040985"/>
    <w:rsid w:val="00040DDA"/>
    <w:rsid w:val="00041488"/>
    <w:rsid w:val="00043361"/>
    <w:rsid w:val="000436FD"/>
    <w:rsid w:val="00043E08"/>
    <w:rsid w:val="00047012"/>
    <w:rsid w:val="00047267"/>
    <w:rsid w:val="00047E20"/>
    <w:rsid w:val="0005051F"/>
    <w:rsid w:val="00050DEF"/>
    <w:rsid w:val="00051612"/>
    <w:rsid w:val="00051DDE"/>
    <w:rsid w:val="00051FFA"/>
    <w:rsid w:val="00052B95"/>
    <w:rsid w:val="0005358D"/>
    <w:rsid w:val="00053D02"/>
    <w:rsid w:val="00055411"/>
    <w:rsid w:val="00055C8B"/>
    <w:rsid w:val="00057479"/>
    <w:rsid w:val="00057D49"/>
    <w:rsid w:val="00060AC2"/>
    <w:rsid w:val="000619C4"/>
    <w:rsid w:val="00064060"/>
    <w:rsid w:val="00064AF6"/>
    <w:rsid w:val="0006528A"/>
    <w:rsid w:val="000658D5"/>
    <w:rsid w:val="000667EC"/>
    <w:rsid w:val="000670D2"/>
    <w:rsid w:val="00067123"/>
    <w:rsid w:val="00067253"/>
    <w:rsid w:val="00067BA6"/>
    <w:rsid w:val="00067EA9"/>
    <w:rsid w:val="00071510"/>
    <w:rsid w:val="00071954"/>
    <w:rsid w:val="00071CA2"/>
    <w:rsid w:val="0007378A"/>
    <w:rsid w:val="00074C6A"/>
    <w:rsid w:val="0007527A"/>
    <w:rsid w:val="000767AC"/>
    <w:rsid w:val="000769D6"/>
    <w:rsid w:val="00076DD9"/>
    <w:rsid w:val="00077203"/>
    <w:rsid w:val="00080220"/>
    <w:rsid w:val="000803CB"/>
    <w:rsid w:val="000846C8"/>
    <w:rsid w:val="00085443"/>
    <w:rsid w:val="000855A2"/>
    <w:rsid w:val="0008595E"/>
    <w:rsid w:val="00085963"/>
    <w:rsid w:val="00085C9B"/>
    <w:rsid w:val="0008685A"/>
    <w:rsid w:val="000875C4"/>
    <w:rsid w:val="000875E8"/>
    <w:rsid w:val="00087F24"/>
    <w:rsid w:val="000903C6"/>
    <w:rsid w:val="00090430"/>
    <w:rsid w:val="00090D93"/>
    <w:rsid w:val="0009181E"/>
    <w:rsid w:val="00093758"/>
    <w:rsid w:val="00094754"/>
    <w:rsid w:val="00094899"/>
    <w:rsid w:val="000956B4"/>
    <w:rsid w:val="0009609B"/>
    <w:rsid w:val="000972D0"/>
    <w:rsid w:val="00097608"/>
    <w:rsid w:val="000976D6"/>
    <w:rsid w:val="00097DF1"/>
    <w:rsid w:val="000A05DD"/>
    <w:rsid w:val="000A18AB"/>
    <w:rsid w:val="000A1A8B"/>
    <w:rsid w:val="000A1E20"/>
    <w:rsid w:val="000A2D7D"/>
    <w:rsid w:val="000A37AF"/>
    <w:rsid w:val="000A3F87"/>
    <w:rsid w:val="000A5061"/>
    <w:rsid w:val="000A5560"/>
    <w:rsid w:val="000A5797"/>
    <w:rsid w:val="000A5DEE"/>
    <w:rsid w:val="000A6EE1"/>
    <w:rsid w:val="000A7951"/>
    <w:rsid w:val="000B06ED"/>
    <w:rsid w:val="000B07BA"/>
    <w:rsid w:val="000B082A"/>
    <w:rsid w:val="000B161C"/>
    <w:rsid w:val="000B2299"/>
    <w:rsid w:val="000B2338"/>
    <w:rsid w:val="000B2624"/>
    <w:rsid w:val="000B2EEA"/>
    <w:rsid w:val="000B307F"/>
    <w:rsid w:val="000B4219"/>
    <w:rsid w:val="000B5911"/>
    <w:rsid w:val="000B5B4A"/>
    <w:rsid w:val="000B5D47"/>
    <w:rsid w:val="000C122C"/>
    <w:rsid w:val="000C2AB2"/>
    <w:rsid w:val="000C2ABE"/>
    <w:rsid w:val="000C2F35"/>
    <w:rsid w:val="000C44F1"/>
    <w:rsid w:val="000C53F7"/>
    <w:rsid w:val="000C60BF"/>
    <w:rsid w:val="000D278B"/>
    <w:rsid w:val="000D2EBB"/>
    <w:rsid w:val="000D32DA"/>
    <w:rsid w:val="000D368C"/>
    <w:rsid w:val="000D3F80"/>
    <w:rsid w:val="000D414C"/>
    <w:rsid w:val="000D4F28"/>
    <w:rsid w:val="000D553C"/>
    <w:rsid w:val="000D5A79"/>
    <w:rsid w:val="000D5A9E"/>
    <w:rsid w:val="000D5BFC"/>
    <w:rsid w:val="000D6796"/>
    <w:rsid w:val="000D6F4E"/>
    <w:rsid w:val="000E0092"/>
    <w:rsid w:val="000E01B9"/>
    <w:rsid w:val="000E0E33"/>
    <w:rsid w:val="000E1577"/>
    <w:rsid w:val="000E4550"/>
    <w:rsid w:val="000E511A"/>
    <w:rsid w:val="000E6BA0"/>
    <w:rsid w:val="000F0A88"/>
    <w:rsid w:val="000F0F0E"/>
    <w:rsid w:val="000F10A6"/>
    <w:rsid w:val="000F2E86"/>
    <w:rsid w:val="000F2FCB"/>
    <w:rsid w:val="000F3041"/>
    <w:rsid w:val="000F32EA"/>
    <w:rsid w:val="000F450C"/>
    <w:rsid w:val="000F4B7C"/>
    <w:rsid w:val="000F51F6"/>
    <w:rsid w:val="000F5B3D"/>
    <w:rsid w:val="000F6634"/>
    <w:rsid w:val="0010032C"/>
    <w:rsid w:val="0010044C"/>
    <w:rsid w:val="00102053"/>
    <w:rsid w:val="001032DB"/>
    <w:rsid w:val="00103958"/>
    <w:rsid w:val="00104F4B"/>
    <w:rsid w:val="00105215"/>
    <w:rsid w:val="001072CB"/>
    <w:rsid w:val="001077C0"/>
    <w:rsid w:val="00107CD4"/>
    <w:rsid w:val="00110248"/>
    <w:rsid w:val="001106B7"/>
    <w:rsid w:val="0011148A"/>
    <w:rsid w:val="00111652"/>
    <w:rsid w:val="0011221E"/>
    <w:rsid w:val="0011358A"/>
    <w:rsid w:val="00113842"/>
    <w:rsid w:val="001168A1"/>
    <w:rsid w:val="001168A9"/>
    <w:rsid w:val="00117996"/>
    <w:rsid w:val="00117B71"/>
    <w:rsid w:val="0012206C"/>
    <w:rsid w:val="00122222"/>
    <w:rsid w:val="00122AAD"/>
    <w:rsid w:val="00122C00"/>
    <w:rsid w:val="00123D43"/>
    <w:rsid w:val="0012464B"/>
    <w:rsid w:val="001256F9"/>
    <w:rsid w:val="00125D6B"/>
    <w:rsid w:val="00127929"/>
    <w:rsid w:val="00130191"/>
    <w:rsid w:val="001311BC"/>
    <w:rsid w:val="00131AB2"/>
    <w:rsid w:val="00132B7F"/>
    <w:rsid w:val="001330BB"/>
    <w:rsid w:val="0013431B"/>
    <w:rsid w:val="001346D6"/>
    <w:rsid w:val="00135EE1"/>
    <w:rsid w:val="00137D46"/>
    <w:rsid w:val="00140851"/>
    <w:rsid w:val="00140DB8"/>
    <w:rsid w:val="00142439"/>
    <w:rsid w:val="001425B7"/>
    <w:rsid w:val="0014263C"/>
    <w:rsid w:val="0014382B"/>
    <w:rsid w:val="00143A73"/>
    <w:rsid w:val="00143D0D"/>
    <w:rsid w:val="00144E20"/>
    <w:rsid w:val="001453CA"/>
    <w:rsid w:val="001456DD"/>
    <w:rsid w:val="00146788"/>
    <w:rsid w:val="00146DE0"/>
    <w:rsid w:val="00150661"/>
    <w:rsid w:val="00151235"/>
    <w:rsid w:val="00151BD3"/>
    <w:rsid w:val="00152F03"/>
    <w:rsid w:val="0015359A"/>
    <w:rsid w:val="0015635F"/>
    <w:rsid w:val="00160305"/>
    <w:rsid w:val="00160839"/>
    <w:rsid w:val="00160863"/>
    <w:rsid w:val="001612DF"/>
    <w:rsid w:val="0016397F"/>
    <w:rsid w:val="00163C43"/>
    <w:rsid w:val="00164580"/>
    <w:rsid w:val="00165526"/>
    <w:rsid w:val="00166061"/>
    <w:rsid w:val="00170E3D"/>
    <w:rsid w:val="00171355"/>
    <w:rsid w:val="001716E2"/>
    <w:rsid w:val="00172B7D"/>
    <w:rsid w:val="00172CAE"/>
    <w:rsid w:val="00174257"/>
    <w:rsid w:val="0017520E"/>
    <w:rsid w:val="001767EF"/>
    <w:rsid w:val="00176E44"/>
    <w:rsid w:val="00180945"/>
    <w:rsid w:val="00180E54"/>
    <w:rsid w:val="00181190"/>
    <w:rsid w:val="00181E1C"/>
    <w:rsid w:val="001829B7"/>
    <w:rsid w:val="00183FE5"/>
    <w:rsid w:val="001844DA"/>
    <w:rsid w:val="00184D9B"/>
    <w:rsid w:val="0018601E"/>
    <w:rsid w:val="00187416"/>
    <w:rsid w:val="00190A6E"/>
    <w:rsid w:val="001915AD"/>
    <w:rsid w:val="00196377"/>
    <w:rsid w:val="00196691"/>
    <w:rsid w:val="00197511"/>
    <w:rsid w:val="001A111C"/>
    <w:rsid w:val="001A20AF"/>
    <w:rsid w:val="001A2C07"/>
    <w:rsid w:val="001A31D6"/>
    <w:rsid w:val="001A3567"/>
    <w:rsid w:val="001A442D"/>
    <w:rsid w:val="001A4A9C"/>
    <w:rsid w:val="001A530C"/>
    <w:rsid w:val="001A6DAB"/>
    <w:rsid w:val="001A74E2"/>
    <w:rsid w:val="001B099C"/>
    <w:rsid w:val="001B193D"/>
    <w:rsid w:val="001B1AC7"/>
    <w:rsid w:val="001B1C95"/>
    <w:rsid w:val="001B242D"/>
    <w:rsid w:val="001B3916"/>
    <w:rsid w:val="001B3F8B"/>
    <w:rsid w:val="001B40BF"/>
    <w:rsid w:val="001B500E"/>
    <w:rsid w:val="001B5B73"/>
    <w:rsid w:val="001B6427"/>
    <w:rsid w:val="001C0187"/>
    <w:rsid w:val="001C0C75"/>
    <w:rsid w:val="001C0DBA"/>
    <w:rsid w:val="001C0E2E"/>
    <w:rsid w:val="001C15DE"/>
    <w:rsid w:val="001C16EF"/>
    <w:rsid w:val="001C181E"/>
    <w:rsid w:val="001C3E2B"/>
    <w:rsid w:val="001C5225"/>
    <w:rsid w:val="001C5C5F"/>
    <w:rsid w:val="001C6399"/>
    <w:rsid w:val="001C7153"/>
    <w:rsid w:val="001C7B13"/>
    <w:rsid w:val="001D0804"/>
    <w:rsid w:val="001D33D6"/>
    <w:rsid w:val="001D3DA9"/>
    <w:rsid w:val="001D6922"/>
    <w:rsid w:val="001D6B16"/>
    <w:rsid w:val="001D7B88"/>
    <w:rsid w:val="001E0053"/>
    <w:rsid w:val="001E2096"/>
    <w:rsid w:val="001E2702"/>
    <w:rsid w:val="001E3F85"/>
    <w:rsid w:val="001E418D"/>
    <w:rsid w:val="001E4CA1"/>
    <w:rsid w:val="001E4FE9"/>
    <w:rsid w:val="001E74F2"/>
    <w:rsid w:val="001F09E2"/>
    <w:rsid w:val="001F20E6"/>
    <w:rsid w:val="001F2EA8"/>
    <w:rsid w:val="001F5607"/>
    <w:rsid w:val="001F6ABD"/>
    <w:rsid w:val="001F6B89"/>
    <w:rsid w:val="002018D2"/>
    <w:rsid w:val="0020350B"/>
    <w:rsid w:val="002036FF"/>
    <w:rsid w:val="002046C8"/>
    <w:rsid w:val="00204D58"/>
    <w:rsid w:val="00204DDA"/>
    <w:rsid w:val="00205ED2"/>
    <w:rsid w:val="00206321"/>
    <w:rsid w:val="00206FFC"/>
    <w:rsid w:val="00207D8E"/>
    <w:rsid w:val="00211DE6"/>
    <w:rsid w:val="002138E6"/>
    <w:rsid w:val="00214531"/>
    <w:rsid w:val="00214776"/>
    <w:rsid w:val="00214E19"/>
    <w:rsid w:val="00216DED"/>
    <w:rsid w:val="002201D1"/>
    <w:rsid w:val="00221061"/>
    <w:rsid w:val="002214DB"/>
    <w:rsid w:val="00221927"/>
    <w:rsid w:val="00221C6E"/>
    <w:rsid w:val="002242F5"/>
    <w:rsid w:val="0022716B"/>
    <w:rsid w:val="002276A2"/>
    <w:rsid w:val="002278BA"/>
    <w:rsid w:val="00230ABA"/>
    <w:rsid w:val="00231081"/>
    <w:rsid w:val="002340FD"/>
    <w:rsid w:val="00234876"/>
    <w:rsid w:val="00234D1D"/>
    <w:rsid w:val="00236BF1"/>
    <w:rsid w:val="00237772"/>
    <w:rsid w:val="00237EB8"/>
    <w:rsid w:val="00237F63"/>
    <w:rsid w:val="002414B4"/>
    <w:rsid w:val="00241BF6"/>
    <w:rsid w:val="002437E7"/>
    <w:rsid w:val="0024547C"/>
    <w:rsid w:val="0024684F"/>
    <w:rsid w:val="002469DD"/>
    <w:rsid w:val="00246E4C"/>
    <w:rsid w:val="00247EA8"/>
    <w:rsid w:val="00250E1F"/>
    <w:rsid w:val="00250F0A"/>
    <w:rsid w:val="002526B5"/>
    <w:rsid w:val="0025286B"/>
    <w:rsid w:val="0025445F"/>
    <w:rsid w:val="00254A55"/>
    <w:rsid w:val="0025599E"/>
    <w:rsid w:val="00256510"/>
    <w:rsid w:val="00256DDC"/>
    <w:rsid w:val="00256FA6"/>
    <w:rsid w:val="0025716A"/>
    <w:rsid w:val="00257EFA"/>
    <w:rsid w:val="002605C0"/>
    <w:rsid w:val="002609C6"/>
    <w:rsid w:val="002625A5"/>
    <w:rsid w:val="002628E0"/>
    <w:rsid w:val="002630A8"/>
    <w:rsid w:val="002648AF"/>
    <w:rsid w:val="0026552B"/>
    <w:rsid w:val="002655FE"/>
    <w:rsid w:val="0027031C"/>
    <w:rsid w:val="00270D47"/>
    <w:rsid w:val="002721AC"/>
    <w:rsid w:val="00272250"/>
    <w:rsid w:val="0027370F"/>
    <w:rsid w:val="002759FC"/>
    <w:rsid w:val="002768B7"/>
    <w:rsid w:val="00277588"/>
    <w:rsid w:val="00280638"/>
    <w:rsid w:val="00280A14"/>
    <w:rsid w:val="00280BA8"/>
    <w:rsid w:val="00280CEF"/>
    <w:rsid w:val="00280D98"/>
    <w:rsid w:val="0028117D"/>
    <w:rsid w:val="00282EA1"/>
    <w:rsid w:val="0028320B"/>
    <w:rsid w:val="00283250"/>
    <w:rsid w:val="0028473E"/>
    <w:rsid w:val="00286617"/>
    <w:rsid w:val="00286C27"/>
    <w:rsid w:val="00290ACF"/>
    <w:rsid w:val="00290D90"/>
    <w:rsid w:val="002918C1"/>
    <w:rsid w:val="002918CC"/>
    <w:rsid w:val="00291B56"/>
    <w:rsid w:val="00293044"/>
    <w:rsid w:val="002935AE"/>
    <w:rsid w:val="00294561"/>
    <w:rsid w:val="00294988"/>
    <w:rsid w:val="00295863"/>
    <w:rsid w:val="00295F2E"/>
    <w:rsid w:val="0029644B"/>
    <w:rsid w:val="002A2C0F"/>
    <w:rsid w:val="002A2D25"/>
    <w:rsid w:val="002A3388"/>
    <w:rsid w:val="002A3695"/>
    <w:rsid w:val="002A3AF3"/>
    <w:rsid w:val="002A4201"/>
    <w:rsid w:val="002A48DD"/>
    <w:rsid w:val="002A4DF5"/>
    <w:rsid w:val="002A4E4E"/>
    <w:rsid w:val="002A5635"/>
    <w:rsid w:val="002A58FF"/>
    <w:rsid w:val="002A5A0A"/>
    <w:rsid w:val="002A600D"/>
    <w:rsid w:val="002A7340"/>
    <w:rsid w:val="002A7343"/>
    <w:rsid w:val="002A777A"/>
    <w:rsid w:val="002B0701"/>
    <w:rsid w:val="002B0F0F"/>
    <w:rsid w:val="002B1099"/>
    <w:rsid w:val="002B11C1"/>
    <w:rsid w:val="002B2745"/>
    <w:rsid w:val="002B4843"/>
    <w:rsid w:val="002B4C83"/>
    <w:rsid w:val="002B5E51"/>
    <w:rsid w:val="002B76F6"/>
    <w:rsid w:val="002C1CB6"/>
    <w:rsid w:val="002C3EF4"/>
    <w:rsid w:val="002C4988"/>
    <w:rsid w:val="002C5090"/>
    <w:rsid w:val="002C5223"/>
    <w:rsid w:val="002C7066"/>
    <w:rsid w:val="002C7373"/>
    <w:rsid w:val="002D1E94"/>
    <w:rsid w:val="002D23AE"/>
    <w:rsid w:val="002D36CF"/>
    <w:rsid w:val="002D5942"/>
    <w:rsid w:val="002D5A0C"/>
    <w:rsid w:val="002D5D80"/>
    <w:rsid w:val="002D601B"/>
    <w:rsid w:val="002D6DB7"/>
    <w:rsid w:val="002D7858"/>
    <w:rsid w:val="002D7962"/>
    <w:rsid w:val="002E0B5E"/>
    <w:rsid w:val="002E1B13"/>
    <w:rsid w:val="002E29E1"/>
    <w:rsid w:val="002E315F"/>
    <w:rsid w:val="002E34F0"/>
    <w:rsid w:val="002E4231"/>
    <w:rsid w:val="002E4DBF"/>
    <w:rsid w:val="002E55F5"/>
    <w:rsid w:val="002E6813"/>
    <w:rsid w:val="002F0B03"/>
    <w:rsid w:val="002F0B64"/>
    <w:rsid w:val="002F0DE6"/>
    <w:rsid w:val="002F1034"/>
    <w:rsid w:val="002F1452"/>
    <w:rsid w:val="002F1CCD"/>
    <w:rsid w:val="002F2874"/>
    <w:rsid w:val="002F2EE6"/>
    <w:rsid w:val="002F387B"/>
    <w:rsid w:val="002F39DF"/>
    <w:rsid w:val="002F4060"/>
    <w:rsid w:val="002F4A59"/>
    <w:rsid w:val="002F5239"/>
    <w:rsid w:val="002F5359"/>
    <w:rsid w:val="002F596B"/>
    <w:rsid w:val="002F598E"/>
    <w:rsid w:val="002F5D1A"/>
    <w:rsid w:val="00300BAA"/>
    <w:rsid w:val="00303043"/>
    <w:rsid w:val="00303F0E"/>
    <w:rsid w:val="00304636"/>
    <w:rsid w:val="00305643"/>
    <w:rsid w:val="003073A8"/>
    <w:rsid w:val="00307BA2"/>
    <w:rsid w:val="00307D88"/>
    <w:rsid w:val="00310DEA"/>
    <w:rsid w:val="00311249"/>
    <w:rsid w:val="003113AD"/>
    <w:rsid w:val="003115D6"/>
    <w:rsid w:val="00311F9E"/>
    <w:rsid w:val="00312909"/>
    <w:rsid w:val="00313452"/>
    <w:rsid w:val="003135A8"/>
    <w:rsid w:val="0031433C"/>
    <w:rsid w:val="003152F8"/>
    <w:rsid w:val="003156CC"/>
    <w:rsid w:val="003156EC"/>
    <w:rsid w:val="00315ADD"/>
    <w:rsid w:val="0031624F"/>
    <w:rsid w:val="003165B5"/>
    <w:rsid w:val="00316730"/>
    <w:rsid w:val="00316A1F"/>
    <w:rsid w:val="003175A9"/>
    <w:rsid w:val="00317C5B"/>
    <w:rsid w:val="00317DF3"/>
    <w:rsid w:val="00321190"/>
    <w:rsid w:val="003213D0"/>
    <w:rsid w:val="0032263E"/>
    <w:rsid w:val="00322F00"/>
    <w:rsid w:val="0032448A"/>
    <w:rsid w:val="00324559"/>
    <w:rsid w:val="0032459E"/>
    <w:rsid w:val="00326323"/>
    <w:rsid w:val="0032677F"/>
    <w:rsid w:val="00326A6A"/>
    <w:rsid w:val="00327458"/>
    <w:rsid w:val="003301E3"/>
    <w:rsid w:val="00330DDB"/>
    <w:rsid w:val="00331958"/>
    <w:rsid w:val="00331FCD"/>
    <w:rsid w:val="0033210B"/>
    <w:rsid w:val="00333252"/>
    <w:rsid w:val="00334473"/>
    <w:rsid w:val="00334708"/>
    <w:rsid w:val="003349E1"/>
    <w:rsid w:val="00335E1E"/>
    <w:rsid w:val="003364B9"/>
    <w:rsid w:val="00336640"/>
    <w:rsid w:val="003366C2"/>
    <w:rsid w:val="00336D11"/>
    <w:rsid w:val="00336D40"/>
    <w:rsid w:val="00337197"/>
    <w:rsid w:val="003379EF"/>
    <w:rsid w:val="00340610"/>
    <w:rsid w:val="00341A93"/>
    <w:rsid w:val="00342D80"/>
    <w:rsid w:val="00343BCC"/>
    <w:rsid w:val="00343D5F"/>
    <w:rsid w:val="0034422F"/>
    <w:rsid w:val="00344867"/>
    <w:rsid w:val="003448E7"/>
    <w:rsid w:val="003449D4"/>
    <w:rsid w:val="00344B0D"/>
    <w:rsid w:val="00346877"/>
    <w:rsid w:val="00347513"/>
    <w:rsid w:val="003512FA"/>
    <w:rsid w:val="003518B8"/>
    <w:rsid w:val="00352A0C"/>
    <w:rsid w:val="003539FA"/>
    <w:rsid w:val="00353F14"/>
    <w:rsid w:val="0035458F"/>
    <w:rsid w:val="00354EF7"/>
    <w:rsid w:val="003554D0"/>
    <w:rsid w:val="0035564E"/>
    <w:rsid w:val="003556E5"/>
    <w:rsid w:val="003564CF"/>
    <w:rsid w:val="00356C7B"/>
    <w:rsid w:val="00360F4C"/>
    <w:rsid w:val="00363997"/>
    <w:rsid w:val="0036473D"/>
    <w:rsid w:val="00364859"/>
    <w:rsid w:val="003652E7"/>
    <w:rsid w:val="003661BB"/>
    <w:rsid w:val="00366FE8"/>
    <w:rsid w:val="00370316"/>
    <w:rsid w:val="003719D7"/>
    <w:rsid w:val="003721DC"/>
    <w:rsid w:val="00372E8A"/>
    <w:rsid w:val="00373DF0"/>
    <w:rsid w:val="0037449F"/>
    <w:rsid w:val="00374DC4"/>
    <w:rsid w:val="0037535E"/>
    <w:rsid w:val="00375733"/>
    <w:rsid w:val="00375DF5"/>
    <w:rsid w:val="0037619B"/>
    <w:rsid w:val="00376A89"/>
    <w:rsid w:val="003771B5"/>
    <w:rsid w:val="00377357"/>
    <w:rsid w:val="00377E9D"/>
    <w:rsid w:val="00381D1D"/>
    <w:rsid w:val="0038214E"/>
    <w:rsid w:val="00382B5C"/>
    <w:rsid w:val="00385DB6"/>
    <w:rsid w:val="00386E63"/>
    <w:rsid w:val="0038777D"/>
    <w:rsid w:val="0038778D"/>
    <w:rsid w:val="00387A88"/>
    <w:rsid w:val="003901D4"/>
    <w:rsid w:val="00390323"/>
    <w:rsid w:val="003909FD"/>
    <w:rsid w:val="00390A49"/>
    <w:rsid w:val="00390E4A"/>
    <w:rsid w:val="00391ED8"/>
    <w:rsid w:val="0039410F"/>
    <w:rsid w:val="00394313"/>
    <w:rsid w:val="00394A84"/>
    <w:rsid w:val="00395697"/>
    <w:rsid w:val="0039629D"/>
    <w:rsid w:val="0039656E"/>
    <w:rsid w:val="003A0A13"/>
    <w:rsid w:val="003A0DAE"/>
    <w:rsid w:val="003A1316"/>
    <w:rsid w:val="003A15D2"/>
    <w:rsid w:val="003A1A23"/>
    <w:rsid w:val="003A21A6"/>
    <w:rsid w:val="003A39AD"/>
    <w:rsid w:val="003A47A1"/>
    <w:rsid w:val="003A4E36"/>
    <w:rsid w:val="003A4F75"/>
    <w:rsid w:val="003A5060"/>
    <w:rsid w:val="003A6E45"/>
    <w:rsid w:val="003A72C1"/>
    <w:rsid w:val="003A7DA3"/>
    <w:rsid w:val="003A7E99"/>
    <w:rsid w:val="003B128B"/>
    <w:rsid w:val="003B29F1"/>
    <w:rsid w:val="003B2D5C"/>
    <w:rsid w:val="003B3361"/>
    <w:rsid w:val="003B38B0"/>
    <w:rsid w:val="003B3D3A"/>
    <w:rsid w:val="003B3DB0"/>
    <w:rsid w:val="003B45BC"/>
    <w:rsid w:val="003B4D81"/>
    <w:rsid w:val="003B5274"/>
    <w:rsid w:val="003B5588"/>
    <w:rsid w:val="003B591A"/>
    <w:rsid w:val="003B6988"/>
    <w:rsid w:val="003C1267"/>
    <w:rsid w:val="003C1299"/>
    <w:rsid w:val="003C2619"/>
    <w:rsid w:val="003C27B4"/>
    <w:rsid w:val="003C28E9"/>
    <w:rsid w:val="003C31B7"/>
    <w:rsid w:val="003C3679"/>
    <w:rsid w:val="003C40B9"/>
    <w:rsid w:val="003C45C9"/>
    <w:rsid w:val="003C527E"/>
    <w:rsid w:val="003C653B"/>
    <w:rsid w:val="003C6ABF"/>
    <w:rsid w:val="003C6C1B"/>
    <w:rsid w:val="003C6FF9"/>
    <w:rsid w:val="003C7D85"/>
    <w:rsid w:val="003D1937"/>
    <w:rsid w:val="003D1B9C"/>
    <w:rsid w:val="003D1CB9"/>
    <w:rsid w:val="003D2874"/>
    <w:rsid w:val="003D28CD"/>
    <w:rsid w:val="003D2CA6"/>
    <w:rsid w:val="003D3647"/>
    <w:rsid w:val="003D38F8"/>
    <w:rsid w:val="003D4A36"/>
    <w:rsid w:val="003D6183"/>
    <w:rsid w:val="003D697B"/>
    <w:rsid w:val="003D7825"/>
    <w:rsid w:val="003D7955"/>
    <w:rsid w:val="003E037E"/>
    <w:rsid w:val="003E09C4"/>
    <w:rsid w:val="003E1A12"/>
    <w:rsid w:val="003E3A66"/>
    <w:rsid w:val="003E3FC2"/>
    <w:rsid w:val="003E447B"/>
    <w:rsid w:val="003E4A0E"/>
    <w:rsid w:val="003E4E33"/>
    <w:rsid w:val="003E4E9E"/>
    <w:rsid w:val="003E5509"/>
    <w:rsid w:val="003E5E7C"/>
    <w:rsid w:val="003E60D7"/>
    <w:rsid w:val="003E664D"/>
    <w:rsid w:val="003E7F5A"/>
    <w:rsid w:val="003F13CB"/>
    <w:rsid w:val="003F2777"/>
    <w:rsid w:val="003F3C1F"/>
    <w:rsid w:val="003F47B6"/>
    <w:rsid w:val="003F4939"/>
    <w:rsid w:val="003F53F4"/>
    <w:rsid w:val="003F55E2"/>
    <w:rsid w:val="003F5B60"/>
    <w:rsid w:val="003F7ED2"/>
    <w:rsid w:val="0040020A"/>
    <w:rsid w:val="00400D02"/>
    <w:rsid w:val="004013B0"/>
    <w:rsid w:val="004031C3"/>
    <w:rsid w:val="004034ED"/>
    <w:rsid w:val="00403A65"/>
    <w:rsid w:val="00405E84"/>
    <w:rsid w:val="00406DD4"/>
    <w:rsid w:val="004074DC"/>
    <w:rsid w:val="004101DF"/>
    <w:rsid w:val="00410DEF"/>
    <w:rsid w:val="00411CC9"/>
    <w:rsid w:val="00411DC7"/>
    <w:rsid w:val="00412870"/>
    <w:rsid w:val="0041435F"/>
    <w:rsid w:val="00414996"/>
    <w:rsid w:val="0041628D"/>
    <w:rsid w:val="004165CD"/>
    <w:rsid w:val="00417266"/>
    <w:rsid w:val="00417473"/>
    <w:rsid w:val="004209EA"/>
    <w:rsid w:val="004215DC"/>
    <w:rsid w:val="00421B01"/>
    <w:rsid w:val="0042310E"/>
    <w:rsid w:val="00423110"/>
    <w:rsid w:val="004239D4"/>
    <w:rsid w:val="00425453"/>
    <w:rsid w:val="00425D62"/>
    <w:rsid w:val="00425E31"/>
    <w:rsid w:val="004266C4"/>
    <w:rsid w:val="00430ADF"/>
    <w:rsid w:val="00430E00"/>
    <w:rsid w:val="0043142B"/>
    <w:rsid w:val="00431D51"/>
    <w:rsid w:val="00432003"/>
    <w:rsid w:val="0043355E"/>
    <w:rsid w:val="0043359F"/>
    <w:rsid w:val="004335F6"/>
    <w:rsid w:val="00434E85"/>
    <w:rsid w:val="00436887"/>
    <w:rsid w:val="004414FC"/>
    <w:rsid w:val="00441943"/>
    <w:rsid w:val="00442963"/>
    <w:rsid w:val="00444F88"/>
    <w:rsid w:val="0044617D"/>
    <w:rsid w:val="00447052"/>
    <w:rsid w:val="00450CD5"/>
    <w:rsid w:val="00450D49"/>
    <w:rsid w:val="004524F6"/>
    <w:rsid w:val="00453FAA"/>
    <w:rsid w:val="00454836"/>
    <w:rsid w:val="004556D1"/>
    <w:rsid w:val="00455BA1"/>
    <w:rsid w:val="00460076"/>
    <w:rsid w:val="0046052F"/>
    <w:rsid w:val="00461175"/>
    <w:rsid w:val="0046221F"/>
    <w:rsid w:val="00462459"/>
    <w:rsid w:val="004625CC"/>
    <w:rsid w:val="004638BB"/>
    <w:rsid w:val="0046583D"/>
    <w:rsid w:val="0046617C"/>
    <w:rsid w:val="00466793"/>
    <w:rsid w:val="00466FEB"/>
    <w:rsid w:val="004700E2"/>
    <w:rsid w:val="00470C9A"/>
    <w:rsid w:val="00475E29"/>
    <w:rsid w:val="0047778E"/>
    <w:rsid w:val="004778E8"/>
    <w:rsid w:val="00480740"/>
    <w:rsid w:val="0048103D"/>
    <w:rsid w:val="00481050"/>
    <w:rsid w:val="0048210D"/>
    <w:rsid w:val="00482265"/>
    <w:rsid w:val="00482FB3"/>
    <w:rsid w:val="0048408C"/>
    <w:rsid w:val="004842E5"/>
    <w:rsid w:val="0048460C"/>
    <w:rsid w:val="00485482"/>
    <w:rsid w:val="0048583E"/>
    <w:rsid w:val="00485906"/>
    <w:rsid w:val="00485EF6"/>
    <w:rsid w:val="004862C0"/>
    <w:rsid w:val="0048645F"/>
    <w:rsid w:val="00487D9A"/>
    <w:rsid w:val="00490E85"/>
    <w:rsid w:val="004912AE"/>
    <w:rsid w:val="004913CE"/>
    <w:rsid w:val="00491F17"/>
    <w:rsid w:val="004932D5"/>
    <w:rsid w:val="004938A3"/>
    <w:rsid w:val="00493F41"/>
    <w:rsid w:val="004943ED"/>
    <w:rsid w:val="004962F8"/>
    <w:rsid w:val="00497D99"/>
    <w:rsid w:val="004A0398"/>
    <w:rsid w:val="004A084D"/>
    <w:rsid w:val="004A0DA5"/>
    <w:rsid w:val="004A198E"/>
    <w:rsid w:val="004A1AAE"/>
    <w:rsid w:val="004A1F5F"/>
    <w:rsid w:val="004A295F"/>
    <w:rsid w:val="004A3B74"/>
    <w:rsid w:val="004A3E3B"/>
    <w:rsid w:val="004A414E"/>
    <w:rsid w:val="004A47C9"/>
    <w:rsid w:val="004A529D"/>
    <w:rsid w:val="004A5FDD"/>
    <w:rsid w:val="004A6CEC"/>
    <w:rsid w:val="004B088F"/>
    <w:rsid w:val="004B0B90"/>
    <w:rsid w:val="004B1359"/>
    <w:rsid w:val="004B142D"/>
    <w:rsid w:val="004B16B8"/>
    <w:rsid w:val="004B33B5"/>
    <w:rsid w:val="004B3D85"/>
    <w:rsid w:val="004B441B"/>
    <w:rsid w:val="004B50CE"/>
    <w:rsid w:val="004B5B6A"/>
    <w:rsid w:val="004B65CA"/>
    <w:rsid w:val="004B7708"/>
    <w:rsid w:val="004B7ED5"/>
    <w:rsid w:val="004C040C"/>
    <w:rsid w:val="004C0B43"/>
    <w:rsid w:val="004C0C23"/>
    <w:rsid w:val="004C2470"/>
    <w:rsid w:val="004C30C2"/>
    <w:rsid w:val="004C3E38"/>
    <w:rsid w:val="004C5D94"/>
    <w:rsid w:val="004C6174"/>
    <w:rsid w:val="004C637D"/>
    <w:rsid w:val="004C7236"/>
    <w:rsid w:val="004C78EF"/>
    <w:rsid w:val="004C7E57"/>
    <w:rsid w:val="004D0582"/>
    <w:rsid w:val="004D0F34"/>
    <w:rsid w:val="004D0F70"/>
    <w:rsid w:val="004D19AA"/>
    <w:rsid w:val="004D1F9A"/>
    <w:rsid w:val="004D2186"/>
    <w:rsid w:val="004D2377"/>
    <w:rsid w:val="004D26A5"/>
    <w:rsid w:val="004D2810"/>
    <w:rsid w:val="004D2CA0"/>
    <w:rsid w:val="004D3CCC"/>
    <w:rsid w:val="004D4151"/>
    <w:rsid w:val="004D4955"/>
    <w:rsid w:val="004D4D34"/>
    <w:rsid w:val="004D6A23"/>
    <w:rsid w:val="004D77C0"/>
    <w:rsid w:val="004E1E95"/>
    <w:rsid w:val="004E2498"/>
    <w:rsid w:val="004E292D"/>
    <w:rsid w:val="004E2EB7"/>
    <w:rsid w:val="004E3062"/>
    <w:rsid w:val="004E42B4"/>
    <w:rsid w:val="004E442E"/>
    <w:rsid w:val="004E455A"/>
    <w:rsid w:val="004E4C99"/>
    <w:rsid w:val="004E5F1B"/>
    <w:rsid w:val="004E6457"/>
    <w:rsid w:val="004F0DDE"/>
    <w:rsid w:val="004F1A12"/>
    <w:rsid w:val="004F4BC6"/>
    <w:rsid w:val="004F518F"/>
    <w:rsid w:val="004F5EEE"/>
    <w:rsid w:val="004F6326"/>
    <w:rsid w:val="004F6855"/>
    <w:rsid w:val="004F6DC4"/>
    <w:rsid w:val="004F7ACF"/>
    <w:rsid w:val="005017AB"/>
    <w:rsid w:val="00501BF5"/>
    <w:rsid w:val="0050312B"/>
    <w:rsid w:val="00503416"/>
    <w:rsid w:val="00503E58"/>
    <w:rsid w:val="00504AB6"/>
    <w:rsid w:val="00505511"/>
    <w:rsid w:val="00505859"/>
    <w:rsid w:val="0050587B"/>
    <w:rsid w:val="005066F3"/>
    <w:rsid w:val="00506D09"/>
    <w:rsid w:val="00507734"/>
    <w:rsid w:val="00507B64"/>
    <w:rsid w:val="0051033D"/>
    <w:rsid w:val="00510776"/>
    <w:rsid w:val="00514911"/>
    <w:rsid w:val="00514B80"/>
    <w:rsid w:val="0051542C"/>
    <w:rsid w:val="00515F30"/>
    <w:rsid w:val="00516017"/>
    <w:rsid w:val="0051785B"/>
    <w:rsid w:val="005178C2"/>
    <w:rsid w:val="005179E0"/>
    <w:rsid w:val="00517FAD"/>
    <w:rsid w:val="005200D6"/>
    <w:rsid w:val="005216A8"/>
    <w:rsid w:val="00521FE9"/>
    <w:rsid w:val="005226ED"/>
    <w:rsid w:val="005231D5"/>
    <w:rsid w:val="00524356"/>
    <w:rsid w:val="00524EDD"/>
    <w:rsid w:val="00524FE2"/>
    <w:rsid w:val="0052564F"/>
    <w:rsid w:val="005276EB"/>
    <w:rsid w:val="00527728"/>
    <w:rsid w:val="00527BAD"/>
    <w:rsid w:val="00530138"/>
    <w:rsid w:val="00530D1C"/>
    <w:rsid w:val="00530F0B"/>
    <w:rsid w:val="00531D7E"/>
    <w:rsid w:val="00532A01"/>
    <w:rsid w:val="00532BDE"/>
    <w:rsid w:val="005342C1"/>
    <w:rsid w:val="005343ED"/>
    <w:rsid w:val="00534C23"/>
    <w:rsid w:val="00534D2D"/>
    <w:rsid w:val="0053692C"/>
    <w:rsid w:val="00537F39"/>
    <w:rsid w:val="005415CF"/>
    <w:rsid w:val="0054164D"/>
    <w:rsid w:val="00541DE8"/>
    <w:rsid w:val="005428F5"/>
    <w:rsid w:val="0054331F"/>
    <w:rsid w:val="00544556"/>
    <w:rsid w:val="00545072"/>
    <w:rsid w:val="005456ED"/>
    <w:rsid w:val="00546D71"/>
    <w:rsid w:val="00546DFE"/>
    <w:rsid w:val="00547619"/>
    <w:rsid w:val="00547ED8"/>
    <w:rsid w:val="00550014"/>
    <w:rsid w:val="00551CCA"/>
    <w:rsid w:val="00551D47"/>
    <w:rsid w:val="00553123"/>
    <w:rsid w:val="005534F5"/>
    <w:rsid w:val="00553836"/>
    <w:rsid w:val="00554948"/>
    <w:rsid w:val="0055590A"/>
    <w:rsid w:val="005564D4"/>
    <w:rsid w:val="005565BB"/>
    <w:rsid w:val="0055675A"/>
    <w:rsid w:val="00556AD2"/>
    <w:rsid w:val="00556E36"/>
    <w:rsid w:val="005570DA"/>
    <w:rsid w:val="005615CE"/>
    <w:rsid w:val="005616E8"/>
    <w:rsid w:val="005636C9"/>
    <w:rsid w:val="00563B7C"/>
    <w:rsid w:val="005649F2"/>
    <w:rsid w:val="0056637A"/>
    <w:rsid w:val="00566EA2"/>
    <w:rsid w:val="00575165"/>
    <w:rsid w:val="005768ED"/>
    <w:rsid w:val="005779E2"/>
    <w:rsid w:val="0058076F"/>
    <w:rsid w:val="00581702"/>
    <w:rsid w:val="005822B2"/>
    <w:rsid w:val="00582700"/>
    <w:rsid w:val="00582748"/>
    <w:rsid w:val="00586845"/>
    <w:rsid w:val="00587563"/>
    <w:rsid w:val="00587717"/>
    <w:rsid w:val="00590201"/>
    <w:rsid w:val="00590A33"/>
    <w:rsid w:val="00590C01"/>
    <w:rsid w:val="00591159"/>
    <w:rsid w:val="00591E52"/>
    <w:rsid w:val="0059349E"/>
    <w:rsid w:val="00594AFA"/>
    <w:rsid w:val="005962FB"/>
    <w:rsid w:val="00596AA0"/>
    <w:rsid w:val="0059750F"/>
    <w:rsid w:val="005A0C82"/>
    <w:rsid w:val="005A12ED"/>
    <w:rsid w:val="005A4793"/>
    <w:rsid w:val="005A5631"/>
    <w:rsid w:val="005B0841"/>
    <w:rsid w:val="005B0BF1"/>
    <w:rsid w:val="005B1085"/>
    <w:rsid w:val="005B2200"/>
    <w:rsid w:val="005B3681"/>
    <w:rsid w:val="005B3F14"/>
    <w:rsid w:val="005B5899"/>
    <w:rsid w:val="005B6FC8"/>
    <w:rsid w:val="005B7ED3"/>
    <w:rsid w:val="005C0C1C"/>
    <w:rsid w:val="005C143D"/>
    <w:rsid w:val="005C1C5B"/>
    <w:rsid w:val="005C2A85"/>
    <w:rsid w:val="005C33B0"/>
    <w:rsid w:val="005C353B"/>
    <w:rsid w:val="005C3D90"/>
    <w:rsid w:val="005C42D2"/>
    <w:rsid w:val="005C4A10"/>
    <w:rsid w:val="005C544A"/>
    <w:rsid w:val="005C593F"/>
    <w:rsid w:val="005C5A2B"/>
    <w:rsid w:val="005C653C"/>
    <w:rsid w:val="005C66DF"/>
    <w:rsid w:val="005C69A5"/>
    <w:rsid w:val="005D10A7"/>
    <w:rsid w:val="005D1B29"/>
    <w:rsid w:val="005D2262"/>
    <w:rsid w:val="005D246F"/>
    <w:rsid w:val="005D2A4C"/>
    <w:rsid w:val="005D3702"/>
    <w:rsid w:val="005D3B16"/>
    <w:rsid w:val="005D3D21"/>
    <w:rsid w:val="005D3D38"/>
    <w:rsid w:val="005D440E"/>
    <w:rsid w:val="005D453B"/>
    <w:rsid w:val="005D4AFF"/>
    <w:rsid w:val="005D5924"/>
    <w:rsid w:val="005E0899"/>
    <w:rsid w:val="005E100C"/>
    <w:rsid w:val="005E176A"/>
    <w:rsid w:val="005E2695"/>
    <w:rsid w:val="005E3BCF"/>
    <w:rsid w:val="005E4B6C"/>
    <w:rsid w:val="005E68DB"/>
    <w:rsid w:val="005F0080"/>
    <w:rsid w:val="005F0FA1"/>
    <w:rsid w:val="005F115E"/>
    <w:rsid w:val="005F1E67"/>
    <w:rsid w:val="005F41DB"/>
    <w:rsid w:val="005F4B5B"/>
    <w:rsid w:val="005F55A5"/>
    <w:rsid w:val="005F59CE"/>
    <w:rsid w:val="005F61AC"/>
    <w:rsid w:val="005F6BE1"/>
    <w:rsid w:val="005F71CB"/>
    <w:rsid w:val="00601E3C"/>
    <w:rsid w:val="006022D0"/>
    <w:rsid w:val="0060242D"/>
    <w:rsid w:val="006041A1"/>
    <w:rsid w:val="0060447B"/>
    <w:rsid w:val="00605522"/>
    <w:rsid w:val="0060641A"/>
    <w:rsid w:val="00607582"/>
    <w:rsid w:val="00607C7F"/>
    <w:rsid w:val="006101C9"/>
    <w:rsid w:val="006105F5"/>
    <w:rsid w:val="006110D7"/>
    <w:rsid w:val="0061188F"/>
    <w:rsid w:val="00611DC0"/>
    <w:rsid w:val="00612721"/>
    <w:rsid w:val="0061307A"/>
    <w:rsid w:val="006146CB"/>
    <w:rsid w:val="00614751"/>
    <w:rsid w:val="00614A21"/>
    <w:rsid w:val="00614DF1"/>
    <w:rsid w:val="006173FF"/>
    <w:rsid w:val="0061771E"/>
    <w:rsid w:val="00617B4E"/>
    <w:rsid w:val="00621CAF"/>
    <w:rsid w:val="00621D9B"/>
    <w:rsid w:val="00621EE0"/>
    <w:rsid w:val="006221E9"/>
    <w:rsid w:val="00622548"/>
    <w:rsid w:val="006232C8"/>
    <w:rsid w:val="0062372D"/>
    <w:rsid w:val="00624994"/>
    <w:rsid w:val="006255BC"/>
    <w:rsid w:val="00626F69"/>
    <w:rsid w:val="00627106"/>
    <w:rsid w:val="0063026D"/>
    <w:rsid w:val="006305F8"/>
    <w:rsid w:val="006312FD"/>
    <w:rsid w:val="0063194A"/>
    <w:rsid w:val="00632555"/>
    <w:rsid w:val="00632A86"/>
    <w:rsid w:val="00634453"/>
    <w:rsid w:val="00635394"/>
    <w:rsid w:val="006354D4"/>
    <w:rsid w:val="0063561B"/>
    <w:rsid w:val="00635917"/>
    <w:rsid w:val="006365FA"/>
    <w:rsid w:val="006368D7"/>
    <w:rsid w:val="00636F81"/>
    <w:rsid w:val="00640868"/>
    <w:rsid w:val="00642766"/>
    <w:rsid w:val="00642CDE"/>
    <w:rsid w:val="006437C5"/>
    <w:rsid w:val="006461D7"/>
    <w:rsid w:val="006472B4"/>
    <w:rsid w:val="00647875"/>
    <w:rsid w:val="00647BE0"/>
    <w:rsid w:val="0065031D"/>
    <w:rsid w:val="006505E9"/>
    <w:rsid w:val="00650824"/>
    <w:rsid w:val="00650CEF"/>
    <w:rsid w:val="00652083"/>
    <w:rsid w:val="0065291A"/>
    <w:rsid w:val="00652B8A"/>
    <w:rsid w:val="00654366"/>
    <w:rsid w:val="006555C6"/>
    <w:rsid w:val="00657D50"/>
    <w:rsid w:val="00660CDA"/>
    <w:rsid w:val="00660EB9"/>
    <w:rsid w:val="00661C9D"/>
    <w:rsid w:val="00662A4D"/>
    <w:rsid w:val="00662D0F"/>
    <w:rsid w:val="00662D7B"/>
    <w:rsid w:val="00662E89"/>
    <w:rsid w:val="006647FD"/>
    <w:rsid w:val="006657EE"/>
    <w:rsid w:val="00665862"/>
    <w:rsid w:val="006664ED"/>
    <w:rsid w:val="006675C7"/>
    <w:rsid w:val="00672032"/>
    <w:rsid w:val="00672B62"/>
    <w:rsid w:val="00674122"/>
    <w:rsid w:val="006753BB"/>
    <w:rsid w:val="00677489"/>
    <w:rsid w:val="00680BCD"/>
    <w:rsid w:val="00680F0E"/>
    <w:rsid w:val="00681097"/>
    <w:rsid w:val="0068119C"/>
    <w:rsid w:val="00682334"/>
    <w:rsid w:val="006824F9"/>
    <w:rsid w:val="00684A8B"/>
    <w:rsid w:val="00684C7C"/>
    <w:rsid w:val="006851A6"/>
    <w:rsid w:val="00685A67"/>
    <w:rsid w:val="00687938"/>
    <w:rsid w:val="006900E5"/>
    <w:rsid w:val="00690B9F"/>
    <w:rsid w:val="00691E6F"/>
    <w:rsid w:val="00692621"/>
    <w:rsid w:val="00692BC4"/>
    <w:rsid w:val="00692D72"/>
    <w:rsid w:val="00692EF8"/>
    <w:rsid w:val="006937E9"/>
    <w:rsid w:val="00693E7D"/>
    <w:rsid w:val="0069423E"/>
    <w:rsid w:val="006947F7"/>
    <w:rsid w:val="00694F76"/>
    <w:rsid w:val="00695260"/>
    <w:rsid w:val="006A0BF9"/>
    <w:rsid w:val="006A1E91"/>
    <w:rsid w:val="006A3111"/>
    <w:rsid w:val="006A3472"/>
    <w:rsid w:val="006A3C2D"/>
    <w:rsid w:val="006A55FC"/>
    <w:rsid w:val="006A5691"/>
    <w:rsid w:val="006A5C42"/>
    <w:rsid w:val="006A5D6F"/>
    <w:rsid w:val="006B0C53"/>
    <w:rsid w:val="006B23F8"/>
    <w:rsid w:val="006B3470"/>
    <w:rsid w:val="006B3A17"/>
    <w:rsid w:val="006B3DD1"/>
    <w:rsid w:val="006B45E5"/>
    <w:rsid w:val="006B4A5E"/>
    <w:rsid w:val="006B66DC"/>
    <w:rsid w:val="006B7240"/>
    <w:rsid w:val="006C073B"/>
    <w:rsid w:val="006C10C4"/>
    <w:rsid w:val="006C267B"/>
    <w:rsid w:val="006C2900"/>
    <w:rsid w:val="006C37F2"/>
    <w:rsid w:val="006C3A0A"/>
    <w:rsid w:val="006C42F6"/>
    <w:rsid w:val="006C4758"/>
    <w:rsid w:val="006C4EDE"/>
    <w:rsid w:val="006C5136"/>
    <w:rsid w:val="006C55B7"/>
    <w:rsid w:val="006C658A"/>
    <w:rsid w:val="006C67CA"/>
    <w:rsid w:val="006C7835"/>
    <w:rsid w:val="006C7963"/>
    <w:rsid w:val="006D0752"/>
    <w:rsid w:val="006D1186"/>
    <w:rsid w:val="006D18D6"/>
    <w:rsid w:val="006D1E66"/>
    <w:rsid w:val="006D28EF"/>
    <w:rsid w:val="006D40D1"/>
    <w:rsid w:val="006D4423"/>
    <w:rsid w:val="006D47A5"/>
    <w:rsid w:val="006D5B6A"/>
    <w:rsid w:val="006D63DB"/>
    <w:rsid w:val="006D7818"/>
    <w:rsid w:val="006D799A"/>
    <w:rsid w:val="006D7F5F"/>
    <w:rsid w:val="006E0814"/>
    <w:rsid w:val="006E0E36"/>
    <w:rsid w:val="006E1798"/>
    <w:rsid w:val="006E21D0"/>
    <w:rsid w:val="006E26CC"/>
    <w:rsid w:val="006E5EB6"/>
    <w:rsid w:val="006E722A"/>
    <w:rsid w:val="006E7B7A"/>
    <w:rsid w:val="006E7DC6"/>
    <w:rsid w:val="006F02B7"/>
    <w:rsid w:val="006F0822"/>
    <w:rsid w:val="006F1D44"/>
    <w:rsid w:val="006F279D"/>
    <w:rsid w:val="006F30C6"/>
    <w:rsid w:val="006F38F0"/>
    <w:rsid w:val="006F3AC4"/>
    <w:rsid w:val="006F4099"/>
    <w:rsid w:val="006F454E"/>
    <w:rsid w:val="006F4773"/>
    <w:rsid w:val="006F47F3"/>
    <w:rsid w:val="006F49CF"/>
    <w:rsid w:val="006F562E"/>
    <w:rsid w:val="006F5D46"/>
    <w:rsid w:val="006F6237"/>
    <w:rsid w:val="00700491"/>
    <w:rsid w:val="007005EA"/>
    <w:rsid w:val="00700C13"/>
    <w:rsid w:val="007011F8"/>
    <w:rsid w:val="00703472"/>
    <w:rsid w:val="007039A7"/>
    <w:rsid w:val="00703C22"/>
    <w:rsid w:val="00705C9C"/>
    <w:rsid w:val="0070681F"/>
    <w:rsid w:val="0070696D"/>
    <w:rsid w:val="00706DB1"/>
    <w:rsid w:val="00710B72"/>
    <w:rsid w:val="00710D7A"/>
    <w:rsid w:val="00710E57"/>
    <w:rsid w:val="007119C3"/>
    <w:rsid w:val="00711EA8"/>
    <w:rsid w:val="00713479"/>
    <w:rsid w:val="00713F72"/>
    <w:rsid w:val="007149DB"/>
    <w:rsid w:val="00716C79"/>
    <w:rsid w:val="00717279"/>
    <w:rsid w:val="00717EB4"/>
    <w:rsid w:val="00720BB1"/>
    <w:rsid w:val="00720F6B"/>
    <w:rsid w:val="00721B10"/>
    <w:rsid w:val="00721EC1"/>
    <w:rsid w:val="007220CA"/>
    <w:rsid w:val="0072274E"/>
    <w:rsid w:val="00723299"/>
    <w:rsid w:val="007234CE"/>
    <w:rsid w:val="007238A9"/>
    <w:rsid w:val="00724288"/>
    <w:rsid w:val="00724D6E"/>
    <w:rsid w:val="00725576"/>
    <w:rsid w:val="00725B39"/>
    <w:rsid w:val="00726E85"/>
    <w:rsid w:val="00726F1C"/>
    <w:rsid w:val="0072745E"/>
    <w:rsid w:val="007277B0"/>
    <w:rsid w:val="00730383"/>
    <w:rsid w:val="0073278F"/>
    <w:rsid w:val="00732A3E"/>
    <w:rsid w:val="00732AD7"/>
    <w:rsid w:val="00733376"/>
    <w:rsid w:val="00733765"/>
    <w:rsid w:val="00733E22"/>
    <w:rsid w:val="0073529E"/>
    <w:rsid w:val="00735D29"/>
    <w:rsid w:val="0073625E"/>
    <w:rsid w:val="0073697F"/>
    <w:rsid w:val="00737E88"/>
    <w:rsid w:val="007403EE"/>
    <w:rsid w:val="00740ABA"/>
    <w:rsid w:val="00740C61"/>
    <w:rsid w:val="007417EB"/>
    <w:rsid w:val="00741DCC"/>
    <w:rsid w:val="00744040"/>
    <w:rsid w:val="007449AA"/>
    <w:rsid w:val="007449F2"/>
    <w:rsid w:val="007469A7"/>
    <w:rsid w:val="00747D70"/>
    <w:rsid w:val="007500E4"/>
    <w:rsid w:val="007506ED"/>
    <w:rsid w:val="00750FD2"/>
    <w:rsid w:val="00751B93"/>
    <w:rsid w:val="007528C4"/>
    <w:rsid w:val="00752ABE"/>
    <w:rsid w:val="00754B66"/>
    <w:rsid w:val="0075773E"/>
    <w:rsid w:val="00757B32"/>
    <w:rsid w:val="00757BB4"/>
    <w:rsid w:val="00760B64"/>
    <w:rsid w:val="007610E0"/>
    <w:rsid w:val="00762102"/>
    <w:rsid w:val="0076246E"/>
    <w:rsid w:val="007665D3"/>
    <w:rsid w:val="00767005"/>
    <w:rsid w:val="00767706"/>
    <w:rsid w:val="0076788E"/>
    <w:rsid w:val="00767E14"/>
    <w:rsid w:val="0077022A"/>
    <w:rsid w:val="007703F1"/>
    <w:rsid w:val="0077072C"/>
    <w:rsid w:val="00770A7E"/>
    <w:rsid w:val="00770D4A"/>
    <w:rsid w:val="00770E3C"/>
    <w:rsid w:val="0077150E"/>
    <w:rsid w:val="007727D8"/>
    <w:rsid w:val="00772F43"/>
    <w:rsid w:val="007736E0"/>
    <w:rsid w:val="007747E6"/>
    <w:rsid w:val="007749A4"/>
    <w:rsid w:val="007752AF"/>
    <w:rsid w:val="007773FB"/>
    <w:rsid w:val="0077796D"/>
    <w:rsid w:val="00777B0D"/>
    <w:rsid w:val="00777C89"/>
    <w:rsid w:val="00780ADF"/>
    <w:rsid w:val="00781794"/>
    <w:rsid w:val="00782DE5"/>
    <w:rsid w:val="00782F10"/>
    <w:rsid w:val="00783628"/>
    <w:rsid w:val="00784E58"/>
    <w:rsid w:val="0078534A"/>
    <w:rsid w:val="00785DAE"/>
    <w:rsid w:val="007867B0"/>
    <w:rsid w:val="0078772B"/>
    <w:rsid w:val="00787DA7"/>
    <w:rsid w:val="00791ADE"/>
    <w:rsid w:val="00791DA7"/>
    <w:rsid w:val="00792FD6"/>
    <w:rsid w:val="007931B9"/>
    <w:rsid w:val="007935C1"/>
    <w:rsid w:val="007941F0"/>
    <w:rsid w:val="00794926"/>
    <w:rsid w:val="007966C9"/>
    <w:rsid w:val="00796BCC"/>
    <w:rsid w:val="007A0010"/>
    <w:rsid w:val="007A08C6"/>
    <w:rsid w:val="007A10D9"/>
    <w:rsid w:val="007A1EE7"/>
    <w:rsid w:val="007A25AE"/>
    <w:rsid w:val="007A2741"/>
    <w:rsid w:val="007A43E1"/>
    <w:rsid w:val="007A445D"/>
    <w:rsid w:val="007A507E"/>
    <w:rsid w:val="007A53F8"/>
    <w:rsid w:val="007A54AC"/>
    <w:rsid w:val="007A6506"/>
    <w:rsid w:val="007A69A9"/>
    <w:rsid w:val="007A7A3A"/>
    <w:rsid w:val="007B0351"/>
    <w:rsid w:val="007B0C4E"/>
    <w:rsid w:val="007B1002"/>
    <w:rsid w:val="007B1684"/>
    <w:rsid w:val="007B18E4"/>
    <w:rsid w:val="007B2308"/>
    <w:rsid w:val="007B2BBC"/>
    <w:rsid w:val="007B2D78"/>
    <w:rsid w:val="007B30EB"/>
    <w:rsid w:val="007B339A"/>
    <w:rsid w:val="007B3A2F"/>
    <w:rsid w:val="007B5AA3"/>
    <w:rsid w:val="007B5B9A"/>
    <w:rsid w:val="007B6748"/>
    <w:rsid w:val="007B688C"/>
    <w:rsid w:val="007B6B89"/>
    <w:rsid w:val="007C08E7"/>
    <w:rsid w:val="007C0E6C"/>
    <w:rsid w:val="007C1887"/>
    <w:rsid w:val="007C2377"/>
    <w:rsid w:val="007C5EDF"/>
    <w:rsid w:val="007D2649"/>
    <w:rsid w:val="007D2AC2"/>
    <w:rsid w:val="007D3465"/>
    <w:rsid w:val="007D34B7"/>
    <w:rsid w:val="007D3B7D"/>
    <w:rsid w:val="007D4680"/>
    <w:rsid w:val="007D46F5"/>
    <w:rsid w:val="007D4C0F"/>
    <w:rsid w:val="007D72DE"/>
    <w:rsid w:val="007D79D7"/>
    <w:rsid w:val="007E05DE"/>
    <w:rsid w:val="007E22D9"/>
    <w:rsid w:val="007E291E"/>
    <w:rsid w:val="007E65D8"/>
    <w:rsid w:val="007E6B57"/>
    <w:rsid w:val="007E771C"/>
    <w:rsid w:val="007E79CC"/>
    <w:rsid w:val="007F057D"/>
    <w:rsid w:val="007F0992"/>
    <w:rsid w:val="007F1C78"/>
    <w:rsid w:val="007F2F5A"/>
    <w:rsid w:val="007F32E1"/>
    <w:rsid w:val="007F3D23"/>
    <w:rsid w:val="007F4411"/>
    <w:rsid w:val="007F565D"/>
    <w:rsid w:val="007F6F83"/>
    <w:rsid w:val="007F7B7A"/>
    <w:rsid w:val="008004B0"/>
    <w:rsid w:val="00800E23"/>
    <w:rsid w:val="00801468"/>
    <w:rsid w:val="0080438B"/>
    <w:rsid w:val="008044F8"/>
    <w:rsid w:val="008053E8"/>
    <w:rsid w:val="00806F82"/>
    <w:rsid w:val="00807507"/>
    <w:rsid w:val="00807754"/>
    <w:rsid w:val="008123B0"/>
    <w:rsid w:val="0081287C"/>
    <w:rsid w:val="00812FE9"/>
    <w:rsid w:val="0081437E"/>
    <w:rsid w:val="00815340"/>
    <w:rsid w:val="00816330"/>
    <w:rsid w:val="0081675E"/>
    <w:rsid w:val="008168FC"/>
    <w:rsid w:val="00817C1D"/>
    <w:rsid w:val="00820444"/>
    <w:rsid w:val="00820B68"/>
    <w:rsid w:val="00823C31"/>
    <w:rsid w:val="00824F9B"/>
    <w:rsid w:val="00825E83"/>
    <w:rsid w:val="008266C4"/>
    <w:rsid w:val="0082742E"/>
    <w:rsid w:val="008278FE"/>
    <w:rsid w:val="008305F1"/>
    <w:rsid w:val="00830D5A"/>
    <w:rsid w:val="00831914"/>
    <w:rsid w:val="00834A3E"/>
    <w:rsid w:val="00835112"/>
    <w:rsid w:val="00835E62"/>
    <w:rsid w:val="00837AD9"/>
    <w:rsid w:val="008417EF"/>
    <w:rsid w:val="008423E8"/>
    <w:rsid w:val="00844C1C"/>
    <w:rsid w:val="00845133"/>
    <w:rsid w:val="008459E1"/>
    <w:rsid w:val="00845AA4"/>
    <w:rsid w:val="0084618F"/>
    <w:rsid w:val="00846AF7"/>
    <w:rsid w:val="00847310"/>
    <w:rsid w:val="00850754"/>
    <w:rsid w:val="00850F2C"/>
    <w:rsid w:val="00853345"/>
    <w:rsid w:val="00853C93"/>
    <w:rsid w:val="00853E0B"/>
    <w:rsid w:val="00854F1A"/>
    <w:rsid w:val="00855261"/>
    <w:rsid w:val="00857FDC"/>
    <w:rsid w:val="0086025D"/>
    <w:rsid w:val="00861660"/>
    <w:rsid w:val="00862FA5"/>
    <w:rsid w:val="00863178"/>
    <w:rsid w:val="00863184"/>
    <w:rsid w:val="00863289"/>
    <w:rsid w:val="00863720"/>
    <w:rsid w:val="00863B2B"/>
    <w:rsid w:val="00865548"/>
    <w:rsid w:val="008659C6"/>
    <w:rsid w:val="00866E28"/>
    <w:rsid w:val="008706D6"/>
    <w:rsid w:val="00871006"/>
    <w:rsid w:val="008717A8"/>
    <w:rsid w:val="00871FDF"/>
    <w:rsid w:val="0087269D"/>
    <w:rsid w:val="008727EB"/>
    <w:rsid w:val="00872DB8"/>
    <w:rsid w:val="00873879"/>
    <w:rsid w:val="00873F3E"/>
    <w:rsid w:val="00874316"/>
    <w:rsid w:val="008747A3"/>
    <w:rsid w:val="00874ECB"/>
    <w:rsid w:val="00875EC0"/>
    <w:rsid w:val="0087683A"/>
    <w:rsid w:val="00876B0C"/>
    <w:rsid w:val="00880B61"/>
    <w:rsid w:val="0088166B"/>
    <w:rsid w:val="008816A9"/>
    <w:rsid w:val="00881D30"/>
    <w:rsid w:val="008839C5"/>
    <w:rsid w:val="0088434C"/>
    <w:rsid w:val="00884CDA"/>
    <w:rsid w:val="00884E97"/>
    <w:rsid w:val="008850B8"/>
    <w:rsid w:val="00885412"/>
    <w:rsid w:val="008856BC"/>
    <w:rsid w:val="008867B5"/>
    <w:rsid w:val="00886864"/>
    <w:rsid w:val="00887FB4"/>
    <w:rsid w:val="008918E8"/>
    <w:rsid w:val="00891BCC"/>
    <w:rsid w:val="00892133"/>
    <w:rsid w:val="00892806"/>
    <w:rsid w:val="008929C9"/>
    <w:rsid w:val="00893A9C"/>
    <w:rsid w:val="00893CD4"/>
    <w:rsid w:val="00895FBC"/>
    <w:rsid w:val="008961A2"/>
    <w:rsid w:val="008963E0"/>
    <w:rsid w:val="008967DC"/>
    <w:rsid w:val="00897772"/>
    <w:rsid w:val="008A31A2"/>
    <w:rsid w:val="008A386F"/>
    <w:rsid w:val="008A3ABD"/>
    <w:rsid w:val="008A4045"/>
    <w:rsid w:val="008A53CA"/>
    <w:rsid w:val="008A5F38"/>
    <w:rsid w:val="008A622E"/>
    <w:rsid w:val="008A70A3"/>
    <w:rsid w:val="008A7760"/>
    <w:rsid w:val="008B052D"/>
    <w:rsid w:val="008B124E"/>
    <w:rsid w:val="008B145F"/>
    <w:rsid w:val="008B210B"/>
    <w:rsid w:val="008B2426"/>
    <w:rsid w:val="008B4B57"/>
    <w:rsid w:val="008B4E00"/>
    <w:rsid w:val="008B5B75"/>
    <w:rsid w:val="008B68EB"/>
    <w:rsid w:val="008B6975"/>
    <w:rsid w:val="008B7115"/>
    <w:rsid w:val="008B7BD5"/>
    <w:rsid w:val="008C088F"/>
    <w:rsid w:val="008C12C7"/>
    <w:rsid w:val="008C1E47"/>
    <w:rsid w:val="008C1E8C"/>
    <w:rsid w:val="008C20A1"/>
    <w:rsid w:val="008C2F3B"/>
    <w:rsid w:val="008C5273"/>
    <w:rsid w:val="008C5888"/>
    <w:rsid w:val="008C58B0"/>
    <w:rsid w:val="008C6A20"/>
    <w:rsid w:val="008C7663"/>
    <w:rsid w:val="008C767E"/>
    <w:rsid w:val="008D0BB3"/>
    <w:rsid w:val="008D3465"/>
    <w:rsid w:val="008D49F4"/>
    <w:rsid w:val="008D4DE1"/>
    <w:rsid w:val="008D55BF"/>
    <w:rsid w:val="008D5C5F"/>
    <w:rsid w:val="008D64A6"/>
    <w:rsid w:val="008D6966"/>
    <w:rsid w:val="008D76F6"/>
    <w:rsid w:val="008D7840"/>
    <w:rsid w:val="008D7E91"/>
    <w:rsid w:val="008E06C0"/>
    <w:rsid w:val="008E281D"/>
    <w:rsid w:val="008E2857"/>
    <w:rsid w:val="008E2D36"/>
    <w:rsid w:val="008E3132"/>
    <w:rsid w:val="008E4DE7"/>
    <w:rsid w:val="008E5675"/>
    <w:rsid w:val="008E6A3D"/>
    <w:rsid w:val="008E7D8B"/>
    <w:rsid w:val="008F0BAA"/>
    <w:rsid w:val="008F1626"/>
    <w:rsid w:val="008F2604"/>
    <w:rsid w:val="008F320B"/>
    <w:rsid w:val="008F4DCA"/>
    <w:rsid w:val="008F51C8"/>
    <w:rsid w:val="008F5247"/>
    <w:rsid w:val="008F59EC"/>
    <w:rsid w:val="008F6907"/>
    <w:rsid w:val="008F6AAB"/>
    <w:rsid w:val="008F6C53"/>
    <w:rsid w:val="008F6DA8"/>
    <w:rsid w:val="0090078A"/>
    <w:rsid w:val="00902220"/>
    <w:rsid w:val="0090288C"/>
    <w:rsid w:val="00902D6B"/>
    <w:rsid w:val="00905271"/>
    <w:rsid w:val="0090545A"/>
    <w:rsid w:val="00905820"/>
    <w:rsid w:val="0090623C"/>
    <w:rsid w:val="00906751"/>
    <w:rsid w:val="00906793"/>
    <w:rsid w:val="00906AEB"/>
    <w:rsid w:val="00906DCC"/>
    <w:rsid w:val="00907100"/>
    <w:rsid w:val="009075E0"/>
    <w:rsid w:val="00907620"/>
    <w:rsid w:val="0091299B"/>
    <w:rsid w:val="009141BE"/>
    <w:rsid w:val="009143AB"/>
    <w:rsid w:val="009146F6"/>
    <w:rsid w:val="00914E59"/>
    <w:rsid w:val="00917BD0"/>
    <w:rsid w:val="00920220"/>
    <w:rsid w:val="00921572"/>
    <w:rsid w:val="00921577"/>
    <w:rsid w:val="00921C56"/>
    <w:rsid w:val="00922D2F"/>
    <w:rsid w:val="00923776"/>
    <w:rsid w:val="009241B5"/>
    <w:rsid w:val="009252E9"/>
    <w:rsid w:val="00925D30"/>
    <w:rsid w:val="00927F22"/>
    <w:rsid w:val="00930335"/>
    <w:rsid w:val="009306A4"/>
    <w:rsid w:val="00930AF8"/>
    <w:rsid w:val="00931AE8"/>
    <w:rsid w:val="00931B37"/>
    <w:rsid w:val="00933577"/>
    <w:rsid w:val="00933DAC"/>
    <w:rsid w:val="00933F26"/>
    <w:rsid w:val="009359BB"/>
    <w:rsid w:val="009361B1"/>
    <w:rsid w:val="009362B6"/>
    <w:rsid w:val="009364AB"/>
    <w:rsid w:val="009369B3"/>
    <w:rsid w:val="00936AC8"/>
    <w:rsid w:val="009375A8"/>
    <w:rsid w:val="009378C0"/>
    <w:rsid w:val="00941038"/>
    <w:rsid w:val="00941DE9"/>
    <w:rsid w:val="00941EB5"/>
    <w:rsid w:val="009428CC"/>
    <w:rsid w:val="00943A39"/>
    <w:rsid w:val="00946EC9"/>
    <w:rsid w:val="00946F2C"/>
    <w:rsid w:val="009478BA"/>
    <w:rsid w:val="00947AF7"/>
    <w:rsid w:val="00951467"/>
    <w:rsid w:val="0095288E"/>
    <w:rsid w:val="0095294B"/>
    <w:rsid w:val="0095390D"/>
    <w:rsid w:val="00953969"/>
    <w:rsid w:val="00956C3C"/>
    <w:rsid w:val="00957DBD"/>
    <w:rsid w:val="00960D54"/>
    <w:rsid w:val="00961213"/>
    <w:rsid w:val="00963855"/>
    <w:rsid w:val="00963E88"/>
    <w:rsid w:val="00964CD5"/>
    <w:rsid w:val="00965939"/>
    <w:rsid w:val="00965E31"/>
    <w:rsid w:val="00965EFD"/>
    <w:rsid w:val="0096750F"/>
    <w:rsid w:val="00967720"/>
    <w:rsid w:val="00967DAA"/>
    <w:rsid w:val="00970732"/>
    <w:rsid w:val="00971C9C"/>
    <w:rsid w:val="00972DA6"/>
    <w:rsid w:val="00973EA8"/>
    <w:rsid w:val="0097555D"/>
    <w:rsid w:val="009755F6"/>
    <w:rsid w:val="00975B59"/>
    <w:rsid w:val="00976D2C"/>
    <w:rsid w:val="00982239"/>
    <w:rsid w:val="009825D6"/>
    <w:rsid w:val="009836DA"/>
    <w:rsid w:val="00984005"/>
    <w:rsid w:val="00984452"/>
    <w:rsid w:val="00984E1E"/>
    <w:rsid w:val="0098578E"/>
    <w:rsid w:val="00987342"/>
    <w:rsid w:val="009879A7"/>
    <w:rsid w:val="00996634"/>
    <w:rsid w:val="00996DAE"/>
    <w:rsid w:val="009A133B"/>
    <w:rsid w:val="009A2E78"/>
    <w:rsid w:val="009A35A7"/>
    <w:rsid w:val="009A3A68"/>
    <w:rsid w:val="009A3DC6"/>
    <w:rsid w:val="009A462B"/>
    <w:rsid w:val="009A49ED"/>
    <w:rsid w:val="009A4DDD"/>
    <w:rsid w:val="009A6538"/>
    <w:rsid w:val="009A6E31"/>
    <w:rsid w:val="009A7739"/>
    <w:rsid w:val="009A7D44"/>
    <w:rsid w:val="009B1634"/>
    <w:rsid w:val="009B198D"/>
    <w:rsid w:val="009B331E"/>
    <w:rsid w:val="009B3D2D"/>
    <w:rsid w:val="009B4DCA"/>
    <w:rsid w:val="009B4EA1"/>
    <w:rsid w:val="009B6079"/>
    <w:rsid w:val="009C0DEA"/>
    <w:rsid w:val="009C14A3"/>
    <w:rsid w:val="009C3232"/>
    <w:rsid w:val="009C412B"/>
    <w:rsid w:val="009C5A9D"/>
    <w:rsid w:val="009C69A4"/>
    <w:rsid w:val="009C6F3E"/>
    <w:rsid w:val="009C7AB7"/>
    <w:rsid w:val="009C7C7D"/>
    <w:rsid w:val="009D2314"/>
    <w:rsid w:val="009D2FD1"/>
    <w:rsid w:val="009D33DD"/>
    <w:rsid w:val="009D34AA"/>
    <w:rsid w:val="009D4018"/>
    <w:rsid w:val="009D4132"/>
    <w:rsid w:val="009D561F"/>
    <w:rsid w:val="009D5848"/>
    <w:rsid w:val="009D645F"/>
    <w:rsid w:val="009D6778"/>
    <w:rsid w:val="009E093D"/>
    <w:rsid w:val="009E0C39"/>
    <w:rsid w:val="009E197A"/>
    <w:rsid w:val="009E1CBB"/>
    <w:rsid w:val="009E1E55"/>
    <w:rsid w:val="009E2012"/>
    <w:rsid w:val="009E3251"/>
    <w:rsid w:val="009E4710"/>
    <w:rsid w:val="009E50E4"/>
    <w:rsid w:val="009E5874"/>
    <w:rsid w:val="009E5D46"/>
    <w:rsid w:val="009E685D"/>
    <w:rsid w:val="009E6A09"/>
    <w:rsid w:val="009E76C0"/>
    <w:rsid w:val="009E7A19"/>
    <w:rsid w:val="009F0C86"/>
    <w:rsid w:val="009F0DA0"/>
    <w:rsid w:val="009F1728"/>
    <w:rsid w:val="009F1996"/>
    <w:rsid w:val="009F301D"/>
    <w:rsid w:val="009F32DF"/>
    <w:rsid w:val="009F3601"/>
    <w:rsid w:val="009F4E3F"/>
    <w:rsid w:val="009F516B"/>
    <w:rsid w:val="009F6A37"/>
    <w:rsid w:val="009F6C1B"/>
    <w:rsid w:val="00A018B5"/>
    <w:rsid w:val="00A01F16"/>
    <w:rsid w:val="00A03227"/>
    <w:rsid w:val="00A04D34"/>
    <w:rsid w:val="00A054FC"/>
    <w:rsid w:val="00A05500"/>
    <w:rsid w:val="00A05C12"/>
    <w:rsid w:val="00A066FB"/>
    <w:rsid w:val="00A071CA"/>
    <w:rsid w:val="00A07A0D"/>
    <w:rsid w:val="00A07D98"/>
    <w:rsid w:val="00A10BE8"/>
    <w:rsid w:val="00A11E3A"/>
    <w:rsid w:val="00A1229F"/>
    <w:rsid w:val="00A12474"/>
    <w:rsid w:val="00A137AB"/>
    <w:rsid w:val="00A14D42"/>
    <w:rsid w:val="00A1516D"/>
    <w:rsid w:val="00A15219"/>
    <w:rsid w:val="00A15937"/>
    <w:rsid w:val="00A1723D"/>
    <w:rsid w:val="00A20ACC"/>
    <w:rsid w:val="00A20BE3"/>
    <w:rsid w:val="00A22925"/>
    <w:rsid w:val="00A2342B"/>
    <w:rsid w:val="00A23E6A"/>
    <w:rsid w:val="00A23EFB"/>
    <w:rsid w:val="00A24809"/>
    <w:rsid w:val="00A24B17"/>
    <w:rsid w:val="00A25E70"/>
    <w:rsid w:val="00A26026"/>
    <w:rsid w:val="00A2637D"/>
    <w:rsid w:val="00A26896"/>
    <w:rsid w:val="00A268F4"/>
    <w:rsid w:val="00A26C4F"/>
    <w:rsid w:val="00A270A1"/>
    <w:rsid w:val="00A27C07"/>
    <w:rsid w:val="00A27FD9"/>
    <w:rsid w:val="00A30D43"/>
    <w:rsid w:val="00A312FE"/>
    <w:rsid w:val="00A31A79"/>
    <w:rsid w:val="00A31CD3"/>
    <w:rsid w:val="00A31DC9"/>
    <w:rsid w:val="00A3254B"/>
    <w:rsid w:val="00A329E3"/>
    <w:rsid w:val="00A32A43"/>
    <w:rsid w:val="00A3301F"/>
    <w:rsid w:val="00A3388B"/>
    <w:rsid w:val="00A35314"/>
    <w:rsid w:val="00A364C1"/>
    <w:rsid w:val="00A42036"/>
    <w:rsid w:val="00A42055"/>
    <w:rsid w:val="00A424FE"/>
    <w:rsid w:val="00A42896"/>
    <w:rsid w:val="00A42A4F"/>
    <w:rsid w:val="00A42FB8"/>
    <w:rsid w:val="00A43157"/>
    <w:rsid w:val="00A44056"/>
    <w:rsid w:val="00A44929"/>
    <w:rsid w:val="00A45C48"/>
    <w:rsid w:val="00A462D1"/>
    <w:rsid w:val="00A47D29"/>
    <w:rsid w:val="00A510DC"/>
    <w:rsid w:val="00A515DB"/>
    <w:rsid w:val="00A541A9"/>
    <w:rsid w:val="00A54245"/>
    <w:rsid w:val="00A56052"/>
    <w:rsid w:val="00A56AF4"/>
    <w:rsid w:val="00A57813"/>
    <w:rsid w:val="00A61191"/>
    <w:rsid w:val="00A614AD"/>
    <w:rsid w:val="00A6186C"/>
    <w:rsid w:val="00A62051"/>
    <w:rsid w:val="00A63689"/>
    <w:rsid w:val="00A652CF"/>
    <w:rsid w:val="00A65638"/>
    <w:rsid w:val="00A666F4"/>
    <w:rsid w:val="00A66F23"/>
    <w:rsid w:val="00A67B3A"/>
    <w:rsid w:val="00A67C0F"/>
    <w:rsid w:val="00A706E1"/>
    <w:rsid w:val="00A70E68"/>
    <w:rsid w:val="00A71A2B"/>
    <w:rsid w:val="00A72922"/>
    <w:rsid w:val="00A72B11"/>
    <w:rsid w:val="00A7364E"/>
    <w:rsid w:val="00A74381"/>
    <w:rsid w:val="00A74D2C"/>
    <w:rsid w:val="00A758B1"/>
    <w:rsid w:val="00A761AF"/>
    <w:rsid w:val="00A76FA0"/>
    <w:rsid w:val="00A774B6"/>
    <w:rsid w:val="00A803F9"/>
    <w:rsid w:val="00A81B76"/>
    <w:rsid w:val="00A8278B"/>
    <w:rsid w:val="00A8344B"/>
    <w:rsid w:val="00A84202"/>
    <w:rsid w:val="00A84CCD"/>
    <w:rsid w:val="00A85A45"/>
    <w:rsid w:val="00A85F53"/>
    <w:rsid w:val="00A86802"/>
    <w:rsid w:val="00A86B26"/>
    <w:rsid w:val="00A871D7"/>
    <w:rsid w:val="00A8736D"/>
    <w:rsid w:val="00A90E0B"/>
    <w:rsid w:val="00A9105A"/>
    <w:rsid w:val="00A92801"/>
    <w:rsid w:val="00A93F3B"/>
    <w:rsid w:val="00A94AEF"/>
    <w:rsid w:val="00A94BC1"/>
    <w:rsid w:val="00A96C87"/>
    <w:rsid w:val="00A97001"/>
    <w:rsid w:val="00A9772E"/>
    <w:rsid w:val="00A97ADB"/>
    <w:rsid w:val="00AA016B"/>
    <w:rsid w:val="00AA01DF"/>
    <w:rsid w:val="00AA04E0"/>
    <w:rsid w:val="00AA071B"/>
    <w:rsid w:val="00AA07B7"/>
    <w:rsid w:val="00AA1E63"/>
    <w:rsid w:val="00AA20E2"/>
    <w:rsid w:val="00AA2E05"/>
    <w:rsid w:val="00AA4028"/>
    <w:rsid w:val="00AA4164"/>
    <w:rsid w:val="00AA4901"/>
    <w:rsid w:val="00AA4C9F"/>
    <w:rsid w:val="00AA4CF3"/>
    <w:rsid w:val="00AA4DDC"/>
    <w:rsid w:val="00AA58CA"/>
    <w:rsid w:val="00AA6432"/>
    <w:rsid w:val="00AA6D3F"/>
    <w:rsid w:val="00AA6E14"/>
    <w:rsid w:val="00AA76A2"/>
    <w:rsid w:val="00AA7BAD"/>
    <w:rsid w:val="00AB001F"/>
    <w:rsid w:val="00AB1157"/>
    <w:rsid w:val="00AB3061"/>
    <w:rsid w:val="00AB3B07"/>
    <w:rsid w:val="00AB57BC"/>
    <w:rsid w:val="00AB5C1A"/>
    <w:rsid w:val="00AB620F"/>
    <w:rsid w:val="00AB639C"/>
    <w:rsid w:val="00AB7463"/>
    <w:rsid w:val="00AC03A6"/>
    <w:rsid w:val="00AC1DE1"/>
    <w:rsid w:val="00AC2AB2"/>
    <w:rsid w:val="00AC344D"/>
    <w:rsid w:val="00AC4632"/>
    <w:rsid w:val="00AC559E"/>
    <w:rsid w:val="00AC66E2"/>
    <w:rsid w:val="00AC6C18"/>
    <w:rsid w:val="00AC6F9F"/>
    <w:rsid w:val="00AD068B"/>
    <w:rsid w:val="00AD17DE"/>
    <w:rsid w:val="00AD26CA"/>
    <w:rsid w:val="00AD2BFA"/>
    <w:rsid w:val="00AD3866"/>
    <w:rsid w:val="00AD3D52"/>
    <w:rsid w:val="00AD6381"/>
    <w:rsid w:val="00AE2FEE"/>
    <w:rsid w:val="00AE42C3"/>
    <w:rsid w:val="00AE578D"/>
    <w:rsid w:val="00AF079E"/>
    <w:rsid w:val="00AF0A13"/>
    <w:rsid w:val="00AF1298"/>
    <w:rsid w:val="00AF1CC8"/>
    <w:rsid w:val="00AF1E90"/>
    <w:rsid w:val="00AF50F4"/>
    <w:rsid w:val="00AF5475"/>
    <w:rsid w:val="00AF6F6C"/>
    <w:rsid w:val="00AF717D"/>
    <w:rsid w:val="00AF751D"/>
    <w:rsid w:val="00B0000D"/>
    <w:rsid w:val="00B01709"/>
    <w:rsid w:val="00B01C97"/>
    <w:rsid w:val="00B02F73"/>
    <w:rsid w:val="00B02FB1"/>
    <w:rsid w:val="00B03916"/>
    <w:rsid w:val="00B03D1D"/>
    <w:rsid w:val="00B04243"/>
    <w:rsid w:val="00B051D0"/>
    <w:rsid w:val="00B05E68"/>
    <w:rsid w:val="00B06583"/>
    <w:rsid w:val="00B06C62"/>
    <w:rsid w:val="00B07E06"/>
    <w:rsid w:val="00B07E77"/>
    <w:rsid w:val="00B10F33"/>
    <w:rsid w:val="00B12112"/>
    <w:rsid w:val="00B1293A"/>
    <w:rsid w:val="00B1397F"/>
    <w:rsid w:val="00B13D9B"/>
    <w:rsid w:val="00B14062"/>
    <w:rsid w:val="00B15725"/>
    <w:rsid w:val="00B1638B"/>
    <w:rsid w:val="00B16744"/>
    <w:rsid w:val="00B177DE"/>
    <w:rsid w:val="00B210B1"/>
    <w:rsid w:val="00B2298A"/>
    <w:rsid w:val="00B22A97"/>
    <w:rsid w:val="00B22D66"/>
    <w:rsid w:val="00B23749"/>
    <w:rsid w:val="00B243CC"/>
    <w:rsid w:val="00B24F59"/>
    <w:rsid w:val="00B25455"/>
    <w:rsid w:val="00B25632"/>
    <w:rsid w:val="00B25654"/>
    <w:rsid w:val="00B31950"/>
    <w:rsid w:val="00B33360"/>
    <w:rsid w:val="00B36188"/>
    <w:rsid w:val="00B4053E"/>
    <w:rsid w:val="00B40F55"/>
    <w:rsid w:val="00B4111F"/>
    <w:rsid w:val="00B41647"/>
    <w:rsid w:val="00B41BAF"/>
    <w:rsid w:val="00B4203E"/>
    <w:rsid w:val="00B42398"/>
    <w:rsid w:val="00B43B2A"/>
    <w:rsid w:val="00B43B69"/>
    <w:rsid w:val="00B43B81"/>
    <w:rsid w:val="00B44030"/>
    <w:rsid w:val="00B44345"/>
    <w:rsid w:val="00B448AD"/>
    <w:rsid w:val="00B44B13"/>
    <w:rsid w:val="00B45985"/>
    <w:rsid w:val="00B466C5"/>
    <w:rsid w:val="00B47453"/>
    <w:rsid w:val="00B47D82"/>
    <w:rsid w:val="00B5064E"/>
    <w:rsid w:val="00B5078D"/>
    <w:rsid w:val="00B51AC4"/>
    <w:rsid w:val="00B5280A"/>
    <w:rsid w:val="00B5281C"/>
    <w:rsid w:val="00B5284F"/>
    <w:rsid w:val="00B56F13"/>
    <w:rsid w:val="00B5701E"/>
    <w:rsid w:val="00B57380"/>
    <w:rsid w:val="00B57500"/>
    <w:rsid w:val="00B6133C"/>
    <w:rsid w:val="00B6286B"/>
    <w:rsid w:val="00B62901"/>
    <w:rsid w:val="00B6377B"/>
    <w:rsid w:val="00B63FB0"/>
    <w:rsid w:val="00B660FD"/>
    <w:rsid w:val="00B66B30"/>
    <w:rsid w:val="00B67378"/>
    <w:rsid w:val="00B71639"/>
    <w:rsid w:val="00B71766"/>
    <w:rsid w:val="00B722A3"/>
    <w:rsid w:val="00B72E08"/>
    <w:rsid w:val="00B7356B"/>
    <w:rsid w:val="00B738BD"/>
    <w:rsid w:val="00B74B00"/>
    <w:rsid w:val="00B754E1"/>
    <w:rsid w:val="00B75994"/>
    <w:rsid w:val="00B75D16"/>
    <w:rsid w:val="00B76187"/>
    <w:rsid w:val="00B76A83"/>
    <w:rsid w:val="00B76B40"/>
    <w:rsid w:val="00B812EE"/>
    <w:rsid w:val="00B833A8"/>
    <w:rsid w:val="00B85090"/>
    <w:rsid w:val="00B864C8"/>
    <w:rsid w:val="00B87750"/>
    <w:rsid w:val="00B902D5"/>
    <w:rsid w:val="00B91B90"/>
    <w:rsid w:val="00B921E2"/>
    <w:rsid w:val="00B946BD"/>
    <w:rsid w:val="00B97DCF"/>
    <w:rsid w:val="00BA1C03"/>
    <w:rsid w:val="00BA22DA"/>
    <w:rsid w:val="00BA44ED"/>
    <w:rsid w:val="00BA4648"/>
    <w:rsid w:val="00BA4FC7"/>
    <w:rsid w:val="00BA64F9"/>
    <w:rsid w:val="00BA681B"/>
    <w:rsid w:val="00BB0047"/>
    <w:rsid w:val="00BB0446"/>
    <w:rsid w:val="00BB0548"/>
    <w:rsid w:val="00BB0628"/>
    <w:rsid w:val="00BB0D1A"/>
    <w:rsid w:val="00BB214F"/>
    <w:rsid w:val="00BB27CE"/>
    <w:rsid w:val="00BB2E1B"/>
    <w:rsid w:val="00BB35EB"/>
    <w:rsid w:val="00BB5145"/>
    <w:rsid w:val="00BB5B25"/>
    <w:rsid w:val="00BB60B4"/>
    <w:rsid w:val="00BB639B"/>
    <w:rsid w:val="00BB7A70"/>
    <w:rsid w:val="00BB7DD3"/>
    <w:rsid w:val="00BC01D4"/>
    <w:rsid w:val="00BC16B5"/>
    <w:rsid w:val="00BC4819"/>
    <w:rsid w:val="00BC5A0D"/>
    <w:rsid w:val="00BD0729"/>
    <w:rsid w:val="00BD0D2D"/>
    <w:rsid w:val="00BD12A3"/>
    <w:rsid w:val="00BD2814"/>
    <w:rsid w:val="00BD2D28"/>
    <w:rsid w:val="00BD3F39"/>
    <w:rsid w:val="00BD4483"/>
    <w:rsid w:val="00BD4A31"/>
    <w:rsid w:val="00BD4B43"/>
    <w:rsid w:val="00BD4B58"/>
    <w:rsid w:val="00BD610C"/>
    <w:rsid w:val="00BD6110"/>
    <w:rsid w:val="00BD7636"/>
    <w:rsid w:val="00BE07AC"/>
    <w:rsid w:val="00BE108A"/>
    <w:rsid w:val="00BE218A"/>
    <w:rsid w:val="00BE3E39"/>
    <w:rsid w:val="00BE5FF9"/>
    <w:rsid w:val="00BE74E7"/>
    <w:rsid w:val="00BF00CA"/>
    <w:rsid w:val="00BF039A"/>
    <w:rsid w:val="00BF2CA5"/>
    <w:rsid w:val="00BF349A"/>
    <w:rsid w:val="00BF34C1"/>
    <w:rsid w:val="00BF3F12"/>
    <w:rsid w:val="00BF3F75"/>
    <w:rsid w:val="00BF40F3"/>
    <w:rsid w:val="00BF4333"/>
    <w:rsid w:val="00BF6ACC"/>
    <w:rsid w:val="00C01BDB"/>
    <w:rsid w:val="00C02ACA"/>
    <w:rsid w:val="00C037E6"/>
    <w:rsid w:val="00C03820"/>
    <w:rsid w:val="00C0439C"/>
    <w:rsid w:val="00C04E9A"/>
    <w:rsid w:val="00C0504E"/>
    <w:rsid w:val="00C06905"/>
    <w:rsid w:val="00C10881"/>
    <w:rsid w:val="00C1100B"/>
    <w:rsid w:val="00C119CC"/>
    <w:rsid w:val="00C11C15"/>
    <w:rsid w:val="00C14A0A"/>
    <w:rsid w:val="00C166AA"/>
    <w:rsid w:val="00C16BF0"/>
    <w:rsid w:val="00C17877"/>
    <w:rsid w:val="00C216D9"/>
    <w:rsid w:val="00C21B14"/>
    <w:rsid w:val="00C22237"/>
    <w:rsid w:val="00C22285"/>
    <w:rsid w:val="00C23722"/>
    <w:rsid w:val="00C23995"/>
    <w:rsid w:val="00C23E7D"/>
    <w:rsid w:val="00C2511B"/>
    <w:rsid w:val="00C2588E"/>
    <w:rsid w:val="00C25DA2"/>
    <w:rsid w:val="00C25E34"/>
    <w:rsid w:val="00C27F86"/>
    <w:rsid w:val="00C30420"/>
    <w:rsid w:val="00C33284"/>
    <w:rsid w:val="00C35A64"/>
    <w:rsid w:val="00C35D31"/>
    <w:rsid w:val="00C36AD6"/>
    <w:rsid w:val="00C36B14"/>
    <w:rsid w:val="00C36C5F"/>
    <w:rsid w:val="00C37004"/>
    <w:rsid w:val="00C370D9"/>
    <w:rsid w:val="00C40573"/>
    <w:rsid w:val="00C42445"/>
    <w:rsid w:val="00C424B0"/>
    <w:rsid w:val="00C42614"/>
    <w:rsid w:val="00C42733"/>
    <w:rsid w:val="00C4346A"/>
    <w:rsid w:val="00C438C5"/>
    <w:rsid w:val="00C43E09"/>
    <w:rsid w:val="00C444A1"/>
    <w:rsid w:val="00C4475C"/>
    <w:rsid w:val="00C44B5B"/>
    <w:rsid w:val="00C45446"/>
    <w:rsid w:val="00C462CB"/>
    <w:rsid w:val="00C46B0D"/>
    <w:rsid w:val="00C479B6"/>
    <w:rsid w:val="00C5063C"/>
    <w:rsid w:val="00C50AB7"/>
    <w:rsid w:val="00C51C06"/>
    <w:rsid w:val="00C52A4A"/>
    <w:rsid w:val="00C53CE2"/>
    <w:rsid w:val="00C5479C"/>
    <w:rsid w:val="00C55117"/>
    <w:rsid w:val="00C55366"/>
    <w:rsid w:val="00C55EAE"/>
    <w:rsid w:val="00C56A6E"/>
    <w:rsid w:val="00C57086"/>
    <w:rsid w:val="00C570F3"/>
    <w:rsid w:val="00C609C3"/>
    <w:rsid w:val="00C60D8F"/>
    <w:rsid w:val="00C60DF8"/>
    <w:rsid w:val="00C60FE8"/>
    <w:rsid w:val="00C62853"/>
    <w:rsid w:val="00C635AD"/>
    <w:rsid w:val="00C6560F"/>
    <w:rsid w:val="00C65826"/>
    <w:rsid w:val="00C6680A"/>
    <w:rsid w:val="00C678F7"/>
    <w:rsid w:val="00C702DF"/>
    <w:rsid w:val="00C70C1E"/>
    <w:rsid w:val="00C71311"/>
    <w:rsid w:val="00C713B0"/>
    <w:rsid w:val="00C71550"/>
    <w:rsid w:val="00C718CC"/>
    <w:rsid w:val="00C72CA6"/>
    <w:rsid w:val="00C74EC5"/>
    <w:rsid w:val="00C74F99"/>
    <w:rsid w:val="00C755D7"/>
    <w:rsid w:val="00C76BD9"/>
    <w:rsid w:val="00C76C4F"/>
    <w:rsid w:val="00C80E23"/>
    <w:rsid w:val="00C8118F"/>
    <w:rsid w:val="00C8140E"/>
    <w:rsid w:val="00C81C3B"/>
    <w:rsid w:val="00C82181"/>
    <w:rsid w:val="00C83258"/>
    <w:rsid w:val="00C83328"/>
    <w:rsid w:val="00C83FC4"/>
    <w:rsid w:val="00C84048"/>
    <w:rsid w:val="00C84639"/>
    <w:rsid w:val="00C853DA"/>
    <w:rsid w:val="00C861CD"/>
    <w:rsid w:val="00C8636B"/>
    <w:rsid w:val="00C87E93"/>
    <w:rsid w:val="00C909F7"/>
    <w:rsid w:val="00C91563"/>
    <w:rsid w:val="00C91E4D"/>
    <w:rsid w:val="00C9216D"/>
    <w:rsid w:val="00C92594"/>
    <w:rsid w:val="00C92AF3"/>
    <w:rsid w:val="00C92DA6"/>
    <w:rsid w:val="00C937F1"/>
    <w:rsid w:val="00C94FEE"/>
    <w:rsid w:val="00C95C6B"/>
    <w:rsid w:val="00C969FE"/>
    <w:rsid w:val="00C9720A"/>
    <w:rsid w:val="00CA00D9"/>
    <w:rsid w:val="00CA0A18"/>
    <w:rsid w:val="00CA1EC9"/>
    <w:rsid w:val="00CA219E"/>
    <w:rsid w:val="00CA2436"/>
    <w:rsid w:val="00CA33D7"/>
    <w:rsid w:val="00CA34D3"/>
    <w:rsid w:val="00CA3884"/>
    <w:rsid w:val="00CA3CC8"/>
    <w:rsid w:val="00CA4411"/>
    <w:rsid w:val="00CA44BC"/>
    <w:rsid w:val="00CA47D7"/>
    <w:rsid w:val="00CA7333"/>
    <w:rsid w:val="00CB035A"/>
    <w:rsid w:val="00CB0CE9"/>
    <w:rsid w:val="00CB1224"/>
    <w:rsid w:val="00CB2ECB"/>
    <w:rsid w:val="00CB32EB"/>
    <w:rsid w:val="00CB4A97"/>
    <w:rsid w:val="00CB4DEC"/>
    <w:rsid w:val="00CB57DE"/>
    <w:rsid w:val="00CB5BB1"/>
    <w:rsid w:val="00CB5EC2"/>
    <w:rsid w:val="00CB739B"/>
    <w:rsid w:val="00CB75E3"/>
    <w:rsid w:val="00CB7975"/>
    <w:rsid w:val="00CC1712"/>
    <w:rsid w:val="00CC20D2"/>
    <w:rsid w:val="00CC27C1"/>
    <w:rsid w:val="00CC28BB"/>
    <w:rsid w:val="00CC374C"/>
    <w:rsid w:val="00CC4DB3"/>
    <w:rsid w:val="00CC5318"/>
    <w:rsid w:val="00CC554E"/>
    <w:rsid w:val="00CC6518"/>
    <w:rsid w:val="00CD0055"/>
    <w:rsid w:val="00CD096E"/>
    <w:rsid w:val="00CD224C"/>
    <w:rsid w:val="00CD2BE6"/>
    <w:rsid w:val="00CD34C2"/>
    <w:rsid w:val="00CD4A92"/>
    <w:rsid w:val="00CD4F5E"/>
    <w:rsid w:val="00CD596D"/>
    <w:rsid w:val="00CD7131"/>
    <w:rsid w:val="00CD7CE6"/>
    <w:rsid w:val="00CD7D4F"/>
    <w:rsid w:val="00CE0637"/>
    <w:rsid w:val="00CE29C8"/>
    <w:rsid w:val="00CE3EE8"/>
    <w:rsid w:val="00CE421F"/>
    <w:rsid w:val="00CE5C66"/>
    <w:rsid w:val="00CE62BE"/>
    <w:rsid w:val="00CE7FDE"/>
    <w:rsid w:val="00CF0615"/>
    <w:rsid w:val="00CF127F"/>
    <w:rsid w:val="00CF32A8"/>
    <w:rsid w:val="00CF3E75"/>
    <w:rsid w:val="00CF5FCD"/>
    <w:rsid w:val="00CF67A7"/>
    <w:rsid w:val="00CF72DE"/>
    <w:rsid w:val="00CF7DE9"/>
    <w:rsid w:val="00D01A43"/>
    <w:rsid w:val="00D02316"/>
    <w:rsid w:val="00D03945"/>
    <w:rsid w:val="00D03FD5"/>
    <w:rsid w:val="00D0417F"/>
    <w:rsid w:val="00D042C7"/>
    <w:rsid w:val="00D04A3D"/>
    <w:rsid w:val="00D05074"/>
    <w:rsid w:val="00D0545E"/>
    <w:rsid w:val="00D056A7"/>
    <w:rsid w:val="00D05EE0"/>
    <w:rsid w:val="00D07354"/>
    <w:rsid w:val="00D0773B"/>
    <w:rsid w:val="00D1160F"/>
    <w:rsid w:val="00D13268"/>
    <w:rsid w:val="00D14EAF"/>
    <w:rsid w:val="00D14EB3"/>
    <w:rsid w:val="00D15FCF"/>
    <w:rsid w:val="00D16252"/>
    <w:rsid w:val="00D16757"/>
    <w:rsid w:val="00D17A74"/>
    <w:rsid w:val="00D21ED1"/>
    <w:rsid w:val="00D2211E"/>
    <w:rsid w:val="00D2266E"/>
    <w:rsid w:val="00D229D1"/>
    <w:rsid w:val="00D22C9C"/>
    <w:rsid w:val="00D256C3"/>
    <w:rsid w:val="00D27931"/>
    <w:rsid w:val="00D30988"/>
    <w:rsid w:val="00D32029"/>
    <w:rsid w:val="00D32A2D"/>
    <w:rsid w:val="00D331BA"/>
    <w:rsid w:val="00D33E3F"/>
    <w:rsid w:val="00D3451E"/>
    <w:rsid w:val="00D34793"/>
    <w:rsid w:val="00D35E0B"/>
    <w:rsid w:val="00D36ABF"/>
    <w:rsid w:val="00D373E5"/>
    <w:rsid w:val="00D378A9"/>
    <w:rsid w:val="00D37CF9"/>
    <w:rsid w:val="00D4251E"/>
    <w:rsid w:val="00D42C48"/>
    <w:rsid w:val="00D42E0A"/>
    <w:rsid w:val="00D434FA"/>
    <w:rsid w:val="00D43789"/>
    <w:rsid w:val="00D43B10"/>
    <w:rsid w:val="00D44B91"/>
    <w:rsid w:val="00D44FD4"/>
    <w:rsid w:val="00D45F2F"/>
    <w:rsid w:val="00D46B00"/>
    <w:rsid w:val="00D50937"/>
    <w:rsid w:val="00D51131"/>
    <w:rsid w:val="00D53E8C"/>
    <w:rsid w:val="00D555C5"/>
    <w:rsid w:val="00D5636F"/>
    <w:rsid w:val="00D56F13"/>
    <w:rsid w:val="00D575EE"/>
    <w:rsid w:val="00D57E65"/>
    <w:rsid w:val="00D57F1D"/>
    <w:rsid w:val="00D619DC"/>
    <w:rsid w:val="00D6308F"/>
    <w:rsid w:val="00D634A4"/>
    <w:rsid w:val="00D67193"/>
    <w:rsid w:val="00D67284"/>
    <w:rsid w:val="00D67573"/>
    <w:rsid w:val="00D67F9A"/>
    <w:rsid w:val="00D70FAF"/>
    <w:rsid w:val="00D72FBA"/>
    <w:rsid w:val="00D73569"/>
    <w:rsid w:val="00D73FD5"/>
    <w:rsid w:val="00D7459D"/>
    <w:rsid w:val="00D74F1B"/>
    <w:rsid w:val="00D7665D"/>
    <w:rsid w:val="00D768C3"/>
    <w:rsid w:val="00D77255"/>
    <w:rsid w:val="00D81695"/>
    <w:rsid w:val="00D8229E"/>
    <w:rsid w:val="00D823DB"/>
    <w:rsid w:val="00D8373D"/>
    <w:rsid w:val="00D83F6A"/>
    <w:rsid w:val="00D84B1E"/>
    <w:rsid w:val="00D84E6F"/>
    <w:rsid w:val="00D8577A"/>
    <w:rsid w:val="00D86B61"/>
    <w:rsid w:val="00D92077"/>
    <w:rsid w:val="00D92204"/>
    <w:rsid w:val="00D94C12"/>
    <w:rsid w:val="00D9540E"/>
    <w:rsid w:val="00D9667B"/>
    <w:rsid w:val="00D974FF"/>
    <w:rsid w:val="00D9765E"/>
    <w:rsid w:val="00DA0585"/>
    <w:rsid w:val="00DA0EE4"/>
    <w:rsid w:val="00DA20D3"/>
    <w:rsid w:val="00DA2406"/>
    <w:rsid w:val="00DA27A5"/>
    <w:rsid w:val="00DA2BE3"/>
    <w:rsid w:val="00DA3388"/>
    <w:rsid w:val="00DA36F4"/>
    <w:rsid w:val="00DA4768"/>
    <w:rsid w:val="00DA551D"/>
    <w:rsid w:val="00DA5760"/>
    <w:rsid w:val="00DA59E7"/>
    <w:rsid w:val="00DA6CB1"/>
    <w:rsid w:val="00DA7D22"/>
    <w:rsid w:val="00DB174F"/>
    <w:rsid w:val="00DB4B12"/>
    <w:rsid w:val="00DB6DE9"/>
    <w:rsid w:val="00DB7A01"/>
    <w:rsid w:val="00DC08CA"/>
    <w:rsid w:val="00DC1020"/>
    <w:rsid w:val="00DC1584"/>
    <w:rsid w:val="00DC24C9"/>
    <w:rsid w:val="00DC34EC"/>
    <w:rsid w:val="00DC439C"/>
    <w:rsid w:val="00DC4C13"/>
    <w:rsid w:val="00DC5105"/>
    <w:rsid w:val="00DC6F0F"/>
    <w:rsid w:val="00DD0945"/>
    <w:rsid w:val="00DD14CC"/>
    <w:rsid w:val="00DD1940"/>
    <w:rsid w:val="00DD1943"/>
    <w:rsid w:val="00DD1999"/>
    <w:rsid w:val="00DD23E4"/>
    <w:rsid w:val="00DD4562"/>
    <w:rsid w:val="00DD4737"/>
    <w:rsid w:val="00DD5D14"/>
    <w:rsid w:val="00DD6ABA"/>
    <w:rsid w:val="00DD6D80"/>
    <w:rsid w:val="00DD7E0E"/>
    <w:rsid w:val="00DE1A43"/>
    <w:rsid w:val="00DE1EAB"/>
    <w:rsid w:val="00DE2714"/>
    <w:rsid w:val="00DE2B37"/>
    <w:rsid w:val="00DE42C8"/>
    <w:rsid w:val="00DE5830"/>
    <w:rsid w:val="00DE694E"/>
    <w:rsid w:val="00DE75C3"/>
    <w:rsid w:val="00DF24F4"/>
    <w:rsid w:val="00DF2F1B"/>
    <w:rsid w:val="00DF34D7"/>
    <w:rsid w:val="00DF6399"/>
    <w:rsid w:val="00DF6AEF"/>
    <w:rsid w:val="00DF6FAA"/>
    <w:rsid w:val="00E007F2"/>
    <w:rsid w:val="00E01F49"/>
    <w:rsid w:val="00E04484"/>
    <w:rsid w:val="00E07601"/>
    <w:rsid w:val="00E07C52"/>
    <w:rsid w:val="00E10CCC"/>
    <w:rsid w:val="00E12717"/>
    <w:rsid w:val="00E12B12"/>
    <w:rsid w:val="00E139AB"/>
    <w:rsid w:val="00E13FF4"/>
    <w:rsid w:val="00E148A8"/>
    <w:rsid w:val="00E14CE4"/>
    <w:rsid w:val="00E152AF"/>
    <w:rsid w:val="00E15BF8"/>
    <w:rsid w:val="00E15C8A"/>
    <w:rsid w:val="00E15F92"/>
    <w:rsid w:val="00E16A13"/>
    <w:rsid w:val="00E1723E"/>
    <w:rsid w:val="00E20720"/>
    <w:rsid w:val="00E2205F"/>
    <w:rsid w:val="00E22393"/>
    <w:rsid w:val="00E22397"/>
    <w:rsid w:val="00E23195"/>
    <w:rsid w:val="00E245E3"/>
    <w:rsid w:val="00E24FD0"/>
    <w:rsid w:val="00E30502"/>
    <w:rsid w:val="00E3104C"/>
    <w:rsid w:val="00E31776"/>
    <w:rsid w:val="00E32068"/>
    <w:rsid w:val="00E32133"/>
    <w:rsid w:val="00E339BE"/>
    <w:rsid w:val="00E3405E"/>
    <w:rsid w:val="00E344CA"/>
    <w:rsid w:val="00E34588"/>
    <w:rsid w:val="00E353CA"/>
    <w:rsid w:val="00E35B75"/>
    <w:rsid w:val="00E36D2E"/>
    <w:rsid w:val="00E36E18"/>
    <w:rsid w:val="00E424BA"/>
    <w:rsid w:val="00E439E4"/>
    <w:rsid w:val="00E444CD"/>
    <w:rsid w:val="00E44798"/>
    <w:rsid w:val="00E448D6"/>
    <w:rsid w:val="00E450D2"/>
    <w:rsid w:val="00E45259"/>
    <w:rsid w:val="00E50BA3"/>
    <w:rsid w:val="00E50BBB"/>
    <w:rsid w:val="00E519D9"/>
    <w:rsid w:val="00E536DA"/>
    <w:rsid w:val="00E54486"/>
    <w:rsid w:val="00E54CB6"/>
    <w:rsid w:val="00E57089"/>
    <w:rsid w:val="00E576DE"/>
    <w:rsid w:val="00E57E4B"/>
    <w:rsid w:val="00E57EB7"/>
    <w:rsid w:val="00E603CF"/>
    <w:rsid w:val="00E60777"/>
    <w:rsid w:val="00E60E88"/>
    <w:rsid w:val="00E60EBF"/>
    <w:rsid w:val="00E614A5"/>
    <w:rsid w:val="00E62F8E"/>
    <w:rsid w:val="00E6335C"/>
    <w:rsid w:val="00E63D93"/>
    <w:rsid w:val="00E65068"/>
    <w:rsid w:val="00E667D0"/>
    <w:rsid w:val="00E669A0"/>
    <w:rsid w:val="00E67929"/>
    <w:rsid w:val="00E67FFE"/>
    <w:rsid w:val="00E7086E"/>
    <w:rsid w:val="00E70990"/>
    <w:rsid w:val="00E70BCC"/>
    <w:rsid w:val="00E7189E"/>
    <w:rsid w:val="00E719D7"/>
    <w:rsid w:val="00E7201B"/>
    <w:rsid w:val="00E744EB"/>
    <w:rsid w:val="00E7451D"/>
    <w:rsid w:val="00E759CE"/>
    <w:rsid w:val="00E75A09"/>
    <w:rsid w:val="00E77A74"/>
    <w:rsid w:val="00E80D02"/>
    <w:rsid w:val="00E82846"/>
    <w:rsid w:val="00E8314E"/>
    <w:rsid w:val="00E840B6"/>
    <w:rsid w:val="00E84E3D"/>
    <w:rsid w:val="00E90B96"/>
    <w:rsid w:val="00E91523"/>
    <w:rsid w:val="00E951F1"/>
    <w:rsid w:val="00E96156"/>
    <w:rsid w:val="00EA0EBB"/>
    <w:rsid w:val="00EA1A04"/>
    <w:rsid w:val="00EA3446"/>
    <w:rsid w:val="00EA45D5"/>
    <w:rsid w:val="00EA4CEA"/>
    <w:rsid w:val="00EA6515"/>
    <w:rsid w:val="00EA6C62"/>
    <w:rsid w:val="00EA6D6D"/>
    <w:rsid w:val="00EA6E7A"/>
    <w:rsid w:val="00EB02BA"/>
    <w:rsid w:val="00EB05ED"/>
    <w:rsid w:val="00EB0B1E"/>
    <w:rsid w:val="00EB23E5"/>
    <w:rsid w:val="00EB2545"/>
    <w:rsid w:val="00EB2D59"/>
    <w:rsid w:val="00EB3311"/>
    <w:rsid w:val="00EB42FA"/>
    <w:rsid w:val="00EB4E97"/>
    <w:rsid w:val="00EB6C8D"/>
    <w:rsid w:val="00EB75DF"/>
    <w:rsid w:val="00EC0DB0"/>
    <w:rsid w:val="00EC2533"/>
    <w:rsid w:val="00EC303A"/>
    <w:rsid w:val="00EC315D"/>
    <w:rsid w:val="00EC3848"/>
    <w:rsid w:val="00EC5A5D"/>
    <w:rsid w:val="00EC5AD9"/>
    <w:rsid w:val="00ED03CB"/>
    <w:rsid w:val="00ED0963"/>
    <w:rsid w:val="00ED096D"/>
    <w:rsid w:val="00ED29F7"/>
    <w:rsid w:val="00ED2F04"/>
    <w:rsid w:val="00ED5F79"/>
    <w:rsid w:val="00ED62E1"/>
    <w:rsid w:val="00ED6653"/>
    <w:rsid w:val="00ED6D2C"/>
    <w:rsid w:val="00ED7335"/>
    <w:rsid w:val="00EE06EC"/>
    <w:rsid w:val="00EE0FB4"/>
    <w:rsid w:val="00EE1F59"/>
    <w:rsid w:val="00EE20E3"/>
    <w:rsid w:val="00EE28C1"/>
    <w:rsid w:val="00EE2DC3"/>
    <w:rsid w:val="00EE34F3"/>
    <w:rsid w:val="00EE3F1D"/>
    <w:rsid w:val="00EE42AC"/>
    <w:rsid w:val="00EE4594"/>
    <w:rsid w:val="00EE68DC"/>
    <w:rsid w:val="00EE72F7"/>
    <w:rsid w:val="00EE7CC2"/>
    <w:rsid w:val="00EF0CED"/>
    <w:rsid w:val="00EF19C4"/>
    <w:rsid w:val="00EF201C"/>
    <w:rsid w:val="00EF340A"/>
    <w:rsid w:val="00EF38F5"/>
    <w:rsid w:val="00EF3BC0"/>
    <w:rsid w:val="00EF400E"/>
    <w:rsid w:val="00EF4291"/>
    <w:rsid w:val="00EF51BC"/>
    <w:rsid w:val="00EF5B75"/>
    <w:rsid w:val="00EF71EE"/>
    <w:rsid w:val="00EF7D34"/>
    <w:rsid w:val="00F00FE4"/>
    <w:rsid w:val="00F0138F"/>
    <w:rsid w:val="00F021DA"/>
    <w:rsid w:val="00F05134"/>
    <w:rsid w:val="00F05BBB"/>
    <w:rsid w:val="00F05D99"/>
    <w:rsid w:val="00F0754E"/>
    <w:rsid w:val="00F07829"/>
    <w:rsid w:val="00F10958"/>
    <w:rsid w:val="00F10993"/>
    <w:rsid w:val="00F1109D"/>
    <w:rsid w:val="00F114A3"/>
    <w:rsid w:val="00F12982"/>
    <w:rsid w:val="00F13E7B"/>
    <w:rsid w:val="00F14120"/>
    <w:rsid w:val="00F16654"/>
    <w:rsid w:val="00F17A84"/>
    <w:rsid w:val="00F17FC0"/>
    <w:rsid w:val="00F21966"/>
    <w:rsid w:val="00F21E32"/>
    <w:rsid w:val="00F22471"/>
    <w:rsid w:val="00F2363C"/>
    <w:rsid w:val="00F23D70"/>
    <w:rsid w:val="00F270D6"/>
    <w:rsid w:val="00F27360"/>
    <w:rsid w:val="00F27BBA"/>
    <w:rsid w:val="00F27F60"/>
    <w:rsid w:val="00F30B8A"/>
    <w:rsid w:val="00F31A17"/>
    <w:rsid w:val="00F32018"/>
    <w:rsid w:val="00F32A5E"/>
    <w:rsid w:val="00F32CEF"/>
    <w:rsid w:val="00F3304D"/>
    <w:rsid w:val="00F35061"/>
    <w:rsid w:val="00F35347"/>
    <w:rsid w:val="00F3586C"/>
    <w:rsid w:val="00F359BF"/>
    <w:rsid w:val="00F36278"/>
    <w:rsid w:val="00F3631C"/>
    <w:rsid w:val="00F36C5F"/>
    <w:rsid w:val="00F371F2"/>
    <w:rsid w:val="00F4028D"/>
    <w:rsid w:val="00F40949"/>
    <w:rsid w:val="00F410EE"/>
    <w:rsid w:val="00F41229"/>
    <w:rsid w:val="00F41B21"/>
    <w:rsid w:val="00F41DCD"/>
    <w:rsid w:val="00F41F5E"/>
    <w:rsid w:val="00F42BA7"/>
    <w:rsid w:val="00F42D33"/>
    <w:rsid w:val="00F42D50"/>
    <w:rsid w:val="00F4429A"/>
    <w:rsid w:val="00F45916"/>
    <w:rsid w:val="00F46703"/>
    <w:rsid w:val="00F47277"/>
    <w:rsid w:val="00F47456"/>
    <w:rsid w:val="00F47578"/>
    <w:rsid w:val="00F519F4"/>
    <w:rsid w:val="00F53363"/>
    <w:rsid w:val="00F53726"/>
    <w:rsid w:val="00F538A5"/>
    <w:rsid w:val="00F53A05"/>
    <w:rsid w:val="00F5401B"/>
    <w:rsid w:val="00F57038"/>
    <w:rsid w:val="00F57C9F"/>
    <w:rsid w:val="00F60D1E"/>
    <w:rsid w:val="00F62F9E"/>
    <w:rsid w:val="00F63676"/>
    <w:rsid w:val="00F640B5"/>
    <w:rsid w:val="00F64FA4"/>
    <w:rsid w:val="00F65A3E"/>
    <w:rsid w:val="00F66168"/>
    <w:rsid w:val="00F679BF"/>
    <w:rsid w:val="00F67AC7"/>
    <w:rsid w:val="00F67EBE"/>
    <w:rsid w:val="00F70A30"/>
    <w:rsid w:val="00F70B16"/>
    <w:rsid w:val="00F70D53"/>
    <w:rsid w:val="00F71E4D"/>
    <w:rsid w:val="00F72192"/>
    <w:rsid w:val="00F73697"/>
    <w:rsid w:val="00F74063"/>
    <w:rsid w:val="00F75254"/>
    <w:rsid w:val="00F75DFF"/>
    <w:rsid w:val="00F76560"/>
    <w:rsid w:val="00F76ADB"/>
    <w:rsid w:val="00F7704E"/>
    <w:rsid w:val="00F80EE9"/>
    <w:rsid w:val="00F80F61"/>
    <w:rsid w:val="00F81C32"/>
    <w:rsid w:val="00F831D3"/>
    <w:rsid w:val="00F836EE"/>
    <w:rsid w:val="00F84AA8"/>
    <w:rsid w:val="00F84F37"/>
    <w:rsid w:val="00F85164"/>
    <w:rsid w:val="00F86BF6"/>
    <w:rsid w:val="00F91548"/>
    <w:rsid w:val="00F92ABC"/>
    <w:rsid w:val="00F932CA"/>
    <w:rsid w:val="00F932D3"/>
    <w:rsid w:val="00F93BB1"/>
    <w:rsid w:val="00F941AD"/>
    <w:rsid w:val="00F94B3B"/>
    <w:rsid w:val="00F94FEC"/>
    <w:rsid w:val="00F9704F"/>
    <w:rsid w:val="00F978D4"/>
    <w:rsid w:val="00F97CE8"/>
    <w:rsid w:val="00F97FE5"/>
    <w:rsid w:val="00FA1CC5"/>
    <w:rsid w:val="00FA1D7F"/>
    <w:rsid w:val="00FA2346"/>
    <w:rsid w:val="00FA27A2"/>
    <w:rsid w:val="00FA37C6"/>
    <w:rsid w:val="00FA4C7A"/>
    <w:rsid w:val="00FA510A"/>
    <w:rsid w:val="00FA5930"/>
    <w:rsid w:val="00FA5E6B"/>
    <w:rsid w:val="00FA7E67"/>
    <w:rsid w:val="00FB01BA"/>
    <w:rsid w:val="00FB0633"/>
    <w:rsid w:val="00FB072D"/>
    <w:rsid w:val="00FB0A60"/>
    <w:rsid w:val="00FB3D93"/>
    <w:rsid w:val="00FB4020"/>
    <w:rsid w:val="00FB5042"/>
    <w:rsid w:val="00FB5707"/>
    <w:rsid w:val="00FB5D0F"/>
    <w:rsid w:val="00FB73CA"/>
    <w:rsid w:val="00FB7EA7"/>
    <w:rsid w:val="00FC0049"/>
    <w:rsid w:val="00FC02CB"/>
    <w:rsid w:val="00FC0A3C"/>
    <w:rsid w:val="00FC15E0"/>
    <w:rsid w:val="00FC1ADC"/>
    <w:rsid w:val="00FC2FE7"/>
    <w:rsid w:val="00FC385C"/>
    <w:rsid w:val="00FC39FD"/>
    <w:rsid w:val="00FC3C94"/>
    <w:rsid w:val="00FC3D16"/>
    <w:rsid w:val="00FC4ABD"/>
    <w:rsid w:val="00FC5794"/>
    <w:rsid w:val="00FC67B7"/>
    <w:rsid w:val="00FD0439"/>
    <w:rsid w:val="00FD0DD7"/>
    <w:rsid w:val="00FD0EA0"/>
    <w:rsid w:val="00FD147E"/>
    <w:rsid w:val="00FD4182"/>
    <w:rsid w:val="00FD7E01"/>
    <w:rsid w:val="00FE0526"/>
    <w:rsid w:val="00FE108D"/>
    <w:rsid w:val="00FE199B"/>
    <w:rsid w:val="00FE2C65"/>
    <w:rsid w:val="00FE2D13"/>
    <w:rsid w:val="00FE2D65"/>
    <w:rsid w:val="00FE3304"/>
    <w:rsid w:val="00FE43A7"/>
    <w:rsid w:val="00FE4440"/>
    <w:rsid w:val="00FE47EC"/>
    <w:rsid w:val="00FF211F"/>
    <w:rsid w:val="00FF2F50"/>
    <w:rsid w:val="00FF4CE0"/>
    <w:rsid w:val="00FF6411"/>
    <w:rsid w:val="00FF6D36"/>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color="white" on="f"/>
      <v:stroke on="f"/>
    </o:shapedefaults>
    <o:shapelayout v:ext="edit">
      <o:idmap v:ext="edit" data="1"/>
    </o:shapelayout>
  </w:shapeDefaults>
  <w:decimalSymbol w:val=","/>
  <w:listSeparator w:val=";"/>
  <w14:docId w14:val="604632D5"/>
  <w15:docId w15:val="{E4BBF6A0-5053-4387-85E2-85E908C54D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zh-TW"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99" w:unhideWhenUsed="1"/>
    <w:lsdException w:name="footnote text" w:semiHidden="1" w:uiPriority="99" w:unhideWhenUsed="1" w:qFormat="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iPriority="99"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D7636"/>
    <w:pPr>
      <w:spacing w:before="120"/>
      <w:jc w:val="both"/>
    </w:pPr>
    <w:rPr>
      <w:rFonts w:ascii="Arial" w:hAnsi="Arial"/>
      <w:sz w:val="22"/>
      <w:szCs w:val="24"/>
      <w:lang w:eastAsia="es-ES"/>
    </w:rPr>
  </w:style>
  <w:style w:type="paragraph" w:styleId="Ttulo1">
    <w:name w:val="heading 1"/>
    <w:aliases w:val="Edgar 1,Título 1-BCN"/>
    <w:basedOn w:val="Normal"/>
    <w:next w:val="Normal"/>
    <w:link w:val="Ttulo1Car"/>
    <w:qFormat/>
    <w:rsid w:val="00ED03CB"/>
    <w:pPr>
      <w:keepNext/>
      <w:spacing w:before="240" w:after="60"/>
      <w:outlineLvl w:val="0"/>
    </w:pPr>
    <w:rPr>
      <w:rFonts w:ascii="Cambria" w:hAnsi="Cambria"/>
      <w:b/>
      <w:bCs/>
      <w:kern w:val="32"/>
      <w:sz w:val="32"/>
      <w:szCs w:val="32"/>
    </w:rPr>
  </w:style>
  <w:style w:type="paragraph" w:styleId="Ttulo2">
    <w:name w:val="heading 2"/>
    <w:aliases w:val="Edgar 2,Título 2 -BCN,Título 2 DTS,título 2,2 headline,morcheba Car,morcheba,titulo 11"/>
    <w:basedOn w:val="Normal"/>
    <w:next w:val="Normal"/>
    <w:link w:val="Ttulo2Car"/>
    <w:unhideWhenUsed/>
    <w:qFormat/>
    <w:rsid w:val="0006528A"/>
    <w:pPr>
      <w:keepNext/>
      <w:keepLines/>
      <w:numPr>
        <w:numId w:val="1"/>
      </w:numPr>
      <w:spacing w:before="200"/>
      <w:outlineLvl w:val="1"/>
    </w:pPr>
    <w:rPr>
      <w:b/>
      <w:bCs/>
      <w:szCs w:val="26"/>
    </w:rPr>
  </w:style>
  <w:style w:type="paragraph" w:styleId="Ttulo3">
    <w:name w:val="heading 3"/>
    <w:aliases w:val="Edgar 3,1.1.1Título 3,Título 3-BCN"/>
    <w:basedOn w:val="Normal"/>
    <w:next w:val="Normal"/>
    <w:link w:val="Ttulo3Car"/>
    <w:unhideWhenUsed/>
    <w:qFormat/>
    <w:rsid w:val="000E0E33"/>
    <w:pPr>
      <w:keepNext/>
      <w:spacing w:before="240" w:after="60"/>
      <w:outlineLvl w:val="2"/>
    </w:pPr>
    <w:rPr>
      <w:rFonts w:ascii="Cambria" w:hAnsi="Cambria"/>
      <w:b/>
      <w:bCs/>
      <w:sz w:val="26"/>
      <w:szCs w:val="26"/>
    </w:rPr>
  </w:style>
  <w:style w:type="paragraph" w:styleId="Ttulo4">
    <w:name w:val="heading 4"/>
    <w:aliases w:val="Título 4 - BCN,4 dash,d,3"/>
    <w:basedOn w:val="Normal"/>
    <w:next w:val="Normal"/>
    <w:link w:val="Ttulo4Car"/>
    <w:qFormat/>
    <w:rsid w:val="00D44FD4"/>
    <w:pPr>
      <w:keepNext/>
      <w:spacing w:before="0"/>
      <w:outlineLvl w:val="3"/>
    </w:pPr>
    <w:rPr>
      <w:rFonts w:cs="Arial"/>
      <w:b/>
      <w:bCs/>
      <w:sz w:val="24"/>
      <w:szCs w:val="20"/>
      <w:lang w:val="es-CO"/>
    </w:rPr>
  </w:style>
  <w:style w:type="paragraph" w:styleId="Ttulo5">
    <w:name w:val="heading 5"/>
    <w:aliases w:val="Título 5-BCN"/>
    <w:basedOn w:val="Normal"/>
    <w:next w:val="Normal"/>
    <w:link w:val="Ttulo5Car"/>
    <w:qFormat/>
    <w:rsid w:val="00D44FD4"/>
    <w:pPr>
      <w:keepNext/>
      <w:spacing w:before="0"/>
      <w:outlineLvl w:val="4"/>
    </w:pPr>
    <w:rPr>
      <w:rFonts w:cs="Arial"/>
      <w:b/>
      <w:bCs/>
      <w:sz w:val="24"/>
      <w:lang w:val="es-CO"/>
    </w:rPr>
  </w:style>
  <w:style w:type="paragraph" w:styleId="Ttulo6">
    <w:name w:val="heading 6"/>
    <w:aliases w:val="Título 6-BCN"/>
    <w:basedOn w:val="Normal"/>
    <w:next w:val="Normal"/>
    <w:link w:val="Ttulo6Car"/>
    <w:qFormat/>
    <w:rsid w:val="00D44FD4"/>
    <w:pPr>
      <w:spacing w:before="240" w:after="60"/>
      <w:outlineLvl w:val="5"/>
    </w:pPr>
    <w:rPr>
      <w:rFonts w:ascii="Times New Roman" w:hAnsi="Times New Roman"/>
      <w:b/>
      <w:bCs/>
      <w:szCs w:val="22"/>
      <w:lang w:val="es-CO" w:eastAsia="es-CO"/>
    </w:rPr>
  </w:style>
  <w:style w:type="paragraph" w:styleId="Ttulo7">
    <w:name w:val="heading 7"/>
    <w:basedOn w:val="Normal"/>
    <w:next w:val="Normal"/>
    <w:link w:val="Ttulo7Car"/>
    <w:qFormat/>
    <w:rsid w:val="00D44FD4"/>
    <w:pPr>
      <w:keepNext/>
      <w:spacing w:before="0"/>
      <w:ind w:left="3420" w:hanging="3420"/>
      <w:outlineLvl w:val="6"/>
    </w:pPr>
    <w:rPr>
      <w:rFonts w:cs="Arial"/>
      <w:color w:val="000000"/>
      <w:sz w:val="24"/>
      <w:szCs w:val="20"/>
      <w:lang w:val="es-CO"/>
    </w:rPr>
  </w:style>
  <w:style w:type="paragraph" w:styleId="Ttulo8">
    <w:name w:val="heading 8"/>
    <w:basedOn w:val="Normal"/>
    <w:next w:val="Normal"/>
    <w:link w:val="Ttulo8Car"/>
    <w:qFormat/>
    <w:rsid w:val="00D44FD4"/>
    <w:pPr>
      <w:keepNext/>
      <w:spacing w:before="0"/>
      <w:outlineLvl w:val="7"/>
    </w:pPr>
    <w:rPr>
      <w:rFonts w:cs="Arial"/>
      <w:b/>
      <w:sz w:val="20"/>
      <w:lang w:val="es-CO"/>
    </w:rPr>
  </w:style>
  <w:style w:type="paragraph" w:styleId="Ttulo9">
    <w:name w:val="heading 9"/>
    <w:basedOn w:val="Normal"/>
    <w:next w:val="Normal"/>
    <w:link w:val="Ttulo9Car"/>
    <w:qFormat/>
    <w:rsid w:val="00D44FD4"/>
    <w:pPr>
      <w:spacing w:before="240" w:after="60"/>
      <w:outlineLvl w:val="8"/>
    </w:pPr>
    <w:rPr>
      <w:rFonts w:cs="Arial"/>
      <w:szCs w:val="22"/>
      <w:lang w:val="es-CO"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Edgar 1 Car,Título 1-BCN Car"/>
    <w:link w:val="Ttulo1"/>
    <w:rsid w:val="00ED03CB"/>
    <w:rPr>
      <w:rFonts w:ascii="Cambria" w:eastAsia="Times New Roman" w:hAnsi="Cambria" w:cs="Times New Roman"/>
      <w:b/>
      <w:bCs/>
      <w:kern w:val="32"/>
      <w:sz w:val="32"/>
      <w:szCs w:val="32"/>
      <w:lang w:val="es-ES" w:eastAsia="es-ES"/>
    </w:rPr>
  </w:style>
  <w:style w:type="character" w:customStyle="1" w:styleId="Ttulo2Car">
    <w:name w:val="Título 2 Car"/>
    <w:aliases w:val="Edgar 2 Car,Título 2 -BCN Car,Título 2 DTS Car,título 2 Car,2 headline Car,morcheba Car Car,morcheba Car1,titulo 11 Car"/>
    <w:link w:val="Ttulo2"/>
    <w:rsid w:val="0006528A"/>
    <w:rPr>
      <w:rFonts w:ascii="Arial" w:hAnsi="Arial"/>
      <w:b/>
      <w:bCs/>
      <w:sz w:val="22"/>
      <w:szCs w:val="26"/>
      <w:lang w:eastAsia="es-ES"/>
    </w:rPr>
  </w:style>
  <w:style w:type="character" w:customStyle="1" w:styleId="Ttulo3Car">
    <w:name w:val="Título 3 Car"/>
    <w:aliases w:val="Edgar 3 Car1,1.1.1Título 3 Car1,Título 3-BCN Car1"/>
    <w:link w:val="Ttulo3"/>
    <w:rsid w:val="000E0E33"/>
    <w:rPr>
      <w:rFonts w:ascii="Cambria" w:hAnsi="Cambria"/>
      <w:b/>
      <w:bCs/>
      <w:sz w:val="26"/>
      <w:szCs w:val="26"/>
      <w:lang w:val="es-ES" w:eastAsia="es-ES"/>
    </w:rPr>
  </w:style>
  <w:style w:type="character" w:styleId="Textoennegrita">
    <w:name w:val="Strong"/>
    <w:uiPriority w:val="22"/>
    <w:qFormat/>
    <w:rsid w:val="00A364C1"/>
    <w:rPr>
      <w:b/>
      <w:bCs/>
    </w:rPr>
  </w:style>
  <w:style w:type="paragraph" w:styleId="NormalWeb">
    <w:name w:val="Normal (Web)"/>
    <w:aliases w:val="Car Car,Car Car Car Car Car Car Car Car Car Car Car Car Car,Normal (Web) Car Car"/>
    <w:basedOn w:val="Normal"/>
    <w:link w:val="NormalWebCar"/>
    <w:uiPriority w:val="99"/>
    <w:qFormat/>
    <w:rsid w:val="003213D0"/>
    <w:pPr>
      <w:spacing w:before="100" w:beforeAutospacing="1" w:after="100" w:afterAutospacing="1"/>
    </w:pPr>
  </w:style>
  <w:style w:type="paragraph" w:customStyle="1" w:styleId="CarCar1Car">
    <w:name w:val="Car Car1 Car"/>
    <w:basedOn w:val="Normal"/>
    <w:rsid w:val="00234876"/>
    <w:pPr>
      <w:spacing w:after="160" w:line="240" w:lineRule="exact"/>
    </w:pPr>
    <w:rPr>
      <w:rFonts w:ascii="Verdana" w:hAnsi="Verdana" w:cs="Verdana"/>
      <w:sz w:val="20"/>
      <w:szCs w:val="20"/>
      <w:lang w:val="en-US" w:eastAsia="en-US"/>
    </w:rPr>
  </w:style>
  <w:style w:type="paragraph" w:customStyle="1" w:styleId="Car">
    <w:name w:val="Car"/>
    <w:basedOn w:val="Normal"/>
    <w:rsid w:val="00D07354"/>
    <w:pPr>
      <w:spacing w:after="160" w:line="240" w:lineRule="exact"/>
    </w:pPr>
    <w:rPr>
      <w:rFonts w:ascii="Verdana" w:hAnsi="Verdana" w:cs="Verdana"/>
      <w:sz w:val="20"/>
      <w:szCs w:val="20"/>
      <w:lang w:val="en-US" w:eastAsia="en-US"/>
    </w:rPr>
  </w:style>
  <w:style w:type="table" w:styleId="Tablaconcuadrcula">
    <w:name w:val="Table Grid"/>
    <w:basedOn w:val="Tablanormal"/>
    <w:uiPriority w:val="59"/>
    <w:rsid w:val="00D056A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1">
    <w:name w:val="Párrafo de lista1"/>
    <w:basedOn w:val="Normal"/>
    <w:link w:val="ListParagraphChar"/>
    <w:qFormat/>
    <w:rsid w:val="00973EA8"/>
    <w:pPr>
      <w:spacing w:after="200" w:line="276" w:lineRule="auto"/>
      <w:ind w:left="720"/>
      <w:contextualSpacing/>
    </w:pPr>
    <w:rPr>
      <w:rFonts w:ascii="Calibri" w:hAnsi="Calibri"/>
      <w:szCs w:val="22"/>
      <w:lang w:eastAsia="en-US"/>
    </w:rPr>
  </w:style>
  <w:style w:type="paragraph" w:styleId="Encabezado">
    <w:name w:val="header"/>
    <w:aliases w:val="Encabezado 2,encabezado,articulo,Encabezado Car Car Car Car Car Car,Encabezado Car Car,Encabezado Car Car Car,Encabezado Car Car Car Car Car,Encabezado Car Car Car Car,Encabezado Car Car Car Car Car Car Car Car,h,Haut de page"/>
    <w:basedOn w:val="Normal"/>
    <w:link w:val="EncabezadoCar"/>
    <w:uiPriority w:val="99"/>
    <w:rsid w:val="006F4099"/>
    <w:rPr>
      <w:sz w:val="20"/>
      <w:szCs w:val="20"/>
    </w:rPr>
  </w:style>
  <w:style w:type="character" w:customStyle="1" w:styleId="EncabezadoCar">
    <w:name w:val="Encabezado Car"/>
    <w:aliases w:val="Encabezado 2 Car1,encabezado Car1,articulo Car1,Encabezado Car Car Car Car Car Car Car1,Encabezado Car Car Car2,Encabezado Car Car Car Car2,Encabezado Car Car Car Car Car Car2,Encabezado Car Car Car Car Car2,h Car2,Haut de page Car"/>
    <w:link w:val="Encabezado"/>
    <w:uiPriority w:val="99"/>
    <w:rsid w:val="00E70990"/>
    <w:rPr>
      <w:lang w:val="es-ES" w:eastAsia="es-ES"/>
    </w:rPr>
  </w:style>
  <w:style w:type="paragraph" w:customStyle="1" w:styleId="Car1">
    <w:name w:val="Car1"/>
    <w:basedOn w:val="Normal"/>
    <w:rsid w:val="00DA7D22"/>
    <w:pPr>
      <w:spacing w:after="160" w:line="240" w:lineRule="exact"/>
    </w:pPr>
    <w:rPr>
      <w:rFonts w:ascii="Verdana" w:hAnsi="Verdana" w:cs="Verdana"/>
      <w:sz w:val="20"/>
      <w:szCs w:val="20"/>
      <w:lang w:val="en-US" w:eastAsia="en-US"/>
    </w:rPr>
  </w:style>
  <w:style w:type="paragraph" w:styleId="Prrafodelista">
    <w:name w:val="List Paragraph"/>
    <w:aliases w:val="Ha,Resume Title,HOJA,Bolita,List Paragraph,Párrafo de lista4,BOLADEF,Párrafo de lista3,Párrafo de lista21,BOLA,Nivel 1 OS,Colorful List Accent 1,Colorful List - Accent 11,Fluvial1,VIÑETA,VIÑETAS,Párrafo de lista2,Viñetas,List1,LISTA,lp1"/>
    <w:basedOn w:val="Normal"/>
    <w:link w:val="PrrafodelistaCar"/>
    <w:uiPriority w:val="34"/>
    <w:qFormat/>
    <w:rsid w:val="004943ED"/>
    <w:pPr>
      <w:ind w:left="720"/>
    </w:pPr>
    <w:rPr>
      <w:rFonts w:ascii="Calibri" w:eastAsia="Calibri" w:hAnsi="Calibri" w:cs="Calibri"/>
      <w:szCs w:val="22"/>
      <w:lang w:val="es-CO" w:eastAsia="es-CO"/>
    </w:rPr>
  </w:style>
  <w:style w:type="character" w:customStyle="1" w:styleId="TextoindependienteCar1">
    <w:name w:val="Texto independiente Car1"/>
    <w:aliases w:val="bt Car,body text Car,contents Car,body tesx Car"/>
    <w:link w:val="Textoindependiente"/>
    <w:uiPriority w:val="99"/>
    <w:locked/>
    <w:rsid w:val="006C073B"/>
    <w:rPr>
      <w:rFonts w:ascii="Futura Md BT" w:hAnsi="Futura Md BT"/>
      <w:sz w:val="24"/>
      <w:szCs w:val="24"/>
    </w:rPr>
  </w:style>
  <w:style w:type="paragraph" w:styleId="Textoindependiente">
    <w:name w:val="Body Text"/>
    <w:aliases w:val="bt,body text,contents,body tesx"/>
    <w:basedOn w:val="Normal"/>
    <w:link w:val="TextoindependienteCar1"/>
    <w:uiPriority w:val="99"/>
    <w:unhideWhenUsed/>
    <w:rsid w:val="006C073B"/>
    <w:rPr>
      <w:rFonts w:ascii="Futura Md BT" w:hAnsi="Futura Md BT"/>
    </w:rPr>
  </w:style>
  <w:style w:type="character" w:customStyle="1" w:styleId="TextoindependienteCar">
    <w:name w:val="Texto independiente Car"/>
    <w:uiPriority w:val="99"/>
    <w:rsid w:val="006C073B"/>
    <w:rPr>
      <w:sz w:val="24"/>
      <w:szCs w:val="24"/>
      <w:lang w:val="es-ES" w:eastAsia="es-ES"/>
    </w:rPr>
  </w:style>
  <w:style w:type="paragraph" w:styleId="Piedepgina">
    <w:name w:val="footer"/>
    <w:basedOn w:val="Normal"/>
    <w:link w:val="PiedepginaCar"/>
    <w:uiPriority w:val="99"/>
    <w:rsid w:val="00E70990"/>
    <w:pPr>
      <w:tabs>
        <w:tab w:val="center" w:pos="4419"/>
        <w:tab w:val="right" w:pos="8838"/>
      </w:tabs>
    </w:pPr>
  </w:style>
  <w:style w:type="character" w:customStyle="1" w:styleId="PiedepginaCar">
    <w:name w:val="Pie de página Car"/>
    <w:link w:val="Piedepgina"/>
    <w:uiPriority w:val="99"/>
    <w:rsid w:val="00E70990"/>
    <w:rPr>
      <w:sz w:val="24"/>
      <w:szCs w:val="24"/>
      <w:lang w:val="es-ES" w:eastAsia="es-ES"/>
    </w:rPr>
  </w:style>
  <w:style w:type="character" w:styleId="Hipervnculo">
    <w:name w:val="Hyperlink"/>
    <w:uiPriority w:val="99"/>
    <w:rsid w:val="00E70990"/>
    <w:rPr>
      <w:color w:val="0000FF"/>
      <w:u w:val="single"/>
    </w:rPr>
  </w:style>
  <w:style w:type="paragraph" w:styleId="Textodeglobo">
    <w:name w:val="Balloon Text"/>
    <w:basedOn w:val="Normal"/>
    <w:link w:val="TextodegloboCar"/>
    <w:uiPriority w:val="99"/>
    <w:rsid w:val="00C46B0D"/>
    <w:rPr>
      <w:rFonts w:ascii="Tahoma" w:hAnsi="Tahoma"/>
      <w:sz w:val="16"/>
      <w:szCs w:val="16"/>
    </w:rPr>
  </w:style>
  <w:style w:type="character" w:customStyle="1" w:styleId="TextodegloboCar">
    <w:name w:val="Texto de globo Car"/>
    <w:link w:val="Textodeglobo"/>
    <w:uiPriority w:val="99"/>
    <w:rsid w:val="00C46B0D"/>
    <w:rPr>
      <w:rFonts w:ascii="Tahoma" w:hAnsi="Tahoma" w:cs="Tahoma"/>
      <w:sz w:val="16"/>
      <w:szCs w:val="16"/>
      <w:lang w:val="es-ES" w:eastAsia="es-ES"/>
    </w:rPr>
  </w:style>
  <w:style w:type="paragraph" w:styleId="Textonotapie">
    <w:name w:val="footnote text"/>
    <w:aliases w:val="Footnote Text Char Char Char Char Char,Footnote Text Char Char Char Char,Footnote reference,FA Fu,Footnote Text Cha,Footnote Text Char Char Char,FA Fußnotentext,FA Fuﬂnotentext,Footnote Text Char Char,FA Fu Car Car, Car,ft,FA Fu?notentext"/>
    <w:basedOn w:val="Normal"/>
    <w:link w:val="TextonotapieCar"/>
    <w:uiPriority w:val="99"/>
    <w:unhideWhenUsed/>
    <w:qFormat/>
    <w:rsid w:val="00CC6518"/>
    <w:rPr>
      <w:rFonts w:ascii="Calibri" w:eastAsia="Calibri" w:hAnsi="Calibr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 Car,Footnote Text Char Char Char Car,FA Fußnotentext Car,FA Fuﬂnotentext Car,FA Fu Car Car Car,ft Car"/>
    <w:link w:val="Textonotapie"/>
    <w:uiPriority w:val="99"/>
    <w:rsid w:val="00CC6518"/>
    <w:rPr>
      <w:rFonts w:ascii="Calibri" w:eastAsia="Calibri" w:hAnsi="Calibri"/>
      <w:lang w:eastAsia="en-US"/>
    </w:rPr>
  </w:style>
  <w:style w:type="character" w:styleId="Refdenotaalpie">
    <w:name w:val="footnote reference"/>
    <w:aliases w:val="Ref. de nota al pie 2,Texto de nota al pie,FC,Pie de Página,referencia nota al pie,Nota de pie,Texto nota al pie,Appel note de bas de page,Ref,de nota al pie"/>
    <w:uiPriority w:val="99"/>
    <w:unhideWhenUsed/>
    <w:rsid w:val="00CC6518"/>
    <w:rPr>
      <w:vertAlign w:val="superscript"/>
    </w:rPr>
  </w:style>
  <w:style w:type="paragraph" w:customStyle="1" w:styleId="Default">
    <w:name w:val="Default"/>
    <w:link w:val="DefaultCar"/>
    <w:rsid w:val="000E0E33"/>
    <w:pPr>
      <w:autoSpaceDE w:val="0"/>
      <w:autoSpaceDN w:val="0"/>
      <w:adjustRightInd w:val="0"/>
    </w:pPr>
    <w:rPr>
      <w:rFonts w:ascii="Calibri" w:eastAsia="Calibri" w:hAnsi="Calibri" w:cs="Calibri"/>
      <w:color w:val="000000"/>
      <w:sz w:val="24"/>
      <w:szCs w:val="24"/>
      <w:lang w:val="es-CO" w:eastAsia="en-US"/>
    </w:rPr>
  </w:style>
  <w:style w:type="character" w:customStyle="1" w:styleId="apple-converted-space">
    <w:name w:val="apple-converted-space"/>
    <w:rsid w:val="007A1EE7"/>
  </w:style>
  <w:style w:type="paragraph" w:styleId="Descripcin">
    <w:name w:val="caption"/>
    <w:aliases w:val="Tablas, Char Car Car Car,Epígrafe1,Char Car Car Car"/>
    <w:basedOn w:val="Normal"/>
    <w:next w:val="Normal"/>
    <w:link w:val="DescripcinCar"/>
    <w:qFormat/>
    <w:rsid w:val="0028473E"/>
    <w:pPr>
      <w:jc w:val="center"/>
    </w:pPr>
    <w:rPr>
      <w:b/>
      <w:szCs w:val="20"/>
    </w:rPr>
  </w:style>
  <w:style w:type="paragraph" w:styleId="Textosinformato">
    <w:name w:val="Plain Text"/>
    <w:basedOn w:val="Normal"/>
    <w:link w:val="TextosinformatoCar"/>
    <w:uiPriority w:val="99"/>
    <w:unhideWhenUsed/>
    <w:rsid w:val="0028473E"/>
    <w:rPr>
      <w:rFonts w:ascii="Calibri" w:eastAsia="Calibri" w:hAnsi="Calibri"/>
      <w:szCs w:val="22"/>
      <w:lang w:eastAsia="en-US"/>
    </w:rPr>
  </w:style>
  <w:style w:type="character" w:customStyle="1" w:styleId="TextosinformatoCar">
    <w:name w:val="Texto sin formato Car"/>
    <w:link w:val="Textosinformato"/>
    <w:uiPriority w:val="99"/>
    <w:rsid w:val="0028473E"/>
    <w:rPr>
      <w:rFonts w:ascii="Calibri" w:eastAsia="Calibri" w:hAnsi="Calibri"/>
      <w:sz w:val="22"/>
      <w:szCs w:val="22"/>
      <w:lang w:eastAsia="en-US"/>
    </w:rPr>
  </w:style>
  <w:style w:type="character" w:styleId="nfasis">
    <w:name w:val="Emphasis"/>
    <w:uiPriority w:val="20"/>
    <w:qFormat/>
    <w:rsid w:val="0028473E"/>
    <w:rPr>
      <w:i/>
      <w:iCs/>
    </w:rPr>
  </w:style>
  <w:style w:type="paragraph" w:styleId="Sinespaciado">
    <w:name w:val="No Spacing"/>
    <w:aliases w:val="PORTADA"/>
    <w:link w:val="SinespaciadoCar"/>
    <w:uiPriority w:val="1"/>
    <w:qFormat/>
    <w:rsid w:val="00AD3D52"/>
    <w:rPr>
      <w:rFonts w:ascii="Calibri" w:hAnsi="Calibri"/>
      <w:sz w:val="22"/>
      <w:szCs w:val="22"/>
    </w:rPr>
  </w:style>
  <w:style w:type="character" w:customStyle="1" w:styleId="SinespaciadoCar">
    <w:name w:val="Sin espaciado Car"/>
    <w:aliases w:val="PORTADA Car"/>
    <w:link w:val="Sinespaciado"/>
    <w:uiPriority w:val="99"/>
    <w:rsid w:val="00AD3D52"/>
    <w:rPr>
      <w:rFonts w:ascii="Calibri" w:hAnsi="Calibri"/>
      <w:sz w:val="22"/>
      <w:szCs w:val="22"/>
      <w:lang w:bidi="ar-SA"/>
    </w:rPr>
  </w:style>
  <w:style w:type="character" w:styleId="Ttulodellibro">
    <w:name w:val="Book Title"/>
    <w:uiPriority w:val="33"/>
    <w:qFormat/>
    <w:rsid w:val="00AD3D52"/>
    <w:rPr>
      <w:b/>
      <w:bCs/>
      <w:smallCaps/>
      <w:color w:val="215868"/>
      <w:spacing w:val="5"/>
      <w:sz w:val="32"/>
    </w:rPr>
  </w:style>
  <w:style w:type="paragraph" w:styleId="TDC1">
    <w:name w:val="toc 1"/>
    <w:basedOn w:val="Normal"/>
    <w:next w:val="Normal"/>
    <w:autoRedefine/>
    <w:uiPriority w:val="39"/>
    <w:unhideWhenUsed/>
    <w:qFormat/>
    <w:rsid w:val="00B41647"/>
    <w:pPr>
      <w:widowControl w:val="0"/>
      <w:tabs>
        <w:tab w:val="left" w:pos="440"/>
        <w:tab w:val="right" w:leader="dot" w:pos="8828"/>
      </w:tabs>
      <w:spacing w:after="100"/>
    </w:pPr>
    <w:rPr>
      <w:rFonts w:cs="Arial"/>
      <w:b/>
      <w:noProof/>
      <w:szCs w:val="22"/>
      <w:lang w:val="es-CO"/>
    </w:rPr>
  </w:style>
  <w:style w:type="paragraph" w:styleId="TDC2">
    <w:name w:val="toc 2"/>
    <w:basedOn w:val="Normal"/>
    <w:next w:val="Normal"/>
    <w:autoRedefine/>
    <w:uiPriority w:val="39"/>
    <w:unhideWhenUsed/>
    <w:qFormat/>
    <w:rsid w:val="008A7760"/>
    <w:pPr>
      <w:tabs>
        <w:tab w:val="left" w:pos="426"/>
        <w:tab w:val="left" w:pos="567"/>
        <w:tab w:val="left" w:pos="8647"/>
      </w:tabs>
      <w:jc w:val="center"/>
    </w:pPr>
    <w:rPr>
      <w:rFonts w:cs="Arial"/>
      <w:b/>
      <w:bCs/>
      <w:noProof/>
      <w:color w:val="000000" w:themeColor="text1"/>
      <w:szCs w:val="22"/>
      <w:lang w:val="es-ES_tradnl" w:eastAsia="en-US"/>
    </w:rPr>
  </w:style>
  <w:style w:type="paragraph" w:styleId="TDC3">
    <w:name w:val="toc 3"/>
    <w:basedOn w:val="Normal"/>
    <w:next w:val="Normal"/>
    <w:autoRedefine/>
    <w:uiPriority w:val="39"/>
    <w:unhideWhenUsed/>
    <w:qFormat/>
    <w:rsid w:val="00AD3D52"/>
    <w:pPr>
      <w:ind w:left="220"/>
    </w:pPr>
    <w:rPr>
      <w:rFonts w:ascii="Calibri" w:hAnsi="Calibri"/>
      <w:sz w:val="20"/>
      <w:szCs w:val="20"/>
      <w:lang w:val="es-ES_tradnl" w:eastAsia="en-US"/>
    </w:rPr>
  </w:style>
  <w:style w:type="paragraph" w:styleId="TtuloTDC">
    <w:name w:val="TOC Heading"/>
    <w:basedOn w:val="Ttulo1"/>
    <w:next w:val="Normal"/>
    <w:uiPriority w:val="39"/>
    <w:unhideWhenUsed/>
    <w:qFormat/>
    <w:rsid w:val="00ED03CB"/>
    <w:pPr>
      <w:keepLines/>
      <w:spacing w:before="480" w:after="0" w:line="276" w:lineRule="auto"/>
      <w:outlineLvl w:val="9"/>
    </w:pPr>
    <w:rPr>
      <w:color w:val="365F91"/>
      <w:kern w:val="0"/>
      <w:sz w:val="28"/>
      <w:szCs w:val="28"/>
      <w:lang w:val="es-CO" w:eastAsia="es-CO"/>
    </w:rPr>
  </w:style>
  <w:style w:type="paragraph" w:styleId="Ttulo">
    <w:name w:val="Title"/>
    <w:basedOn w:val="Normal"/>
    <w:next w:val="Normal"/>
    <w:link w:val="TtuloCar"/>
    <w:uiPriority w:val="10"/>
    <w:qFormat/>
    <w:rsid w:val="00ED03CB"/>
    <w:pPr>
      <w:spacing w:before="240" w:after="60"/>
      <w:jc w:val="center"/>
      <w:outlineLvl w:val="0"/>
    </w:pPr>
    <w:rPr>
      <w:rFonts w:ascii="Cambria" w:hAnsi="Cambria"/>
      <w:b/>
      <w:bCs/>
      <w:kern w:val="28"/>
      <w:sz w:val="32"/>
      <w:szCs w:val="32"/>
    </w:rPr>
  </w:style>
  <w:style w:type="character" w:customStyle="1" w:styleId="TtuloCar">
    <w:name w:val="Título Car"/>
    <w:link w:val="Ttulo"/>
    <w:uiPriority w:val="10"/>
    <w:rsid w:val="00ED03CB"/>
    <w:rPr>
      <w:rFonts w:ascii="Cambria" w:eastAsia="Times New Roman" w:hAnsi="Cambria" w:cs="Times New Roman"/>
      <w:b/>
      <w:bCs/>
      <w:kern w:val="28"/>
      <w:sz w:val="32"/>
      <w:szCs w:val="32"/>
      <w:lang w:val="es-ES" w:eastAsia="es-ES"/>
    </w:rPr>
  </w:style>
  <w:style w:type="paragraph" w:styleId="TDC4">
    <w:name w:val="toc 4"/>
    <w:basedOn w:val="Normal"/>
    <w:next w:val="Normal"/>
    <w:autoRedefine/>
    <w:uiPriority w:val="39"/>
    <w:unhideWhenUsed/>
    <w:rsid w:val="005342C1"/>
    <w:pPr>
      <w:spacing w:after="100" w:line="276" w:lineRule="auto"/>
      <w:ind w:left="660"/>
    </w:pPr>
    <w:rPr>
      <w:rFonts w:asciiTheme="minorHAnsi" w:eastAsiaTheme="minorEastAsia" w:hAnsiTheme="minorHAnsi" w:cstheme="minorBidi"/>
      <w:szCs w:val="22"/>
      <w:lang w:val="es-CO" w:eastAsia="es-CO"/>
    </w:rPr>
  </w:style>
  <w:style w:type="paragraph" w:styleId="TDC5">
    <w:name w:val="toc 5"/>
    <w:basedOn w:val="Normal"/>
    <w:next w:val="Normal"/>
    <w:autoRedefine/>
    <w:uiPriority w:val="39"/>
    <w:unhideWhenUsed/>
    <w:rsid w:val="005342C1"/>
    <w:pPr>
      <w:spacing w:after="100" w:line="276" w:lineRule="auto"/>
      <w:ind w:left="880"/>
    </w:pPr>
    <w:rPr>
      <w:rFonts w:asciiTheme="minorHAnsi" w:eastAsiaTheme="minorEastAsia" w:hAnsiTheme="minorHAnsi" w:cstheme="minorBidi"/>
      <w:szCs w:val="22"/>
      <w:lang w:val="es-CO" w:eastAsia="es-CO"/>
    </w:rPr>
  </w:style>
  <w:style w:type="paragraph" w:styleId="TDC6">
    <w:name w:val="toc 6"/>
    <w:basedOn w:val="Normal"/>
    <w:next w:val="Normal"/>
    <w:autoRedefine/>
    <w:uiPriority w:val="39"/>
    <w:unhideWhenUsed/>
    <w:rsid w:val="005342C1"/>
    <w:pPr>
      <w:spacing w:after="100" w:line="276" w:lineRule="auto"/>
      <w:ind w:left="1100"/>
    </w:pPr>
    <w:rPr>
      <w:rFonts w:asciiTheme="minorHAnsi" w:eastAsiaTheme="minorEastAsia" w:hAnsiTheme="minorHAnsi" w:cstheme="minorBidi"/>
      <w:szCs w:val="22"/>
      <w:lang w:val="es-CO" w:eastAsia="es-CO"/>
    </w:rPr>
  </w:style>
  <w:style w:type="paragraph" w:styleId="TDC7">
    <w:name w:val="toc 7"/>
    <w:basedOn w:val="Normal"/>
    <w:next w:val="Normal"/>
    <w:autoRedefine/>
    <w:uiPriority w:val="39"/>
    <w:unhideWhenUsed/>
    <w:rsid w:val="005342C1"/>
    <w:pPr>
      <w:spacing w:after="100" w:line="276" w:lineRule="auto"/>
      <w:ind w:left="1320"/>
    </w:pPr>
    <w:rPr>
      <w:rFonts w:asciiTheme="minorHAnsi" w:eastAsiaTheme="minorEastAsia" w:hAnsiTheme="minorHAnsi" w:cstheme="minorBidi"/>
      <w:szCs w:val="22"/>
      <w:lang w:val="es-CO" w:eastAsia="es-CO"/>
    </w:rPr>
  </w:style>
  <w:style w:type="paragraph" w:styleId="TDC8">
    <w:name w:val="toc 8"/>
    <w:basedOn w:val="Normal"/>
    <w:next w:val="Normal"/>
    <w:autoRedefine/>
    <w:uiPriority w:val="39"/>
    <w:unhideWhenUsed/>
    <w:rsid w:val="005342C1"/>
    <w:pPr>
      <w:spacing w:after="100" w:line="276" w:lineRule="auto"/>
      <w:ind w:left="1540"/>
    </w:pPr>
    <w:rPr>
      <w:rFonts w:asciiTheme="minorHAnsi" w:eastAsiaTheme="minorEastAsia" w:hAnsiTheme="minorHAnsi" w:cstheme="minorBidi"/>
      <w:szCs w:val="22"/>
      <w:lang w:val="es-CO" w:eastAsia="es-CO"/>
    </w:rPr>
  </w:style>
  <w:style w:type="paragraph" w:styleId="TDC9">
    <w:name w:val="toc 9"/>
    <w:basedOn w:val="Normal"/>
    <w:next w:val="Normal"/>
    <w:autoRedefine/>
    <w:uiPriority w:val="39"/>
    <w:unhideWhenUsed/>
    <w:rsid w:val="005342C1"/>
    <w:pPr>
      <w:spacing w:after="100" w:line="276" w:lineRule="auto"/>
      <w:ind w:left="1760"/>
    </w:pPr>
    <w:rPr>
      <w:rFonts w:asciiTheme="minorHAnsi" w:eastAsiaTheme="minorEastAsia" w:hAnsiTheme="minorHAnsi" w:cstheme="minorBidi"/>
      <w:szCs w:val="22"/>
      <w:lang w:val="es-CO" w:eastAsia="es-CO"/>
    </w:rPr>
  </w:style>
  <w:style w:type="paragraph" w:customStyle="1" w:styleId="Body1">
    <w:name w:val="Body 1"/>
    <w:rsid w:val="00650824"/>
    <w:rPr>
      <w:rFonts w:ascii="Helvetica" w:eastAsia="ヒラギノ角ゴ Pro W3" w:hAnsi="Helvetica"/>
      <w:color w:val="000000"/>
      <w:sz w:val="24"/>
      <w:lang w:val="en-US" w:eastAsia="es-CO"/>
    </w:rPr>
  </w:style>
  <w:style w:type="character" w:customStyle="1" w:styleId="PrrafodelistaCar">
    <w:name w:val="Párrafo de lista Car"/>
    <w:aliases w:val="Ha Car,Resume Title Car,HOJA Car,Bolita Car,List Paragraph Car,Párrafo de lista4 Car,BOLADEF Car,Párrafo de lista3 Car,Párrafo de lista21 Car,BOLA Car,Nivel 1 OS Car,Colorful List Accent 1 Car,Colorful List - Accent 11 Car,List1 Car"/>
    <w:basedOn w:val="Fuentedeprrafopredeter"/>
    <w:link w:val="Prrafodelista"/>
    <w:uiPriority w:val="34"/>
    <w:qFormat/>
    <w:locked/>
    <w:rsid w:val="009E50E4"/>
    <w:rPr>
      <w:rFonts w:ascii="Calibri" w:eastAsia="Calibri" w:hAnsi="Calibri" w:cs="Calibri"/>
      <w:sz w:val="22"/>
      <w:szCs w:val="22"/>
      <w:lang w:val="es-CO" w:eastAsia="es-CO"/>
    </w:rPr>
  </w:style>
  <w:style w:type="character" w:customStyle="1" w:styleId="Ttulo4Car">
    <w:name w:val="Título 4 Car"/>
    <w:aliases w:val="Título 4 - BCN Car,4 dash Car,d Car,3 Car"/>
    <w:basedOn w:val="Fuentedeprrafopredeter"/>
    <w:link w:val="Ttulo4"/>
    <w:rsid w:val="00D44FD4"/>
    <w:rPr>
      <w:rFonts w:ascii="Arial" w:hAnsi="Arial" w:cs="Arial"/>
      <w:b/>
      <w:bCs/>
      <w:sz w:val="24"/>
      <w:lang w:val="es-CO" w:eastAsia="es-ES"/>
    </w:rPr>
  </w:style>
  <w:style w:type="character" w:customStyle="1" w:styleId="Ttulo5Car">
    <w:name w:val="Título 5 Car"/>
    <w:aliases w:val="Título 5-BCN Car"/>
    <w:basedOn w:val="Fuentedeprrafopredeter"/>
    <w:link w:val="Ttulo5"/>
    <w:rsid w:val="00D44FD4"/>
    <w:rPr>
      <w:rFonts w:ascii="Arial" w:hAnsi="Arial" w:cs="Arial"/>
      <w:b/>
      <w:bCs/>
      <w:sz w:val="24"/>
      <w:szCs w:val="24"/>
      <w:lang w:val="es-CO" w:eastAsia="es-ES"/>
    </w:rPr>
  </w:style>
  <w:style w:type="character" w:customStyle="1" w:styleId="Ttulo6Car">
    <w:name w:val="Título 6 Car"/>
    <w:aliases w:val="Título 6-BCN Car"/>
    <w:basedOn w:val="Fuentedeprrafopredeter"/>
    <w:link w:val="Ttulo6"/>
    <w:rsid w:val="00D44FD4"/>
    <w:rPr>
      <w:b/>
      <w:bCs/>
      <w:sz w:val="22"/>
      <w:szCs w:val="22"/>
      <w:lang w:val="es-CO" w:eastAsia="es-CO"/>
    </w:rPr>
  </w:style>
  <w:style w:type="character" w:customStyle="1" w:styleId="Ttulo7Car">
    <w:name w:val="Título 7 Car"/>
    <w:basedOn w:val="Fuentedeprrafopredeter"/>
    <w:link w:val="Ttulo7"/>
    <w:rsid w:val="00D44FD4"/>
    <w:rPr>
      <w:rFonts w:ascii="Arial" w:hAnsi="Arial" w:cs="Arial"/>
      <w:color w:val="000000"/>
      <w:sz w:val="24"/>
      <w:lang w:val="es-CO" w:eastAsia="es-ES"/>
    </w:rPr>
  </w:style>
  <w:style w:type="character" w:customStyle="1" w:styleId="Ttulo8Car">
    <w:name w:val="Título 8 Car"/>
    <w:basedOn w:val="Fuentedeprrafopredeter"/>
    <w:link w:val="Ttulo8"/>
    <w:rsid w:val="00D44FD4"/>
    <w:rPr>
      <w:rFonts w:ascii="Arial" w:hAnsi="Arial" w:cs="Arial"/>
      <w:b/>
      <w:szCs w:val="24"/>
      <w:lang w:val="es-CO" w:eastAsia="es-ES"/>
    </w:rPr>
  </w:style>
  <w:style w:type="character" w:customStyle="1" w:styleId="Ttulo9Car">
    <w:name w:val="Título 9 Car"/>
    <w:basedOn w:val="Fuentedeprrafopredeter"/>
    <w:link w:val="Ttulo9"/>
    <w:rsid w:val="00D44FD4"/>
    <w:rPr>
      <w:rFonts w:ascii="Arial" w:hAnsi="Arial" w:cs="Arial"/>
      <w:sz w:val="22"/>
      <w:szCs w:val="22"/>
      <w:lang w:val="es-CO" w:eastAsia="es-CO"/>
    </w:rPr>
  </w:style>
  <w:style w:type="paragraph" w:customStyle="1" w:styleId="titulo1">
    <w:name w:val="titulo 1"/>
    <w:basedOn w:val="Normal"/>
    <w:link w:val="titulo1Car"/>
    <w:rsid w:val="00D44FD4"/>
    <w:pPr>
      <w:tabs>
        <w:tab w:val="num" w:pos="360"/>
      </w:tabs>
      <w:spacing w:before="0"/>
    </w:pPr>
    <w:rPr>
      <w:rFonts w:ascii="Swis721 Md BT" w:hAnsi="Swis721 Md BT"/>
      <w:b/>
      <w:sz w:val="24"/>
    </w:rPr>
  </w:style>
  <w:style w:type="paragraph" w:customStyle="1" w:styleId="titulo2">
    <w:name w:val="titulo 2"/>
    <w:basedOn w:val="Normal"/>
    <w:rsid w:val="00D44FD4"/>
    <w:pPr>
      <w:tabs>
        <w:tab w:val="num" w:pos="360"/>
      </w:tabs>
      <w:spacing w:before="0"/>
    </w:pPr>
    <w:rPr>
      <w:rFonts w:ascii="Swis721 Md BT" w:hAnsi="Swis721 Md BT"/>
      <w:b/>
      <w:sz w:val="24"/>
    </w:rPr>
  </w:style>
  <w:style w:type="paragraph" w:customStyle="1" w:styleId="titulo30">
    <w:name w:val="titulo 3"/>
    <w:basedOn w:val="Normal"/>
    <w:rsid w:val="00D44FD4"/>
    <w:pPr>
      <w:tabs>
        <w:tab w:val="num" w:pos="360"/>
      </w:tabs>
      <w:spacing w:before="0"/>
    </w:pPr>
    <w:rPr>
      <w:rFonts w:ascii="Swis721 Md BT" w:hAnsi="Swis721 Md BT"/>
      <w:b/>
      <w:sz w:val="24"/>
    </w:rPr>
  </w:style>
  <w:style w:type="numbering" w:customStyle="1" w:styleId="Sinlista1">
    <w:name w:val="Sin lista1"/>
    <w:next w:val="Sinlista"/>
    <w:semiHidden/>
    <w:unhideWhenUsed/>
    <w:rsid w:val="00D44FD4"/>
  </w:style>
  <w:style w:type="paragraph" w:customStyle="1" w:styleId="CarCarCar1CarCarCarCarCarCarCarCarCarCarCarCarCar">
    <w:name w:val="Car Car Car1 Car Car Car Car Car Car Car Car Car Car Car Car Car"/>
    <w:basedOn w:val="Normal"/>
    <w:rsid w:val="00D44FD4"/>
    <w:pPr>
      <w:spacing w:before="0" w:after="160" w:line="240" w:lineRule="exact"/>
    </w:pPr>
    <w:rPr>
      <w:rFonts w:ascii="Verdana" w:hAnsi="Verdana"/>
      <w:sz w:val="20"/>
      <w:lang w:val="en-US" w:eastAsia="en-US"/>
    </w:rPr>
  </w:style>
  <w:style w:type="table" w:customStyle="1" w:styleId="Tablaconcuadrcula1">
    <w:name w:val="Tabla con cuadrícula1"/>
    <w:basedOn w:val="Tablanormal"/>
    <w:next w:val="Tablaconcuadrcula"/>
    <w:uiPriority w:val="59"/>
    <w:rsid w:val="00D44FD4"/>
    <w:pPr>
      <w:jc w:val="both"/>
    </w:pPr>
    <w:rPr>
      <w:lang w:val="es-CO" w:eastAsia="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3detindependiente">
    <w:name w:val="Body Text Indent 3"/>
    <w:basedOn w:val="Normal"/>
    <w:link w:val="Sangra3detindependienteCar"/>
    <w:rsid w:val="00D44FD4"/>
    <w:pPr>
      <w:spacing w:before="0" w:after="120"/>
      <w:ind w:left="283"/>
    </w:pPr>
    <w:rPr>
      <w:rFonts w:ascii="Futura Md BT" w:hAnsi="Futura Md BT"/>
      <w:sz w:val="16"/>
      <w:szCs w:val="16"/>
    </w:rPr>
  </w:style>
  <w:style w:type="character" w:customStyle="1" w:styleId="Sangra3detindependienteCar">
    <w:name w:val="Sangría 3 de t. independiente Car"/>
    <w:basedOn w:val="Fuentedeprrafopredeter"/>
    <w:link w:val="Sangra3detindependiente"/>
    <w:rsid w:val="00D44FD4"/>
    <w:rPr>
      <w:rFonts w:ascii="Futura Md BT" w:hAnsi="Futura Md BT"/>
      <w:sz w:val="16"/>
      <w:szCs w:val="16"/>
      <w:lang w:eastAsia="es-ES"/>
    </w:rPr>
  </w:style>
  <w:style w:type="paragraph" w:customStyle="1" w:styleId="Car4CarCarCar">
    <w:name w:val="Car4 Car Car Car"/>
    <w:basedOn w:val="Normal"/>
    <w:rsid w:val="00D44FD4"/>
    <w:pPr>
      <w:spacing w:before="0" w:after="160" w:line="240" w:lineRule="exact"/>
    </w:pPr>
    <w:rPr>
      <w:rFonts w:ascii="Verdana" w:eastAsia="MS Mincho" w:hAnsi="Verdana"/>
      <w:sz w:val="20"/>
      <w:szCs w:val="20"/>
      <w:lang w:eastAsia="en-US"/>
    </w:rPr>
  </w:style>
  <w:style w:type="paragraph" w:customStyle="1" w:styleId="Style1">
    <w:name w:val="Style 1"/>
    <w:basedOn w:val="Normal"/>
    <w:rsid w:val="00D44FD4"/>
    <w:pPr>
      <w:widowControl w:val="0"/>
      <w:spacing w:before="0"/>
      <w:ind w:left="144" w:right="72"/>
    </w:pPr>
    <w:rPr>
      <w:rFonts w:ascii="Times New Roman" w:hAnsi="Times New Roman"/>
      <w:color w:val="000000"/>
      <w:kern w:val="1"/>
      <w:sz w:val="20"/>
      <w:szCs w:val="20"/>
      <w:lang w:eastAsia="en-US"/>
    </w:rPr>
  </w:style>
  <w:style w:type="paragraph" w:styleId="Sangra2detindependiente">
    <w:name w:val="Body Text Indent 2"/>
    <w:basedOn w:val="Normal"/>
    <w:link w:val="Sangra2detindependienteCar"/>
    <w:rsid w:val="00D44FD4"/>
    <w:pPr>
      <w:spacing w:before="0" w:after="120" w:line="480" w:lineRule="auto"/>
      <w:ind w:left="283"/>
    </w:pPr>
    <w:rPr>
      <w:rFonts w:ascii="Times New Roman" w:hAnsi="Times New Roman"/>
      <w:sz w:val="24"/>
    </w:rPr>
  </w:style>
  <w:style w:type="character" w:customStyle="1" w:styleId="Sangra2detindependienteCar">
    <w:name w:val="Sangría 2 de t. independiente Car"/>
    <w:basedOn w:val="Fuentedeprrafopredeter"/>
    <w:link w:val="Sangra2detindependiente"/>
    <w:rsid w:val="00D44FD4"/>
    <w:rPr>
      <w:sz w:val="24"/>
      <w:szCs w:val="24"/>
      <w:lang w:eastAsia="es-ES"/>
    </w:rPr>
  </w:style>
  <w:style w:type="character" w:styleId="Nmerodepgina">
    <w:name w:val="page number"/>
    <w:basedOn w:val="Fuentedeprrafopredeter"/>
    <w:rsid w:val="00D44FD4"/>
  </w:style>
  <w:style w:type="paragraph" w:customStyle="1" w:styleId="StdTOC1">
    <w:name w:val="Std TOC1"/>
    <w:basedOn w:val="Default"/>
    <w:next w:val="Default"/>
    <w:rsid w:val="00D44FD4"/>
    <w:pPr>
      <w:autoSpaceDE/>
      <w:autoSpaceDN/>
      <w:adjustRightInd/>
      <w:spacing w:after="120"/>
      <w:jc w:val="both"/>
    </w:pPr>
    <w:rPr>
      <w:rFonts w:ascii="Times New Roman" w:eastAsia="Times New Roman" w:hAnsi="Times New Roman" w:cs="Times New Roman"/>
      <w:snapToGrid w:val="0"/>
      <w:color w:val="auto"/>
      <w:szCs w:val="20"/>
      <w:lang w:val="es-ES" w:eastAsia="es-ES"/>
    </w:rPr>
  </w:style>
  <w:style w:type="paragraph" w:customStyle="1" w:styleId="StdTOC2Char">
    <w:name w:val="Std TOC2 Char"/>
    <w:basedOn w:val="Default"/>
    <w:next w:val="Default"/>
    <w:rsid w:val="00D44FD4"/>
    <w:pPr>
      <w:autoSpaceDE/>
      <w:autoSpaceDN/>
      <w:adjustRightInd/>
      <w:spacing w:before="120" w:after="120"/>
      <w:jc w:val="both"/>
    </w:pPr>
    <w:rPr>
      <w:rFonts w:ascii="Times New Roman" w:eastAsia="Times New Roman" w:hAnsi="Times New Roman" w:cs="Times New Roman"/>
      <w:snapToGrid w:val="0"/>
      <w:color w:val="auto"/>
      <w:szCs w:val="20"/>
      <w:lang w:val="es-ES" w:eastAsia="es-ES"/>
    </w:rPr>
  </w:style>
  <w:style w:type="paragraph" w:customStyle="1" w:styleId="StdIndicator">
    <w:name w:val="Std Indicator"/>
    <w:basedOn w:val="Default"/>
    <w:next w:val="Default"/>
    <w:rsid w:val="00D44FD4"/>
    <w:pPr>
      <w:autoSpaceDE/>
      <w:autoSpaceDN/>
      <w:adjustRightInd/>
      <w:spacing w:before="120" w:after="120"/>
      <w:jc w:val="both"/>
    </w:pPr>
    <w:rPr>
      <w:rFonts w:ascii="Times New Roman" w:eastAsia="Times New Roman" w:hAnsi="Times New Roman" w:cs="Times New Roman"/>
      <w:snapToGrid w:val="0"/>
      <w:color w:val="auto"/>
      <w:szCs w:val="20"/>
      <w:lang w:val="es-ES" w:eastAsia="es-ES"/>
    </w:rPr>
  </w:style>
  <w:style w:type="paragraph" w:customStyle="1" w:styleId="StdTOC2">
    <w:name w:val="Std TOC2"/>
    <w:basedOn w:val="Default"/>
    <w:next w:val="Default"/>
    <w:rsid w:val="00D44FD4"/>
    <w:pPr>
      <w:autoSpaceDE/>
      <w:autoSpaceDN/>
      <w:adjustRightInd/>
      <w:spacing w:before="120" w:after="120"/>
      <w:jc w:val="both"/>
    </w:pPr>
    <w:rPr>
      <w:rFonts w:ascii="Times New Roman" w:eastAsia="Times New Roman" w:hAnsi="Times New Roman" w:cs="Times New Roman"/>
      <w:snapToGrid w:val="0"/>
      <w:color w:val="auto"/>
      <w:szCs w:val="20"/>
      <w:lang w:val="es-ES" w:eastAsia="es-ES"/>
    </w:rPr>
  </w:style>
  <w:style w:type="paragraph" w:customStyle="1" w:styleId="EstiloTtulo1Justificado">
    <w:name w:val="Estilo Título 1 + Justificado"/>
    <w:basedOn w:val="Ttulo1"/>
    <w:autoRedefine/>
    <w:rsid w:val="00D44FD4"/>
    <w:pPr>
      <w:numPr>
        <w:numId w:val="2"/>
      </w:numPr>
      <w:spacing w:before="0" w:after="0"/>
      <w:jc w:val="left"/>
    </w:pPr>
    <w:rPr>
      <w:rFonts w:ascii="Arial" w:eastAsia="Calibri" w:hAnsi="Arial"/>
      <w:color w:val="000000" w:themeColor="text1"/>
      <w:sz w:val="22"/>
      <w:szCs w:val="20"/>
      <w:lang w:val="es-MX"/>
    </w:rPr>
  </w:style>
  <w:style w:type="paragraph" w:styleId="Tabladeilustraciones">
    <w:name w:val="table of figures"/>
    <w:basedOn w:val="Normal"/>
    <w:next w:val="Normal"/>
    <w:semiHidden/>
    <w:rsid w:val="00D44FD4"/>
    <w:pPr>
      <w:spacing w:before="0"/>
      <w:ind w:left="480" w:hanging="480"/>
    </w:pPr>
    <w:rPr>
      <w:rFonts w:ascii="Times New Roman" w:hAnsi="Times New Roman"/>
      <w:sz w:val="24"/>
      <w:lang w:val="es-CO"/>
    </w:rPr>
  </w:style>
  <w:style w:type="character" w:customStyle="1" w:styleId="EstiloArial">
    <w:name w:val="Estilo Arial"/>
    <w:rsid w:val="00D44FD4"/>
    <w:rPr>
      <w:rFonts w:ascii="Arial" w:hAnsi="Arial"/>
      <w:sz w:val="24"/>
    </w:rPr>
  </w:style>
  <w:style w:type="character" w:styleId="Hipervnculovisitado">
    <w:name w:val="FollowedHyperlink"/>
    <w:uiPriority w:val="99"/>
    <w:rsid w:val="00D44FD4"/>
    <w:rPr>
      <w:color w:val="800080"/>
      <w:u w:val="single"/>
    </w:rPr>
  </w:style>
  <w:style w:type="paragraph" w:customStyle="1" w:styleId="titulo4">
    <w:name w:val="titulo 4"/>
    <w:basedOn w:val="Normal"/>
    <w:rsid w:val="00D44FD4"/>
    <w:pPr>
      <w:spacing w:before="0"/>
    </w:pPr>
    <w:rPr>
      <w:rFonts w:ascii="Swis721 Md BT" w:hAnsi="Swis721 Md BT"/>
      <w:b/>
      <w:sz w:val="24"/>
      <w:lang w:val="es-CO"/>
    </w:rPr>
  </w:style>
  <w:style w:type="paragraph" w:styleId="Textoindependiente3">
    <w:name w:val="Body Text 3"/>
    <w:basedOn w:val="Normal"/>
    <w:link w:val="Textoindependiente3Car"/>
    <w:rsid w:val="00D44FD4"/>
    <w:pPr>
      <w:spacing w:before="0" w:after="120"/>
    </w:pPr>
    <w:rPr>
      <w:rFonts w:ascii="Times New Roman" w:hAnsi="Times New Roman"/>
      <w:sz w:val="16"/>
      <w:szCs w:val="16"/>
      <w:lang w:val="es-CO" w:eastAsia="es-CO"/>
    </w:rPr>
  </w:style>
  <w:style w:type="character" w:customStyle="1" w:styleId="Textoindependiente3Car">
    <w:name w:val="Texto independiente 3 Car"/>
    <w:basedOn w:val="Fuentedeprrafopredeter"/>
    <w:link w:val="Textoindependiente3"/>
    <w:rsid w:val="00D44FD4"/>
    <w:rPr>
      <w:sz w:val="16"/>
      <w:szCs w:val="16"/>
      <w:lang w:val="es-CO" w:eastAsia="es-CO"/>
    </w:rPr>
  </w:style>
  <w:style w:type="paragraph" w:styleId="ndice1">
    <w:name w:val="index 1"/>
    <w:basedOn w:val="Normal"/>
    <w:next w:val="Normal"/>
    <w:autoRedefine/>
    <w:semiHidden/>
    <w:rsid w:val="00D44FD4"/>
    <w:pPr>
      <w:numPr>
        <w:numId w:val="3"/>
      </w:numPr>
      <w:spacing w:before="0"/>
    </w:pPr>
    <w:rPr>
      <w:sz w:val="24"/>
      <w:szCs w:val="20"/>
      <w:lang w:val="es-CO"/>
    </w:rPr>
  </w:style>
  <w:style w:type="paragraph" w:customStyle="1" w:styleId="BodyText32">
    <w:name w:val="Body Text 32"/>
    <w:basedOn w:val="Normal"/>
    <w:rsid w:val="00D44FD4"/>
    <w:pPr>
      <w:widowControl w:val="0"/>
      <w:spacing w:before="0"/>
    </w:pPr>
    <w:rPr>
      <w:sz w:val="24"/>
      <w:szCs w:val="20"/>
      <w:lang w:val="es-CO" w:eastAsia="es-CO"/>
    </w:rPr>
  </w:style>
  <w:style w:type="paragraph" w:styleId="Textoindependiente2">
    <w:name w:val="Body Text 2"/>
    <w:basedOn w:val="Normal"/>
    <w:link w:val="Textoindependiente2Car"/>
    <w:rsid w:val="00D44FD4"/>
    <w:pPr>
      <w:spacing w:before="0" w:after="120" w:line="480" w:lineRule="auto"/>
    </w:pPr>
    <w:rPr>
      <w:rFonts w:ascii="Times New Roman" w:hAnsi="Times New Roman"/>
      <w:sz w:val="24"/>
      <w:lang w:val="es-CO" w:eastAsia="es-CO"/>
    </w:rPr>
  </w:style>
  <w:style w:type="character" w:customStyle="1" w:styleId="Textoindependiente2Car">
    <w:name w:val="Texto independiente 2 Car"/>
    <w:basedOn w:val="Fuentedeprrafopredeter"/>
    <w:link w:val="Textoindependiente2"/>
    <w:rsid w:val="00D44FD4"/>
    <w:rPr>
      <w:sz w:val="24"/>
      <w:szCs w:val="24"/>
      <w:lang w:val="es-CO" w:eastAsia="es-CO"/>
    </w:rPr>
  </w:style>
  <w:style w:type="paragraph" w:styleId="Sangradetextonormal">
    <w:name w:val="Body Text Indent"/>
    <w:basedOn w:val="Normal"/>
    <w:link w:val="SangradetextonormalCar"/>
    <w:rsid w:val="00D44FD4"/>
    <w:pPr>
      <w:spacing w:before="0" w:after="120"/>
      <w:ind w:left="283"/>
    </w:pPr>
    <w:rPr>
      <w:rFonts w:ascii="Times New Roman" w:hAnsi="Times New Roman"/>
      <w:sz w:val="24"/>
      <w:lang w:val="es-CO" w:eastAsia="es-CO"/>
    </w:rPr>
  </w:style>
  <w:style w:type="character" w:customStyle="1" w:styleId="SangradetextonormalCar">
    <w:name w:val="Sangría de texto normal Car"/>
    <w:basedOn w:val="Fuentedeprrafopredeter"/>
    <w:link w:val="Sangradetextonormal"/>
    <w:rsid w:val="00D44FD4"/>
    <w:rPr>
      <w:sz w:val="24"/>
      <w:szCs w:val="24"/>
      <w:lang w:val="es-CO" w:eastAsia="es-CO"/>
    </w:rPr>
  </w:style>
  <w:style w:type="paragraph" w:customStyle="1" w:styleId="xl41">
    <w:name w:val="xl41"/>
    <w:basedOn w:val="Normal"/>
    <w:rsid w:val="00D44FD4"/>
    <w:pPr>
      <w:spacing w:before="100" w:beforeAutospacing="1" w:after="100" w:afterAutospacing="1"/>
    </w:pPr>
    <w:rPr>
      <w:rFonts w:eastAsia="Arial Unicode MS" w:cs="Arial"/>
      <w:b/>
      <w:bCs/>
      <w:sz w:val="24"/>
      <w:lang w:val="es-CO"/>
    </w:rPr>
  </w:style>
  <w:style w:type="paragraph" w:customStyle="1" w:styleId="WW-Predeterminado">
    <w:name w:val="WW-Predeterminado"/>
    <w:rsid w:val="00D44FD4"/>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line="206" w:lineRule="auto"/>
      <w:jc w:val="both"/>
    </w:pPr>
    <w:rPr>
      <w:rFonts w:ascii="Arial Unicode MS" w:eastAsia="Arial Unicode MS" w:hAnsi="Arial Unicode MS" w:cs="Arial Unicode MS"/>
      <w:color w:val="000000"/>
      <w:sz w:val="36"/>
      <w:szCs w:val="36"/>
      <w:lang w:eastAsia="ar-SA"/>
    </w:rPr>
  </w:style>
  <w:style w:type="paragraph" w:customStyle="1" w:styleId="Estilo3">
    <w:name w:val="Estilo3"/>
    <w:basedOn w:val="titulo30"/>
    <w:autoRedefine/>
    <w:rsid w:val="00D44FD4"/>
    <w:pPr>
      <w:tabs>
        <w:tab w:val="clear" w:pos="360"/>
        <w:tab w:val="num" w:pos="1430"/>
      </w:tabs>
      <w:ind w:left="1701" w:hanging="1701"/>
    </w:pPr>
    <w:rPr>
      <w:lang w:val="es-CO"/>
    </w:rPr>
  </w:style>
  <w:style w:type="paragraph" w:customStyle="1" w:styleId="xl25">
    <w:name w:val="xl25"/>
    <w:basedOn w:val="Normal"/>
    <w:rsid w:val="00D44FD4"/>
    <w:pPr>
      <w:spacing w:before="100" w:beforeAutospacing="1" w:after="100" w:afterAutospacing="1"/>
      <w:jc w:val="center"/>
    </w:pPr>
    <w:rPr>
      <w:rFonts w:ascii="Arial Unicode MS" w:eastAsia="Arial Unicode MS" w:hAnsi="Arial Unicode MS" w:cs="Futura Md BT"/>
      <w:sz w:val="24"/>
      <w:lang w:val="es-CO"/>
    </w:rPr>
  </w:style>
  <w:style w:type="paragraph" w:customStyle="1" w:styleId="EstiloTtulo4Ttulo4-BCN4dashd3Cursiva">
    <w:name w:val="Estilo Título 4Título 4 - BCN4 dashd3 + Cursiva"/>
    <w:basedOn w:val="Ttulo4"/>
    <w:autoRedefine/>
    <w:rsid w:val="00D44FD4"/>
    <w:pPr>
      <w:numPr>
        <w:ilvl w:val="3"/>
        <w:numId w:val="11"/>
      </w:numPr>
    </w:pPr>
    <w:rPr>
      <w:iCs/>
    </w:rPr>
  </w:style>
  <w:style w:type="paragraph" w:customStyle="1" w:styleId="Estilotitulo3Arial">
    <w:name w:val="Estilo titulo 3 + Arial"/>
    <w:basedOn w:val="Ttulo4"/>
    <w:rsid w:val="00D44FD4"/>
    <w:pPr>
      <w:numPr>
        <w:ilvl w:val="3"/>
        <w:numId w:val="4"/>
      </w:numPr>
      <w:ind w:left="0" w:firstLine="0"/>
      <w:jc w:val="left"/>
    </w:pPr>
    <w:rPr>
      <w:bCs w:val="0"/>
    </w:rPr>
  </w:style>
  <w:style w:type="paragraph" w:customStyle="1" w:styleId="DefaultText">
    <w:name w:val="Default Text"/>
    <w:basedOn w:val="Normal"/>
    <w:rsid w:val="00D44FD4"/>
    <w:pPr>
      <w:spacing w:before="0"/>
    </w:pPr>
    <w:rPr>
      <w:rFonts w:ascii="Times New Roman" w:hAnsi="Times New Roman"/>
      <w:sz w:val="24"/>
      <w:szCs w:val="20"/>
      <w:lang w:val="es-CO" w:eastAsia="en-US"/>
    </w:rPr>
  </w:style>
  <w:style w:type="paragraph" w:customStyle="1" w:styleId="T22">
    <w:name w:val="T22"/>
    <w:basedOn w:val="Normal"/>
    <w:rsid w:val="00D44FD4"/>
    <w:pPr>
      <w:numPr>
        <w:ilvl w:val="1"/>
        <w:numId w:val="5"/>
      </w:numPr>
      <w:spacing w:before="0"/>
    </w:pPr>
    <w:rPr>
      <w:rFonts w:cs="Arial"/>
      <w:b/>
      <w:bCs/>
      <w:snapToGrid w:val="0"/>
      <w:sz w:val="24"/>
      <w:lang w:val="es-CO"/>
    </w:rPr>
  </w:style>
  <w:style w:type="numbering" w:customStyle="1" w:styleId="Estilo5">
    <w:name w:val="Estilo5"/>
    <w:basedOn w:val="Sinlista"/>
    <w:rsid w:val="00D44FD4"/>
    <w:pPr>
      <w:numPr>
        <w:numId w:val="10"/>
      </w:numPr>
    </w:pPr>
  </w:style>
  <w:style w:type="numbering" w:styleId="111111">
    <w:name w:val="Outline List 2"/>
    <w:basedOn w:val="Sinlista"/>
    <w:rsid w:val="00D44FD4"/>
    <w:pPr>
      <w:numPr>
        <w:numId w:val="6"/>
      </w:numPr>
    </w:pPr>
  </w:style>
  <w:style w:type="numbering" w:customStyle="1" w:styleId="Estilo4">
    <w:name w:val="Estilo4"/>
    <w:rsid w:val="00D44FD4"/>
    <w:pPr>
      <w:numPr>
        <w:numId w:val="9"/>
      </w:numPr>
    </w:pPr>
  </w:style>
  <w:style w:type="numbering" w:customStyle="1" w:styleId="Estilo1">
    <w:name w:val="Estilo1"/>
    <w:uiPriority w:val="99"/>
    <w:rsid w:val="00D44FD4"/>
    <w:pPr>
      <w:numPr>
        <w:numId w:val="7"/>
      </w:numPr>
    </w:pPr>
  </w:style>
  <w:style w:type="numbering" w:customStyle="1" w:styleId="Estilo2">
    <w:name w:val="Estilo2"/>
    <w:rsid w:val="00D44FD4"/>
    <w:pPr>
      <w:numPr>
        <w:numId w:val="8"/>
      </w:numPr>
    </w:pPr>
  </w:style>
  <w:style w:type="paragraph" w:styleId="Mapadeldocumento">
    <w:name w:val="Document Map"/>
    <w:basedOn w:val="Normal"/>
    <w:link w:val="MapadeldocumentoCar"/>
    <w:semiHidden/>
    <w:rsid w:val="00D44FD4"/>
    <w:pPr>
      <w:shd w:val="clear" w:color="auto" w:fill="000080"/>
      <w:spacing w:before="0"/>
    </w:pPr>
    <w:rPr>
      <w:rFonts w:ascii="Tahoma" w:hAnsi="Tahoma" w:cs="Tahoma"/>
      <w:sz w:val="24"/>
      <w:lang w:val="es-CO"/>
    </w:rPr>
  </w:style>
  <w:style w:type="character" w:customStyle="1" w:styleId="MapadeldocumentoCar">
    <w:name w:val="Mapa del documento Car"/>
    <w:basedOn w:val="Fuentedeprrafopredeter"/>
    <w:link w:val="Mapadeldocumento"/>
    <w:semiHidden/>
    <w:rsid w:val="00D44FD4"/>
    <w:rPr>
      <w:rFonts w:ascii="Tahoma" w:hAnsi="Tahoma" w:cs="Tahoma"/>
      <w:sz w:val="24"/>
      <w:szCs w:val="24"/>
      <w:shd w:val="clear" w:color="auto" w:fill="000080"/>
      <w:lang w:val="es-CO" w:eastAsia="es-ES"/>
    </w:rPr>
  </w:style>
  <w:style w:type="paragraph" w:customStyle="1" w:styleId="Vieta1">
    <w:name w:val="Viñeta 1"/>
    <w:basedOn w:val="Encabezado"/>
    <w:autoRedefine/>
    <w:qFormat/>
    <w:rsid w:val="00D44FD4"/>
    <w:pPr>
      <w:spacing w:before="0" w:line="360" w:lineRule="auto"/>
      <w:jc w:val="center"/>
    </w:pPr>
    <w:rPr>
      <w:rFonts w:ascii="Swis721 Md BT" w:hAnsi="Swis721 Md BT"/>
      <w:color w:val="3366FF"/>
      <w:szCs w:val="16"/>
    </w:rPr>
  </w:style>
  <w:style w:type="paragraph" w:styleId="Listaconvietas">
    <w:name w:val="List Bullet"/>
    <w:basedOn w:val="Normal"/>
    <w:autoRedefine/>
    <w:rsid w:val="00D44FD4"/>
    <w:pPr>
      <w:spacing w:before="0"/>
    </w:pPr>
    <w:rPr>
      <w:rFonts w:cs="Arial"/>
      <w:sz w:val="24"/>
      <w:lang w:val="es-ES_tradnl"/>
    </w:rPr>
  </w:style>
  <w:style w:type="paragraph" w:customStyle="1" w:styleId="xl23">
    <w:name w:val="xl23"/>
    <w:basedOn w:val="Normal"/>
    <w:rsid w:val="00D44FD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olor w:val="000000"/>
      <w:sz w:val="12"/>
      <w:szCs w:val="12"/>
    </w:rPr>
  </w:style>
  <w:style w:type="paragraph" w:customStyle="1" w:styleId="xl24">
    <w:name w:val="xl24"/>
    <w:basedOn w:val="Normal"/>
    <w:rsid w:val="00D44FD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olor w:val="000000"/>
      <w:sz w:val="12"/>
      <w:szCs w:val="12"/>
    </w:rPr>
  </w:style>
  <w:style w:type="paragraph" w:customStyle="1" w:styleId="xl26">
    <w:name w:val="xl26"/>
    <w:basedOn w:val="Normal"/>
    <w:rsid w:val="00D44FD4"/>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color w:val="000000"/>
      <w:sz w:val="12"/>
      <w:szCs w:val="12"/>
    </w:rPr>
  </w:style>
  <w:style w:type="paragraph" w:customStyle="1" w:styleId="xl27">
    <w:name w:val="xl27"/>
    <w:basedOn w:val="Normal"/>
    <w:rsid w:val="00D44FD4"/>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olor w:val="000000"/>
      <w:sz w:val="12"/>
      <w:szCs w:val="12"/>
    </w:rPr>
  </w:style>
  <w:style w:type="paragraph" w:customStyle="1" w:styleId="xl28">
    <w:name w:val="xl28"/>
    <w:basedOn w:val="Normal"/>
    <w:rsid w:val="00D44FD4"/>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imes New Roman" w:hAnsi="Times New Roman"/>
      <w:color w:val="000000"/>
      <w:sz w:val="12"/>
      <w:szCs w:val="12"/>
    </w:rPr>
  </w:style>
  <w:style w:type="paragraph" w:customStyle="1" w:styleId="xl29">
    <w:name w:val="xl29"/>
    <w:basedOn w:val="Normal"/>
    <w:rsid w:val="00D44FD4"/>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color w:val="000000"/>
      <w:sz w:val="12"/>
      <w:szCs w:val="12"/>
    </w:rPr>
  </w:style>
  <w:style w:type="paragraph" w:customStyle="1" w:styleId="xl30">
    <w:name w:val="xl30"/>
    <w:basedOn w:val="Normal"/>
    <w:rsid w:val="00D44FD4"/>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color w:val="000000"/>
      <w:sz w:val="12"/>
      <w:szCs w:val="12"/>
    </w:rPr>
  </w:style>
  <w:style w:type="paragraph" w:customStyle="1" w:styleId="xl31">
    <w:name w:val="xl31"/>
    <w:basedOn w:val="Normal"/>
    <w:rsid w:val="00D44FD4"/>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color w:val="000000"/>
      <w:sz w:val="12"/>
      <w:szCs w:val="12"/>
    </w:rPr>
  </w:style>
  <w:style w:type="paragraph" w:customStyle="1" w:styleId="xl32">
    <w:name w:val="xl32"/>
    <w:basedOn w:val="Normal"/>
    <w:rsid w:val="00D44FD4"/>
    <w:pPr>
      <w:pBdr>
        <w:top w:val="single" w:sz="4" w:space="0" w:color="auto"/>
        <w:left w:val="single" w:sz="4" w:space="0" w:color="auto"/>
        <w:bottom w:val="single" w:sz="8" w:space="0" w:color="auto"/>
        <w:right w:val="single" w:sz="4" w:space="0" w:color="auto"/>
      </w:pBdr>
      <w:spacing w:before="100" w:beforeAutospacing="1" w:after="100" w:afterAutospacing="1"/>
      <w:jc w:val="right"/>
      <w:textAlignment w:val="center"/>
    </w:pPr>
    <w:rPr>
      <w:rFonts w:ascii="Times New Roman" w:hAnsi="Times New Roman"/>
      <w:color w:val="000000"/>
      <w:sz w:val="12"/>
      <w:szCs w:val="12"/>
    </w:rPr>
  </w:style>
  <w:style w:type="paragraph" w:customStyle="1" w:styleId="xl33">
    <w:name w:val="xl33"/>
    <w:basedOn w:val="Normal"/>
    <w:rsid w:val="00D44FD4"/>
    <w:pPr>
      <w:pBdr>
        <w:top w:val="single" w:sz="4" w:space="0" w:color="auto"/>
        <w:left w:val="single" w:sz="4" w:space="0" w:color="auto"/>
        <w:bottom w:val="single" w:sz="8" w:space="0" w:color="auto"/>
        <w:right w:val="single" w:sz="4" w:space="0" w:color="auto"/>
      </w:pBdr>
      <w:spacing w:before="100" w:beforeAutospacing="1" w:after="100" w:afterAutospacing="1"/>
      <w:jc w:val="right"/>
      <w:textAlignment w:val="center"/>
    </w:pPr>
    <w:rPr>
      <w:rFonts w:ascii="Times New Roman" w:hAnsi="Times New Roman"/>
      <w:color w:val="000000"/>
      <w:sz w:val="12"/>
      <w:szCs w:val="12"/>
    </w:rPr>
  </w:style>
  <w:style w:type="paragraph" w:customStyle="1" w:styleId="xl34">
    <w:name w:val="xl34"/>
    <w:basedOn w:val="Normal"/>
    <w:rsid w:val="00D44FD4"/>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Times New Roman" w:hAnsi="Times New Roman"/>
      <w:color w:val="000000"/>
      <w:sz w:val="12"/>
      <w:szCs w:val="12"/>
    </w:rPr>
  </w:style>
  <w:style w:type="paragraph" w:customStyle="1" w:styleId="xl35">
    <w:name w:val="xl35"/>
    <w:basedOn w:val="Normal"/>
    <w:rsid w:val="00D44FD4"/>
    <w:pPr>
      <w:pBdr>
        <w:left w:val="single" w:sz="8"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olor w:val="000000"/>
      <w:sz w:val="12"/>
      <w:szCs w:val="12"/>
    </w:rPr>
  </w:style>
  <w:style w:type="paragraph" w:customStyle="1" w:styleId="xl36">
    <w:name w:val="xl36"/>
    <w:basedOn w:val="Normal"/>
    <w:rsid w:val="00D44FD4"/>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olor w:val="000000"/>
      <w:sz w:val="12"/>
      <w:szCs w:val="12"/>
    </w:rPr>
  </w:style>
  <w:style w:type="paragraph" w:customStyle="1" w:styleId="xl37">
    <w:name w:val="xl37"/>
    <w:basedOn w:val="Normal"/>
    <w:rsid w:val="00D44FD4"/>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olor w:val="000000"/>
      <w:sz w:val="12"/>
      <w:szCs w:val="12"/>
    </w:rPr>
  </w:style>
  <w:style w:type="paragraph" w:customStyle="1" w:styleId="xl38">
    <w:name w:val="xl38"/>
    <w:basedOn w:val="Normal"/>
    <w:rsid w:val="00D44FD4"/>
    <w:pPr>
      <w:pBdr>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color w:val="000000"/>
      <w:sz w:val="12"/>
      <w:szCs w:val="12"/>
    </w:rPr>
  </w:style>
  <w:style w:type="paragraph" w:customStyle="1" w:styleId="xl39">
    <w:name w:val="xl39"/>
    <w:basedOn w:val="Normal"/>
    <w:rsid w:val="00D44FD4"/>
    <w:pPr>
      <w:pBdr>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color w:val="000000"/>
      <w:sz w:val="12"/>
      <w:szCs w:val="12"/>
    </w:rPr>
  </w:style>
  <w:style w:type="paragraph" w:customStyle="1" w:styleId="xl40">
    <w:name w:val="xl40"/>
    <w:basedOn w:val="Normal"/>
    <w:rsid w:val="00D44FD4"/>
    <w:pPr>
      <w:pBdr>
        <w:left w:val="single" w:sz="4" w:space="0" w:color="auto"/>
        <w:bottom w:val="single" w:sz="4" w:space="0" w:color="auto"/>
        <w:right w:val="single" w:sz="8" w:space="0" w:color="auto"/>
      </w:pBdr>
      <w:spacing w:before="100" w:beforeAutospacing="1" w:after="100" w:afterAutospacing="1"/>
      <w:jc w:val="center"/>
      <w:textAlignment w:val="center"/>
    </w:pPr>
    <w:rPr>
      <w:rFonts w:ascii="Times New Roman" w:hAnsi="Times New Roman"/>
      <w:color w:val="000000"/>
      <w:sz w:val="12"/>
      <w:szCs w:val="12"/>
    </w:rPr>
  </w:style>
  <w:style w:type="paragraph" w:customStyle="1" w:styleId="xl42">
    <w:name w:val="xl42"/>
    <w:basedOn w:val="Normal"/>
    <w:rsid w:val="00D44FD4"/>
    <w:pPr>
      <w:pBdr>
        <w:top w:val="single" w:sz="8" w:space="0" w:color="auto"/>
        <w:left w:val="single" w:sz="4" w:space="0" w:color="auto"/>
        <w:bottom w:val="single" w:sz="8" w:space="0" w:color="auto"/>
        <w:right w:val="single" w:sz="4" w:space="0" w:color="auto"/>
      </w:pBdr>
      <w:shd w:val="clear" w:color="auto" w:fill="C0C0C0"/>
      <w:spacing w:before="100" w:beforeAutospacing="1" w:after="100" w:afterAutospacing="1"/>
      <w:jc w:val="center"/>
      <w:textAlignment w:val="center"/>
    </w:pPr>
    <w:rPr>
      <w:rFonts w:ascii="Times New Roman" w:hAnsi="Times New Roman"/>
      <w:color w:val="000000"/>
      <w:sz w:val="14"/>
      <w:szCs w:val="14"/>
    </w:rPr>
  </w:style>
  <w:style w:type="paragraph" w:customStyle="1" w:styleId="xl43">
    <w:name w:val="xl43"/>
    <w:basedOn w:val="Normal"/>
    <w:rsid w:val="00D44FD4"/>
    <w:pPr>
      <w:pBdr>
        <w:top w:val="single" w:sz="8" w:space="0" w:color="auto"/>
        <w:left w:val="single" w:sz="4" w:space="0" w:color="auto"/>
        <w:bottom w:val="single" w:sz="8" w:space="0" w:color="auto"/>
        <w:right w:val="single" w:sz="8" w:space="0" w:color="auto"/>
      </w:pBdr>
      <w:shd w:val="clear" w:color="auto" w:fill="C0C0C0"/>
      <w:spacing w:before="100" w:beforeAutospacing="1" w:after="100" w:afterAutospacing="1"/>
      <w:jc w:val="center"/>
      <w:textAlignment w:val="center"/>
    </w:pPr>
    <w:rPr>
      <w:rFonts w:ascii="Times New Roman" w:hAnsi="Times New Roman"/>
      <w:color w:val="000000"/>
      <w:sz w:val="14"/>
      <w:szCs w:val="14"/>
    </w:rPr>
  </w:style>
  <w:style w:type="paragraph" w:customStyle="1" w:styleId="xl44">
    <w:name w:val="xl44"/>
    <w:basedOn w:val="Normal"/>
    <w:rsid w:val="00D44FD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Arial"/>
      <w:color w:val="000000"/>
      <w:sz w:val="12"/>
      <w:szCs w:val="12"/>
    </w:rPr>
  </w:style>
  <w:style w:type="paragraph" w:customStyle="1" w:styleId="Subtitle2">
    <w:name w:val="Subtitle 2"/>
    <w:basedOn w:val="Subttulo"/>
    <w:next w:val="Normal"/>
    <w:rsid w:val="00D44FD4"/>
    <w:pPr>
      <w:tabs>
        <w:tab w:val="left" w:pos="567"/>
      </w:tabs>
      <w:spacing w:after="0"/>
      <w:ind w:left="567" w:hanging="737"/>
      <w:jc w:val="both"/>
    </w:pPr>
    <w:rPr>
      <w:color w:val="000000"/>
      <w:sz w:val="20"/>
      <w:szCs w:val="20"/>
    </w:rPr>
  </w:style>
  <w:style w:type="paragraph" w:styleId="Subttulo">
    <w:name w:val="Subtitle"/>
    <w:basedOn w:val="Normal"/>
    <w:link w:val="SubttuloCar"/>
    <w:uiPriority w:val="11"/>
    <w:qFormat/>
    <w:rsid w:val="00D44FD4"/>
    <w:pPr>
      <w:spacing w:before="0" w:after="60"/>
      <w:jc w:val="center"/>
      <w:outlineLvl w:val="1"/>
    </w:pPr>
    <w:rPr>
      <w:rFonts w:cs="Arial"/>
      <w:sz w:val="24"/>
      <w:lang w:val="es-CO"/>
    </w:rPr>
  </w:style>
  <w:style w:type="character" w:customStyle="1" w:styleId="SubttuloCar">
    <w:name w:val="Subtítulo Car"/>
    <w:basedOn w:val="Fuentedeprrafopredeter"/>
    <w:link w:val="Subttulo"/>
    <w:uiPriority w:val="11"/>
    <w:rsid w:val="00D44FD4"/>
    <w:rPr>
      <w:rFonts w:ascii="Arial" w:hAnsi="Arial" w:cs="Arial"/>
      <w:sz w:val="24"/>
      <w:szCs w:val="24"/>
      <w:lang w:val="es-CO" w:eastAsia="es-ES"/>
    </w:rPr>
  </w:style>
  <w:style w:type="paragraph" w:customStyle="1" w:styleId="Portada1">
    <w:name w:val="Portada 1"/>
    <w:basedOn w:val="Normal"/>
    <w:rsid w:val="00D44FD4"/>
    <w:pPr>
      <w:spacing w:before="0"/>
      <w:jc w:val="center"/>
    </w:pPr>
    <w:rPr>
      <w:b/>
      <w:sz w:val="24"/>
      <w:szCs w:val="20"/>
    </w:rPr>
  </w:style>
  <w:style w:type="character" w:styleId="Refdecomentario">
    <w:name w:val="annotation reference"/>
    <w:rsid w:val="00D44FD4"/>
    <w:rPr>
      <w:sz w:val="16"/>
      <w:szCs w:val="16"/>
    </w:rPr>
  </w:style>
  <w:style w:type="paragraph" w:styleId="Textocomentario">
    <w:name w:val="annotation text"/>
    <w:basedOn w:val="Normal"/>
    <w:link w:val="TextocomentarioCar"/>
    <w:rsid w:val="00D44FD4"/>
    <w:pPr>
      <w:spacing w:before="0"/>
    </w:pPr>
    <w:rPr>
      <w:rFonts w:ascii="Times New Roman" w:hAnsi="Times New Roman"/>
      <w:sz w:val="20"/>
      <w:szCs w:val="20"/>
      <w:lang w:val="es-CO"/>
    </w:rPr>
  </w:style>
  <w:style w:type="character" w:customStyle="1" w:styleId="TextocomentarioCar">
    <w:name w:val="Texto comentario Car"/>
    <w:basedOn w:val="Fuentedeprrafopredeter"/>
    <w:link w:val="Textocomentario"/>
    <w:rsid w:val="00D44FD4"/>
    <w:rPr>
      <w:lang w:val="es-CO" w:eastAsia="es-ES"/>
    </w:rPr>
  </w:style>
  <w:style w:type="paragraph" w:styleId="Asuntodelcomentario">
    <w:name w:val="annotation subject"/>
    <w:basedOn w:val="Textocomentario"/>
    <w:next w:val="Textocomentario"/>
    <w:link w:val="AsuntodelcomentarioCar"/>
    <w:semiHidden/>
    <w:rsid w:val="00D44FD4"/>
    <w:rPr>
      <w:b/>
      <w:bCs/>
    </w:rPr>
  </w:style>
  <w:style w:type="character" w:customStyle="1" w:styleId="AsuntodelcomentarioCar">
    <w:name w:val="Asunto del comentario Car"/>
    <w:basedOn w:val="TextocomentarioCar"/>
    <w:link w:val="Asuntodelcomentario"/>
    <w:semiHidden/>
    <w:rsid w:val="00D44FD4"/>
    <w:rPr>
      <w:b/>
      <w:bCs/>
      <w:lang w:val="es-CO" w:eastAsia="es-ES"/>
    </w:rPr>
  </w:style>
  <w:style w:type="character" w:customStyle="1" w:styleId="titulo1Car">
    <w:name w:val="titulo 1 Car"/>
    <w:link w:val="titulo1"/>
    <w:rsid w:val="00D44FD4"/>
    <w:rPr>
      <w:rFonts w:ascii="Swis721 Md BT" w:hAnsi="Swis721 Md BT"/>
      <w:b/>
      <w:sz w:val="24"/>
      <w:szCs w:val="24"/>
      <w:lang w:eastAsia="es-ES"/>
    </w:rPr>
  </w:style>
  <w:style w:type="paragraph" w:customStyle="1" w:styleId="CarCarCar1CarCarCarCarCarCarCarCarCarCarCarCarCarCarCarCar">
    <w:name w:val="Car Car Car1 Car Car Car Car Car Car Car Car Car Car Car Car Car Car Car Car"/>
    <w:basedOn w:val="Normal"/>
    <w:rsid w:val="00D44FD4"/>
    <w:pPr>
      <w:spacing w:before="0" w:after="160" w:line="240" w:lineRule="exact"/>
    </w:pPr>
    <w:rPr>
      <w:rFonts w:ascii="Verdana" w:hAnsi="Verdana"/>
      <w:sz w:val="20"/>
      <w:lang w:val="en-US" w:eastAsia="en-US"/>
    </w:rPr>
  </w:style>
  <w:style w:type="paragraph" w:customStyle="1" w:styleId="EstiloFranklinGothicMediumNegritaAntes12ptoDespus61">
    <w:name w:val="Estilo Franklin Gothic Medium Negrita Antes:  12 pto Después:  6 ...1"/>
    <w:basedOn w:val="Normal"/>
    <w:rsid w:val="00D44FD4"/>
    <w:pPr>
      <w:numPr>
        <w:numId w:val="12"/>
      </w:numPr>
      <w:overflowPunct w:val="0"/>
      <w:autoSpaceDE w:val="0"/>
      <w:autoSpaceDN w:val="0"/>
      <w:adjustRightInd w:val="0"/>
      <w:spacing w:before="180" w:after="120"/>
      <w:textAlignment w:val="baseline"/>
    </w:pPr>
    <w:rPr>
      <w:rFonts w:ascii="Franklin Gothic Medium" w:hAnsi="Franklin Gothic Medium"/>
      <w:b/>
      <w:bCs/>
      <w:sz w:val="24"/>
      <w:szCs w:val="20"/>
      <w:lang w:val="es-CO"/>
    </w:rPr>
  </w:style>
  <w:style w:type="table" w:styleId="Tablaconcuadrcula10">
    <w:name w:val="Table Grid 1"/>
    <w:basedOn w:val="Tablanormal"/>
    <w:rsid w:val="00D44FD4"/>
    <w:pPr>
      <w:jc w:val="both"/>
    </w:pPr>
    <w:rPr>
      <w:lang w:val="es-CO" w:eastAsia="es-C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aprofesional">
    <w:name w:val="Table Professional"/>
    <w:basedOn w:val="Tablanormal"/>
    <w:rsid w:val="00D44FD4"/>
    <w:pPr>
      <w:jc w:val="both"/>
    </w:pPr>
    <w:rPr>
      <w:lang w:val="es-CO" w:eastAsia="es-C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Normalarial">
    <w:name w:val="Normal+arial"/>
    <w:basedOn w:val="Normal"/>
    <w:link w:val="NormalarialCar"/>
    <w:rsid w:val="00D44FD4"/>
    <w:pPr>
      <w:spacing w:before="0"/>
    </w:pPr>
    <w:rPr>
      <w:rFonts w:ascii="Times New Roman" w:hAnsi="Times New Roman"/>
      <w:sz w:val="24"/>
      <w:lang w:val="es-CO"/>
    </w:rPr>
  </w:style>
  <w:style w:type="paragraph" w:customStyle="1" w:styleId="Estilo6">
    <w:name w:val="Estilo6"/>
    <w:basedOn w:val="Normalarial"/>
    <w:link w:val="Estilo6Car"/>
    <w:rsid w:val="00D44FD4"/>
    <w:rPr>
      <w:rFonts w:ascii="Arial" w:hAnsi="Arial"/>
    </w:rPr>
  </w:style>
  <w:style w:type="character" w:customStyle="1" w:styleId="NormalarialCar">
    <w:name w:val="Normal+arial Car"/>
    <w:link w:val="Normalarial"/>
    <w:rsid w:val="00D44FD4"/>
    <w:rPr>
      <w:sz w:val="24"/>
      <w:szCs w:val="24"/>
      <w:lang w:val="es-CO" w:eastAsia="es-ES"/>
    </w:rPr>
  </w:style>
  <w:style w:type="character" w:customStyle="1" w:styleId="Estilo6Car">
    <w:name w:val="Estilo6 Car"/>
    <w:link w:val="Estilo6"/>
    <w:rsid w:val="00D44FD4"/>
    <w:rPr>
      <w:rFonts w:ascii="Arial" w:hAnsi="Arial"/>
      <w:sz w:val="24"/>
      <w:szCs w:val="24"/>
      <w:lang w:val="es-CO" w:eastAsia="es-ES"/>
    </w:rPr>
  </w:style>
  <w:style w:type="character" w:customStyle="1" w:styleId="pevallej1">
    <w:name w:val="pevallej1"/>
    <w:semiHidden/>
    <w:rsid w:val="00D44FD4"/>
    <w:rPr>
      <w:rFonts w:ascii="Arial" w:hAnsi="Arial" w:cs="Arial"/>
      <w:color w:val="000080"/>
      <w:sz w:val="20"/>
      <w:szCs w:val="20"/>
    </w:rPr>
  </w:style>
  <w:style w:type="character" w:customStyle="1" w:styleId="TitleChar">
    <w:name w:val="Title Char"/>
    <w:locked/>
    <w:rsid w:val="00D44FD4"/>
    <w:rPr>
      <w:rFonts w:ascii="Futura Md BT" w:hAnsi="Futura Md BT" w:cs="Times New Roman"/>
      <w:sz w:val="28"/>
      <w:lang w:val="es-CO" w:eastAsia="es-ES" w:bidi="ar-SA"/>
    </w:rPr>
  </w:style>
  <w:style w:type="paragraph" w:customStyle="1" w:styleId="normalarial0">
    <w:name w:val="normalarial"/>
    <w:basedOn w:val="Normal"/>
    <w:rsid w:val="00D44FD4"/>
    <w:pPr>
      <w:spacing w:before="0"/>
    </w:pPr>
    <w:rPr>
      <w:rFonts w:ascii="Times New Roman" w:hAnsi="Times New Roman"/>
      <w:sz w:val="24"/>
    </w:rPr>
  </w:style>
  <w:style w:type="character" w:customStyle="1" w:styleId="TitleChar1">
    <w:name w:val="Title Char1"/>
    <w:locked/>
    <w:rsid w:val="00D44FD4"/>
    <w:rPr>
      <w:rFonts w:ascii="Futura Md BT" w:hAnsi="Futura Md BT" w:cs="Times New Roman"/>
      <w:sz w:val="28"/>
      <w:lang w:val="es-CO" w:eastAsia="es-ES" w:bidi="ar-SA"/>
    </w:rPr>
  </w:style>
  <w:style w:type="character" w:customStyle="1" w:styleId="TextoindependienteprimerasangraCar">
    <w:name w:val="Texto independiente primera sangría Car"/>
    <w:link w:val="Textoindependienteprimerasangra"/>
    <w:rsid w:val="00D44FD4"/>
    <w:rPr>
      <w:rFonts w:ascii="Futura Md BT" w:hAnsi="Futura Md BT"/>
      <w:sz w:val="28"/>
      <w:lang w:eastAsia="es-ES"/>
    </w:rPr>
  </w:style>
  <w:style w:type="table" w:styleId="Tablaconlista7">
    <w:name w:val="Table List 7"/>
    <w:basedOn w:val="Tablanormal"/>
    <w:rsid w:val="00D44FD4"/>
    <w:pPr>
      <w:jc w:val="both"/>
    </w:pPr>
    <w:rPr>
      <w:lang w:val="es-CO" w:eastAsia="es-CO"/>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character" w:customStyle="1" w:styleId="EncabezadoCar1">
    <w:name w:val="Encabezado Car1"/>
    <w:aliases w:val="Encabezado 2 Car,encabezado Car,articulo Car,Encabezado Car Car Car Car Car Car Car,Encabezado Car Car Car1,Encabezado Car Car Car Car1,Encabezado Car Car Car Car Car Car1,Encabezado Car Car Car Car Car1,h Car1,Haut de page Car1"/>
    <w:rsid w:val="00D44FD4"/>
    <w:rPr>
      <w:rFonts w:ascii="Times New Roman" w:eastAsia="Times New Roman" w:hAnsi="Times New Roman" w:cs="Times New Roman"/>
      <w:sz w:val="20"/>
      <w:szCs w:val="20"/>
      <w:lang w:val="es-ES" w:eastAsia="es-ES"/>
    </w:rPr>
  </w:style>
  <w:style w:type="paragraph" w:customStyle="1" w:styleId="msolistparagraph0">
    <w:name w:val="msolistparagraph"/>
    <w:basedOn w:val="Normal"/>
    <w:rsid w:val="00D44FD4"/>
    <w:pPr>
      <w:spacing w:before="0"/>
      <w:ind w:left="720"/>
    </w:pPr>
    <w:rPr>
      <w:rFonts w:ascii="Calibri" w:hAnsi="Calibri"/>
      <w:szCs w:val="22"/>
    </w:rPr>
  </w:style>
  <w:style w:type="paragraph" w:customStyle="1" w:styleId="Cite">
    <w:name w:val="Cite"/>
    <w:basedOn w:val="Encabezado"/>
    <w:rsid w:val="00D44FD4"/>
    <w:pPr>
      <w:spacing w:before="0"/>
      <w:ind w:left="6458" w:right="6"/>
      <w:jc w:val="right"/>
    </w:pPr>
    <w:rPr>
      <w:sz w:val="22"/>
      <w:szCs w:val="24"/>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character" w:customStyle="1" w:styleId="ListParagraphChar">
    <w:name w:val="List Paragraph Char"/>
    <w:link w:val="Prrafodelista1"/>
    <w:locked/>
    <w:rsid w:val="00D44FD4"/>
    <w:rPr>
      <w:rFonts w:ascii="Calibri" w:hAnsi="Calibri"/>
      <w:sz w:val="22"/>
      <w:szCs w:val="22"/>
      <w:lang w:eastAsia="en-US"/>
    </w:rPr>
  </w:style>
  <w:style w:type="paragraph" w:customStyle="1" w:styleId="Ttulo31">
    <w:name w:val="Título 31"/>
    <w:basedOn w:val="Normal"/>
    <w:rsid w:val="00D44FD4"/>
    <w:pPr>
      <w:spacing w:before="0"/>
      <w:outlineLvl w:val="3"/>
    </w:pPr>
    <w:rPr>
      <w:rFonts w:ascii="Times New Roman" w:hAnsi="Times New Roman"/>
      <w:color w:val="000000"/>
      <w:sz w:val="27"/>
      <w:szCs w:val="27"/>
    </w:rPr>
  </w:style>
  <w:style w:type="paragraph" w:styleId="Lista">
    <w:name w:val="List"/>
    <w:basedOn w:val="Normal"/>
    <w:rsid w:val="00D44FD4"/>
    <w:pPr>
      <w:spacing w:before="0"/>
      <w:ind w:left="283" w:hanging="283"/>
    </w:pPr>
    <w:rPr>
      <w:rFonts w:ascii="Futura Md BT" w:hAnsi="Futura Md BT"/>
      <w:sz w:val="24"/>
      <w:szCs w:val="20"/>
    </w:rPr>
  </w:style>
  <w:style w:type="paragraph" w:styleId="Saludo">
    <w:name w:val="Salutation"/>
    <w:basedOn w:val="Normal"/>
    <w:next w:val="Normal"/>
    <w:link w:val="SaludoCar"/>
    <w:rsid w:val="00D44FD4"/>
    <w:pPr>
      <w:spacing w:before="0"/>
    </w:pPr>
    <w:rPr>
      <w:rFonts w:ascii="Futura Md BT" w:hAnsi="Futura Md BT"/>
      <w:sz w:val="24"/>
      <w:szCs w:val="20"/>
    </w:rPr>
  </w:style>
  <w:style w:type="character" w:customStyle="1" w:styleId="SaludoCar">
    <w:name w:val="Saludo Car"/>
    <w:basedOn w:val="Fuentedeprrafopredeter"/>
    <w:link w:val="Saludo"/>
    <w:rsid w:val="00D44FD4"/>
    <w:rPr>
      <w:rFonts w:ascii="Futura Md BT" w:hAnsi="Futura Md BT"/>
      <w:sz w:val="24"/>
      <w:lang w:eastAsia="es-ES"/>
    </w:rPr>
  </w:style>
  <w:style w:type="paragraph" w:customStyle="1" w:styleId="BodyText21">
    <w:name w:val="Body Text 21"/>
    <w:basedOn w:val="Normal"/>
    <w:rsid w:val="00D44FD4"/>
    <w:pPr>
      <w:widowControl w:val="0"/>
      <w:spacing w:before="0"/>
    </w:pPr>
    <w:rPr>
      <w:snapToGrid w:val="0"/>
      <w:szCs w:val="20"/>
      <w:lang w:val="es-ES_tradnl"/>
    </w:rPr>
  </w:style>
  <w:style w:type="paragraph" w:customStyle="1" w:styleId="Sinespaciado1">
    <w:name w:val="Sin espaciado1"/>
    <w:uiPriority w:val="99"/>
    <w:rsid w:val="00D44FD4"/>
    <w:pPr>
      <w:jc w:val="both"/>
    </w:pPr>
    <w:rPr>
      <w:rFonts w:ascii="Calibri" w:hAnsi="Calibri"/>
      <w:sz w:val="22"/>
      <w:szCs w:val="22"/>
      <w:lang w:eastAsia="en-US"/>
    </w:rPr>
  </w:style>
  <w:style w:type="paragraph" w:customStyle="1" w:styleId="Textoindependiente31">
    <w:name w:val="Texto independiente 31"/>
    <w:basedOn w:val="Normal"/>
    <w:rsid w:val="00D44FD4"/>
    <w:pPr>
      <w:suppressAutoHyphens/>
      <w:spacing w:before="0"/>
      <w:ind w:right="51"/>
    </w:pPr>
    <w:rPr>
      <w:rFonts w:cs="Arial"/>
      <w:sz w:val="20"/>
      <w:szCs w:val="20"/>
      <w:lang w:val="es-CO" w:eastAsia="ar-SA"/>
    </w:rPr>
  </w:style>
  <w:style w:type="paragraph" w:customStyle="1" w:styleId="Style3">
    <w:name w:val="Style3"/>
    <w:basedOn w:val="Normal"/>
    <w:rsid w:val="00D44FD4"/>
    <w:pPr>
      <w:widowControl w:val="0"/>
      <w:autoSpaceDE w:val="0"/>
      <w:autoSpaceDN w:val="0"/>
      <w:adjustRightInd w:val="0"/>
      <w:spacing w:before="0"/>
      <w:ind w:firstLine="709"/>
    </w:pPr>
    <w:rPr>
      <w:rFonts w:ascii="Times New Roman" w:hAnsi="Times New Roman"/>
      <w:sz w:val="24"/>
    </w:rPr>
  </w:style>
  <w:style w:type="paragraph" w:customStyle="1" w:styleId="Style4">
    <w:name w:val="Style4"/>
    <w:basedOn w:val="Normal"/>
    <w:rsid w:val="00D44FD4"/>
    <w:pPr>
      <w:widowControl w:val="0"/>
      <w:autoSpaceDE w:val="0"/>
      <w:autoSpaceDN w:val="0"/>
      <w:adjustRightInd w:val="0"/>
      <w:spacing w:before="0" w:line="288" w:lineRule="exact"/>
      <w:ind w:firstLine="709"/>
    </w:pPr>
    <w:rPr>
      <w:rFonts w:ascii="Times New Roman" w:hAnsi="Times New Roman"/>
      <w:sz w:val="24"/>
    </w:rPr>
  </w:style>
  <w:style w:type="paragraph" w:customStyle="1" w:styleId="Style10">
    <w:name w:val="Style1"/>
    <w:basedOn w:val="Normal"/>
    <w:rsid w:val="00D44FD4"/>
    <w:pPr>
      <w:widowControl w:val="0"/>
      <w:autoSpaceDE w:val="0"/>
      <w:autoSpaceDN w:val="0"/>
      <w:adjustRightInd w:val="0"/>
      <w:spacing w:before="0"/>
      <w:ind w:firstLine="709"/>
    </w:pPr>
    <w:rPr>
      <w:rFonts w:ascii="Times New Roman" w:hAnsi="Times New Roman"/>
      <w:sz w:val="24"/>
    </w:rPr>
  </w:style>
  <w:style w:type="table" w:styleId="Cuadrculaclara-nfasis2">
    <w:name w:val="Light Grid Accent 2"/>
    <w:basedOn w:val="Tablanormal"/>
    <w:rsid w:val="00D44FD4"/>
    <w:pPr>
      <w:jc w:val="both"/>
    </w:pPr>
    <w:rPr>
      <w:rFonts w:ascii="Calibri" w:eastAsia="Calibri" w:hAnsi="Calibri"/>
      <w:sz w:val="22"/>
      <w:szCs w:val="22"/>
      <w:lang w:val="es-CO" w:eastAsia="en-US"/>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Intro" w:eastAsia="Times New Roman" w:hAnsi="Intro"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Intro" w:eastAsia="Times New Roman" w:hAnsi="Intro"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Intro" w:eastAsia="Times New Roman" w:hAnsi="Intro" w:cs="Times New Roman"/>
        <w:b/>
        <w:bCs/>
      </w:rPr>
    </w:tblStylePr>
    <w:tblStylePr w:type="lastCol">
      <w:rPr>
        <w:rFonts w:ascii="Intro" w:eastAsia="Times New Roman" w:hAnsi="Intro"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paragraph" w:customStyle="1" w:styleId="NormalArial1">
    <w:name w:val="Normal + Arial"/>
    <w:aliases w:val="Negrita,Justificado"/>
    <w:basedOn w:val="Normal"/>
    <w:rsid w:val="00D44FD4"/>
    <w:pPr>
      <w:spacing w:before="0"/>
      <w:outlineLvl w:val="0"/>
    </w:pPr>
    <w:rPr>
      <w:rFonts w:cs="Arial"/>
      <w:b/>
      <w:sz w:val="40"/>
      <w:szCs w:val="40"/>
      <w:lang w:val="es-CO"/>
    </w:rPr>
  </w:style>
  <w:style w:type="paragraph" w:customStyle="1" w:styleId="CarCarCarCarCarCarCarCarCar">
    <w:name w:val="Car Car Car Car Car Car Car Car Car"/>
    <w:basedOn w:val="Normal"/>
    <w:rsid w:val="00D44FD4"/>
    <w:pPr>
      <w:spacing w:before="0" w:after="160" w:line="240" w:lineRule="exact"/>
    </w:pPr>
    <w:rPr>
      <w:rFonts w:ascii="Verdana" w:hAnsi="Verdana"/>
      <w:sz w:val="20"/>
      <w:lang w:val="en-US" w:eastAsia="en-US"/>
    </w:rPr>
  </w:style>
  <w:style w:type="paragraph" w:customStyle="1" w:styleId="CarCarCar">
    <w:name w:val="Car Car Car"/>
    <w:basedOn w:val="Normal"/>
    <w:semiHidden/>
    <w:rsid w:val="00D44FD4"/>
    <w:pPr>
      <w:spacing w:before="0" w:after="160" w:line="240" w:lineRule="exact"/>
    </w:pPr>
    <w:rPr>
      <w:rFonts w:ascii="Verdana" w:hAnsi="Verdana"/>
      <w:sz w:val="20"/>
      <w:szCs w:val="20"/>
      <w:lang w:val="en-US" w:eastAsia="en-US"/>
    </w:rPr>
  </w:style>
  <w:style w:type="paragraph" w:customStyle="1" w:styleId="CarCarCarCar">
    <w:name w:val="Car Car Car Car"/>
    <w:basedOn w:val="Normal"/>
    <w:semiHidden/>
    <w:rsid w:val="00D44FD4"/>
    <w:pPr>
      <w:spacing w:before="0" w:after="160" w:line="240" w:lineRule="exact"/>
    </w:pPr>
    <w:rPr>
      <w:rFonts w:ascii="Verdana" w:hAnsi="Verdana"/>
      <w:sz w:val="20"/>
      <w:szCs w:val="20"/>
      <w:lang w:val="en-US" w:eastAsia="en-US"/>
    </w:rPr>
  </w:style>
  <w:style w:type="character" w:customStyle="1" w:styleId="idutextos">
    <w:name w:val="idu_textos"/>
    <w:basedOn w:val="Fuentedeprrafopredeter"/>
    <w:rsid w:val="00D44FD4"/>
  </w:style>
  <w:style w:type="character" w:customStyle="1" w:styleId="FontStyle225">
    <w:name w:val="Font Style225"/>
    <w:rsid w:val="00D44FD4"/>
    <w:rPr>
      <w:rFonts w:ascii="Times New Roman" w:hAnsi="Times New Roman" w:cs="Times New Roman" w:hint="default"/>
      <w:b/>
      <w:bCs/>
      <w:spacing w:val="20"/>
      <w:sz w:val="12"/>
      <w:szCs w:val="12"/>
    </w:rPr>
  </w:style>
  <w:style w:type="character" w:customStyle="1" w:styleId="Smbolodenotaalpie">
    <w:name w:val="Símbolo de nota al pie"/>
    <w:rsid w:val="00D44FD4"/>
    <w:rPr>
      <w:vertAlign w:val="superscript"/>
    </w:rPr>
  </w:style>
  <w:style w:type="character" w:customStyle="1" w:styleId="Refdenotaalpie1">
    <w:name w:val="Ref. de nota al pie1"/>
    <w:rsid w:val="00D44FD4"/>
    <w:rPr>
      <w:vertAlign w:val="superscript"/>
    </w:rPr>
  </w:style>
  <w:style w:type="character" w:customStyle="1" w:styleId="apple-style-span">
    <w:name w:val="apple-style-span"/>
    <w:basedOn w:val="Fuentedeprrafopredeter"/>
    <w:rsid w:val="00D44FD4"/>
  </w:style>
  <w:style w:type="paragraph" w:customStyle="1" w:styleId="BodyText22">
    <w:name w:val="Body Text 22"/>
    <w:basedOn w:val="Normal"/>
    <w:rsid w:val="00D44FD4"/>
    <w:pPr>
      <w:widowControl w:val="0"/>
      <w:spacing w:before="0"/>
    </w:pPr>
    <w:rPr>
      <w:sz w:val="24"/>
      <w:szCs w:val="20"/>
      <w:lang w:val="es-ES_tradnl"/>
    </w:rPr>
  </w:style>
  <w:style w:type="table" w:styleId="Tablacontema">
    <w:name w:val="Table Theme"/>
    <w:basedOn w:val="Tablanormal"/>
    <w:rsid w:val="00D44FD4"/>
    <w:pPr>
      <w:jc w:val="both"/>
    </w:pPr>
    <w:rPr>
      <w:lang w:val="es-CO" w:eastAsia="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1">
    <w:name w:val="Título 3 Car1"/>
    <w:aliases w:val="Edgar 3 Car,1.1.1Título 3 Car,Título 3-BCN Car"/>
    <w:rsid w:val="00D44FD4"/>
    <w:rPr>
      <w:rFonts w:ascii="Arial" w:eastAsia="Times New Roman" w:hAnsi="Arial" w:cs="Arial"/>
      <w:b/>
      <w:bCs/>
      <w:sz w:val="26"/>
      <w:szCs w:val="26"/>
      <w:lang w:eastAsia="es-ES"/>
    </w:rPr>
  </w:style>
  <w:style w:type="paragraph" w:customStyle="1" w:styleId="Chapter">
    <w:name w:val="Chapter"/>
    <w:basedOn w:val="Normal"/>
    <w:next w:val="Normal"/>
    <w:rsid w:val="00D44FD4"/>
    <w:pPr>
      <w:tabs>
        <w:tab w:val="left" w:pos="1440"/>
      </w:tabs>
      <w:spacing w:before="0" w:after="240"/>
      <w:jc w:val="center"/>
    </w:pPr>
    <w:rPr>
      <w:rFonts w:ascii="Times New Roman" w:hAnsi="Times New Roman"/>
      <w:b/>
      <w:smallCaps/>
      <w:sz w:val="24"/>
      <w:szCs w:val="20"/>
      <w:lang w:eastAsia="en-US"/>
    </w:rPr>
  </w:style>
  <w:style w:type="paragraph" w:customStyle="1" w:styleId="Paragraph">
    <w:name w:val="Paragraph"/>
    <w:basedOn w:val="Sangradetextonormal"/>
    <w:rsid w:val="00D44FD4"/>
    <w:pPr>
      <w:spacing w:before="120"/>
      <w:ind w:left="0"/>
      <w:outlineLvl w:val="1"/>
    </w:pPr>
    <w:rPr>
      <w:szCs w:val="20"/>
      <w:lang w:val="es-ES" w:eastAsia="en-US"/>
    </w:rPr>
  </w:style>
  <w:style w:type="paragraph" w:customStyle="1" w:styleId="subpar">
    <w:name w:val="subpar"/>
    <w:basedOn w:val="Sangra3detindependiente"/>
    <w:rsid w:val="00D44FD4"/>
    <w:pPr>
      <w:spacing w:before="120"/>
      <w:ind w:left="0"/>
      <w:outlineLvl w:val="2"/>
    </w:pPr>
    <w:rPr>
      <w:rFonts w:ascii="Times New Roman" w:hAnsi="Times New Roman"/>
      <w:sz w:val="24"/>
      <w:szCs w:val="20"/>
      <w:lang w:val="es-ES_tradnl" w:eastAsia="en-US"/>
    </w:rPr>
  </w:style>
  <w:style w:type="paragraph" w:customStyle="1" w:styleId="yloscriteriosde">
    <w:name w:val="y los criterios de"/>
    <w:basedOn w:val="Normal"/>
    <w:rsid w:val="00D44FD4"/>
    <w:pPr>
      <w:widowControl w:val="0"/>
      <w:spacing w:before="0"/>
    </w:pPr>
    <w:rPr>
      <w:rFonts w:ascii="Times New Roman" w:hAnsi="Times New Roman"/>
      <w:lang w:val="es-CO"/>
    </w:rPr>
  </w:style>
  <w:style w:type="character" w:customStyle="1" w:styleId="CarCar10">
    <w:name w:val="Car Car10"/>
    <w:rsid w:val="00D44FD4"/>
    <w:rPr>
      <w:szCs w:val="24"/>
      <w:lang w:val="es-ES" w:eastAsia="es-ES" w:bidi="ar-SA"/>
    </w:rPr>
  </w:style>
  <w:style w:type="character" w:customStyle="1" w:styleId="hCar">
    <w:name w:val="h Car"/>
    <w:aliases w:val="encabezado Car Car"/>
    <w:rsid w:val="00D44FD4"/>
    <w:rPr>
      <w:sz w:val="24"/>
      <w:szCs w:val="24"/>
      <w:lang w:val="es-CO" w:eastAsia="es-CO" w:bidi="ar-SA"/>
    </w:rPr>
  </w:style>
  <w:style w:type="paragraph" w:customStyle="1" w:styleId="CONPES">
    <w:name w:val="CONPES"/>
    <w:basedOn w:val="Normal"/>
    <w:rsid w:val="00D44FD4"/>
    <w:pPr>
      <w:spacing w:before="0" w:line="360" w:lineRule="auto"/>
      <w:ind w:firstLine="567"/>
      <w:jc w:val="center"/>
    </w:pPr>
    <w:rPr>
      <w:rFonts w:ascii="CG Times" w:hAnsi="CG Times"/>
      <w:kern w:val="20"/>
      <w:szCs w:val="20"/>
      <w:lang w:val="es-ES_tradnl"/>
    </w:rPr>
  </w:style>
  <w:style w:type="paragraph" w:customStyle="1" w:styleId="Biblio">
    <w:name w:val="Biblio"/>
    <w:basedOn w:val="Normal"/>
    <w:rsid w:val="00D44FD4"/>
    <w:pPr>
      <w:widowControl w:val="0"/>
      <w:spacing w:before="0"/>
    </w:pPr>
    <w:rPr>
      <w:rFonts w:ascii="Times New Roman" w:hAnsi="Times New Roman"/>
      <w:snapToGrid w:val="0"/>
      <w:szCs w:val="20"/>
    </w:rPr>
  </w:style>
  <w:style w:type="table" w:styleId="Tablaweb1">
    <w:name w:val="Table Web 1"/>
    <w:basedOn w:val="Tablanormal"/>
    <w:rsid w:val="00D44FD4"/>
    <w:pPr>
      <w:jc w:val="both"/>
    </w:pPr>
    <w:rPr>
      <w:lang w:val="es-CO" w:eastAsia="es-C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DecimalAligned">
    <w:name w:val="Decimal Aligned"/>
    <w:basedOn w:val="Normal"/>
    <w:qFormat/>
    <w:rsid w:val="00D44FD4"/>
    <w:pPr>
      <w:tabs>
        <w:tab w:val="decimal" w:pos="360"/>
      </w:tabs>
      <w:spacing w:before="0" w:after="200" w:line="276" w:lineRule="auto"/>
    </w:pPr>
    <w:rPr>
      <w:rFonts w:ascii="Calibri" w:hAnsi="Calibri"/>
      <w:szCs w:val="22"/>
      <w:lang w:eastAsia="en-US"/>
    </w:rPr>
  </w:style>
  <w:style w:type="character" w:styleId="nfasissutil">
    <w:name w:val="Subtle Emphasis"/>
    <w:uiPriority w:val="19"/>
    <w:qFormat/>
    <w:rsid w:val="00D44FD4"/>
    <w:rPr>
      <w:rFonts w:eastAsia="Times New Roman" w:cs="Times New Roman"/>
      <w:bCs w:val="0"/>
      <w:i/>
      <w:iCs/>
      <w:color w:val="808080"/>
      <w:szCs w:val="22"/>
      <w:lang w:val="es-ES"/>
    </w:rPr>
  </w:style>
  <w:style w:type="character" w:customStyle="1" w:styleId="CarCar4">
    <w:name w:val="Car Car4"/>
    <w:rsid w:val="00D44FD4"/>
    <w:rPr>
      <w:rFonts w:ascii="Cambria" w:hAnsi="Cambria"/>
      <w:b/>
      <w:bCs/>
      <w:kern w:val="28"/>
      <w:sz w:val="32"/>
      <w:szCs w:val="32"/>
      <w:lang w:val="es-CO" w:eastAsia="es-CO" w:bidi="ar-SA"/>
    </w:rPr>
  </w:style>
  <w:style w:type="character" w:styleId="Referenciaintensa">
    <w:name w:val="Intense Reference"/>
    <w:qFormat/>
    <w:rsid w:val="00D44FD4"/>
    <w:rPr>
      <w:b/>
      <w:bCs/>
      <w:smallCaps/>
      <w:color w:val="C0504D"/>
      <w:spacing w:val="5"/>
      <w:u w:val="single"/>
    </w:rPr>
  </w:style>
  <w:style w:type="paragraph" w:customStyle="1" w:styleId="epgrafe">
    <w:name w:val="epígrafe"/>
    <w:basedOn w:val="Normal"/>
    <w:rsid w:val="00D44FD4"/>
    <w:pPr>
      <w:spacing w:before="0"/>
    </w:pPr>
    <w:rPr>
      <w:sz w:val="24"/>
      <w:lang w:val="es-ES_tradnl" w:eastAsia="es-MX"/>
    </w:rPr>
  </w:style>
  <w:style w:type="paragraph" w:styleId="Lista3">
    <w:name w:val="List 3"/>
    <w:basedOn w:val="Normal"/>
    <w:unhideWhenUsed/>
    <w:rsid w:val="00D44FD4"/>
    <w:pPr>
      <w:spacing w:before="0"/>
      <w:ind w:left="849" w:hanging="283"/>
      <w:contextualSpacing/>
    </w:pPr>
    <w:rPr>
      <w:rFonts w:ascii="Times New Roman" w:hAnsi="Times New Roman"/>
      <w:sz w:val="24"/>
    </w:rPr>
  </w:style>
  <w:style w:type="paragraph" w:styleId="Lista4">
    <w:name w:val="List 4"/>
    <w:basedOn w:val="Normal"/>
    <w:unhideWhenUsed/>
    <w:rsid w:val="00D44FD4"/>
    <w:pPr>
      <w:spacing w:before="0"/>
      <w:ind w:left="1132" w:hanging="283"/>
      <w:contextualSpacing/>
    </w:pPr>
    <w:rPr>
      <w:rFonts w:ascii="Times New Roman" w:hAnsi="Times New Roman"/>
      <w:sz w:val="24"/>
    </w:rPr>
  </w:style>
  <w:style w:type="paragraph" w:styleId="Encabezadodemensaje">
    <w:name w:val="Message Header"/>
    <w:basedOn w:val="Normal"/>
    <w:link w:val="EncabezadodemensajeCar"/>
    <w:unhideWhenUsed/>
    <w:rsid w:val="00D44FD4"/>
    <w:pPr>
      <w:pBdr>
        <w:top w:val="single" w:sz="6" w:space="1" w:color="auto"/>
        <w:left w:val="single" w:sz="6" w:space="1" w:color="auto"/>
        <w:bottom w:val="single" w:sz="6" w:space="1" w:color="auto"/>
        <w:right w:val="single" w:sz="6" w:space="1" w:color="auto"/>
      </w:pBdr>
      <w:shd w:val="pct20" w:color="auto" w:fill="auto"/>
      <w:spacing w:before="0"/>
      <w:ind w:left="1134" w:hanging="1134"/>
    </w:pPr>
    <w:rPr>
      <w:rFonts w:ascii="Cambria" w:hAnsi="Cambria"/>
      <w:sz w:val="24"/>
    </w:rPr>
  </w:style>
  <w:style w:type="character" w:customStyle="1" w:styleId="EncabezadodemensajeCar">
    <w:name w:val="Encabezado de mensaje Car"/>
    <w:basedOn w:val="Fuentedeprrafopredeter"/>
    <w:link w:val="Encabezadodemensaje"/>
    <w:rsid w:val="00D44FD4"/>
    <w:rPr>
      <w:rFonts w:ascii="Cambria" w:hAnsi="Cambria"/>
      <w:sz w:val="24"/>
      <w:szCs w:val="24"/>
      <w:shd w:val="pct20" w:color="auto" w:fill="auto"/>
      <w:lang w:eastAsia="es-ES"/>
    </w:rPr>
  </w:style>
  <w:style w:type="paragraph" w:styleId="Listaconvietas2">
    <w:name w:val="List Bullet 2"/>
    <w:basedOn w:val="Normal"/>
    <w:unhideWhenUsed/>
    <w:rsid w:val="00D44FD4"/>
    <w:pPr>
      <w:tabs>
        <w:tab w:val="num" w:pos="780"/>
      </w:tabs>
      <w:spacing w:before="0"/>
      <w:ind w:left="780" w:hanging="360"/>
      <w:contextualSpacing/>
    </w:pPr>
    <w:rPr>
      <w:rFonts w:ascii="Times New Roman" w:hAnsi="Times New Roman"/>
      <w:sz w:val="24"/>
    </w:rPr>
  </w:style>
  <w:style w:type="paragraph" w:styleId="Continuarlista3">
    <w:name w:val="List Continue 3"/>
    <w:basedOn w:val="Normal"/>
    <w:unhideWhenUsed/>
    <w:rsid w:val="00D44FD4"/>
    <w:pPr>
      <w:spacing w:before="0" w:after="120"/>
      <w:ind w:left="849"/>
      <w:contextualSpacing/>
    </w:pPr>
    <w:rPr>
      <w:rFonts w:ascii="Times New Roman" w:hAnsi="Times New Roman"/>
      <w:sz w:val="24"/>
    </w:rPr>
  </w:style>
  <w:style w:type="paragraph" w:styleId="Textoindependienteprimerasangra">
    <w:name w:val="Body Text First Indent"/>
    <w:basedOn w:val="Textoindependiente"/>
    <w:link w:val="TextoindependienteprimerasangraCar"/>
    <w:unhideWhenUsed/>
    <w:rsid w:val="00D44FD4"/>
    <w:pPr>
      <w:spacing w:before="0" w:after="120"/>
      <w:ind w:firstLine="210"/>
      <w:jc w:val="left"/>
    </w:pPr>
    <w:rPr>
      <w:sz w:val="28"/>
      <w:szCs w:val="20"/>
    </w:rPr>
  </w:style>
  <w:style w:type="character" w:customStyle="1" w:styleId="TextoindependienteprimerasangraCar1">
    <w:name w:val="Texto independiente primera sangría Car1"/>
    <w:basedOn w:val="TextoindependienteCar1"/>
    <w:uiPriority w:val="99"/>
    <w:rsid w:val="00D44FD4"/>
    <w:rPr>
      <w:rFonts w:ascii="Arial" w:hAnsi="Arial"/>
      <w:sz w:val="22"/>
      <w:szCs w:val="24"/>
      <w:lang w:eastAsia="es-ES"/>
    </w:rPr>
  </w:style>
  <w:style w:type="paragraph" w:styleId="Textoindependienteprimerasangra2">
    <w:name w:val="Body Text First Indent 2"/>
    <w:basedOn w:val="Sangradetextonormal"/>
    <w:link w:val="Textoindependienteprimerasangra2Car"/>
    <w:unhideWhenUsed/>
    <w:rsid w:val="00D44FD4"/>
    <w:pPr>
      <w:ind w:firstLine="210"/>
    </w:pPr>
    <w:rPr>
      <w:lang w:val="es-ES" w:eastAsia="es-ES"/>
    </w:rPr>
  </w:style>
  <w:style w:type="character" w:customStyle="1" w:styleId="Textoindependienteprimerasangra2Car">
    <w:name w:val="Texto independiente primera sangría 2 Car"/>
    <w:basedOn w:val="SangradetextonormalCar"/>
    <w:link w:val="Textoindependienteprimerasangra2"/>
    <w:rsid w:val="00D44FD4"/>
    <w:rPr>
      <w:sz w:val="24"/>
      <w:szCs w:val="24"/>
      <w:lang w:val="es-CO" w:eastAsia="es-ES"/>
    </w:rPr>
  </w:style>
  <w:style w:type="paragraph" w:customStyle="1" w:styleId="head21">
    <w:name w:val="head21"/>
    <w:basedOn w:val="Normal"/>
    <w:rsid w:val="00D44FD4"/>
    <w:pPr>
      <w:spacing w:before="0"/>
      <w:jc w:val="center"/>
    </w:pPr>
    <w:rPr>
      <w:rFonts w:ascii="Times New Roman Bold" w:hAnsi="Times New Roman Bold"/>
      <w:b/>
      <w:bCs/>
      <w:sz w:val="24"/>
    </w:rPr>
  </w:style>
  <w:style w:type="character" w:customStyle="1" w:styleId="style181">
    <w:name w:val="style181"/>
    <w:basedOn w:val="Fuentedeprrafopredeter"/>
    <w:rsid w:val="00D44FD4"/>
  </w:style>
  <w:style w:type="paragraph" w:customStyle="1" w:styleId="Head210">
    <w:name w:val="Head 2.1"/>
    <w:basedOn w:val="Normal"/>
    <w:rsid w:val="00D44FD4"/>
    <w:pPr>
      <w:widowControl w:val="0"/>
      <w:suppressAutoHyphens/>
      <w:spacing w:before="0"/>
      <w:jc w:val="center"/>
    </w:pPr>
    <w:rPr>
      <w:rFonts w:ascii="Times New Roman Bold" w:hAnsi="Times New Roman Bold"/>
      <w:b/>
      <w:sz w:val="24"/>
      <w:szCs w:val="20"/>
      <w:lang w:val="es-CO"/>
    </w:rPr>
  </w:style>
  <w:style w:type="character" w:customStyle="1" w:styleId="articuloCarCar">
    <w:name w:val="articulo Car Car"/>
    <w:locked/>
    <w:rsid w:val="00D44FD4"/>
    <w:rPr>
      <w:rFonts w:ascii="Futura Md BT" w:hAnsi="Futura Md BT"/>
      <w:sz w:val="24"/>
      <w:lang w:val="es-ES" w:eastAsia="es-ES" w:bidi="ar-SA"/>
    </w:rPr>
  </w:style>
  <w:style w:type="paragraph" w:customStyle="1" w:styleId="1">
    <w:name w:val="1"/>
    <w:basedOn w:val="Normal"/>
    <w:rsid w:val="00D44FD4"/>
    <w:pPr>
      <w:spacing w:before="0" w:after="160" w:line="240" w:lineRule="exact"/>
    </w:pPr>
    <w:rPr>
      <w:rFonts w:ascii="Verdana" w:hAnsi="Verdana"/>
      <w:sz w:val="20"/>
      <w:lang w:val="en-US" w:eastAsia="en-US"/>
    </w:rPr>
  </w:style>
  <w:style w:type="paragraph" w:customStyle="1" w:styleId="CarCar1CarCarCar2Car">
    <w:name w:val="Car Car1 Car Car Car2 Car"/>
    <w:basedOn w:val="Normal"/>
    <w:rsid w:val="00D44FD4"/>
    <w:pPr>
      <w:spacing w:before="0" w:after="160" w:line="240" w:lineRule="exact"/>
    </w:pPr>
    <w:rPr>
      <w:rFonts w:ascii="Verdana" w:hAnsi="Verdana"/>
      <w:sz w:val="20"/>
      <w:lang w:val="en-US" w:eastAsia="en-US"/>
    </w:rPr>
  </w:style>
  <w:style w:type="paragraph" w:customStyle="1" w:styleId="1CarCarCarCar">
    <w:name w:val="1 Car Car Car Car"/>
    <w:basedOn w:val="Normal"/>
    <w:semiHidden/>
    <w:rsid w:val="00D44FD4"/>
    <w:pPr>
      <w:spacing w:before="0" w:after="160" w:line="240" w:lineRule="exact"/>
    </w:pPr>
    <w:rPr>
      <w:rFonts w:ascii="Verdana" w:hAnsi="Verdana"/>
      <w:sz w:val="20"/>
      <w:szCs w:val="20"/>
      <w:lang w:val="en-US" w:eastAsia="en-US"/>
    </w:rPr>
  </w:style>
  <w:style w:type="paragraph" w:customStyle="1" w:styleId="1CarCarCarCarCarCarCar">
    <w:name w:val="1 Car Car Car Car Car Car Car"/>
    <w:basedOn w:val="Normal"/>
    <w:semiHidden/>
    <w:rsid w:val="00D44FD4"/>
    <w:pPr>
      <w:spacing w:before="0" w:after="160" w:line="240" w:lineRule="exact"/>
    </w:pPr>
    <w:rPr>
      <w:rFonts w:ascii="Verdana" w:hAnsi="Verdana"/>
      <w:sz w:val="20"/>
      <w:szCs w:val="20"/>
      <w:lang w:val="en-US" w:eastAsia="en-US"/>
    </w:rPr>
  </w:style>
  <w:style w:type="paragraph" w:customStyle="1" w:styleId="ececececmsonormal">
    <w:name w:val="ec_ec_ec_ec_msonormal"/>
    <w:basedOn w:val="Normal"/>
    <w:rsid w:val="00D44FD4"/>
    <w:pPr>
      <w:spacing w:before="100" w:after="100"/>
    </w:pPr>
    <w:rPr>
      <w:rFonts w:ascii="Times New Roman" w:hAnsi="Times New Roman"/>
      <w:kern w:val="2"/>
      <w:sz w:val="24"/>
    </w:rPr>
  </w:style>
  <w:style w:type="paragraph" w:customStyle="1" w:styleId="CarCar1CarCarCar1Car">
    <w:name w:val="Car Car1 Car Car Car1 Car"/>
    <w:basedOn w:val="Normal"/>
    <w:rsid w:val="00D44FD4"/>
    <w:pPr>
      <w:spacing w:before="0" w:after="160" w:line="240" w:lineRule="exact"/>
    </w:pPr>
    <w:rPr>
      <w:rFonts w:ascii="Verdana" w:hAnsi="Verdana"/>
      <w:sz w:val="20"/>
      <w:lang w:val="en-US" w:eastAsia="en-US"/>
    </w:rPr>
  </w:style>
  <w:style w:type="paragraph" w:customStyle="1" w:styleId="CarCarCarCarCarCarCarCarCarCar">
    <w:name w:val="Car Car Car Car Car Car Car Car Car Car"/>
    <w:basedOn w:val="Normal"/>
    <w:rsid w:val="00D44FD4"/>
    <w:pPr>
      <w:spacing w:before="0" w:after="160" w:line="240" w:lineRule="exact"/>
    </w:pPr>
    <w:rPr>
      <w:rFonts w:ascii="Verdana" w:hAnsi="Verdana"/>
      <w:sz w:val="20"/>
      <w:szCs w:val="20"/>
      <w:lang w:val="en-US" w:eastAsia="en-US"/>
    </w:rPr>
  </w:style>
  <w:style w:type="character" w:customStyle="1" w:styleId="idutext1">
    <w:name w:val="idutext1"/>
    <w:rsid w:val="00D44FD4"/>
    <w:rPr>
      <w:rFonts w:ascii="Verdana" w:hAnsi="Verdana" w:hint="default"/>
      <w:sz w:val="13"/>
      <w:szCs w:val="13"/>
    </w:rPr>
  </w:style>
  <w:style w:type="table" w:styleId="Tablaconcuadrcula8">
    <w:name w:val="Table Grid 8"/>
    <w:basedOn w:val="Tablanormal"/>
    <w:rsid w:val="00D44FD4"/>
    <w:pPr>
      <w:jc w:val="center"/>
    </w:pPr>
    <w:rPr>
      <w:rFonts w:ascii="Tahoma" w:hAnsi="Tahoma"/>
      <w:sz w:val="18"/>
      <w:lang w:val="es-CO" w:eastAsia="es-C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vAlign w:val="center"/>
    </w:tcPr>
    <w:tblStylePr w:type="firstRow">
      <w:pPr>
        <w:jc w:val="center"/>
      </w:pPr>
      <w:rPr>
        <w:rFonts w:ascii="Intro" w:hAnsi="Intro"/>
        <w:b/>
        <w:bCs/>
        <w:color w:val="FFFFFF"/>
        <w:sz w:val="18"/>
      </w:rPr>
      <w:tblPr/>
      <w:tcPr>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character" w:customStyle="1" w:styleId="cpbuitra1">
    <w:name w:val="cpbuitra1"/>
    <w:semiHidden/>
    <w:rsid w:val="00D44FD4"/>
    <w:rPr>
      <w:rFonts w:ascii="Arial" w:hAnsi="Arial" w:cs="Arial"/>
      <w:color w:val="000080"/>
      <w:sz w:val="20"/>
      <w:szCs w:val="20"/>
    </w:rPr>
  </w:style>
  <w:style w:type="paragraph" w:customStyle="1" w:styleId="CarCarCarCarCar1Car1">
    <w:name w:val="Car Car Car Car Car1 Car1"/>
    <w:basedOn w:val="Normal"/>
    <w:rsid w:val="00D44FD4"/>
    <w:pPr>
      <w:spacing w:before="0" w:after="160" w:line="240" w:lineRule="exact"/>
    </w:pPr>
    <w:rPr>
      <w:rFonts w:ascii="Verdana" w:hAnsi="Verdana"/>
      <w:sz w:val="20"/>
      <w:lang w:val="en-US" w:eastAsia="en-US"/>
    </w:rPr>
  </w:style>
  <w:style w:type="character" w:customStyle="1" w:styleId="estilocorreo17">
    <w:name w:val="estilocorreo17"/>
    <w:semiHidden/>
    <w:rsid w:val="00D44FD4"/>
    <w:rPr>
      <w:rFonts w:ascii="Arial" w:hAnsi="Arial" w:cs="Arial" w:hint="default"/>
      <w:color w:val="auto"/>
      <w:sz w:val="20"/>
      <w:szCs w:val="20"/>
    </w:rPr>
  </w:style>
  <w:style w:type="paragraph" w:styleId="Continuarlista2">
    <w:name w:val="List Continue 2"/>
    <w:basedOn w:val="Normal"/>
    <w:rsid w:val="00D44FD4"/>
    <w:pPr>
      <w:spacing w:before="0" w:after="120"/>
      <w:ind w:left="566"/>
      <w:contextualSpacing/>
    </w:pPr>
    <w:rPr>
      <w:rFonts w:ascii="Times New Roman" w:hAnsi="Times New Roman"/>
      <w:sz w:val="24"/>
    </w:rPr>
  </w:style>
  <w:style w:type="paragraph" w:customStyle="1" w:styleId="CarCarCar1CarCarCarCarCarCarCarCarCarCarCarCarCarCarCar">
    <w:name w:val="Car Car Car1 Car Car Car Car Car Car Car Car Car Car Car Car Car Car Car"/>
    <w:basedOn w:val="Normal"/>
    <w:rsid w:val="00D44FD4"/>
    <w:pPr>
      <w:spacing w:before="0" w:after="160" w:line="240" w:lineRule="exact"/>
    </w:pPr>
    <w:rPr>
      <w:rFonts w:ascii="Verdana" w:hAnsi="Verdana"/>
      <w:sz w:val="20"/>
      <w:lang w:val="en-US" w:eastAsia="en-US"/>
    </w:rPr>
  </w:style>
  <w:style w:type="paragraph" w:customStyle="1" w:styleId="CarCar1CarCarCar">
    <w:name w:val="Car Car1 Car Car Car"/>
    <w:basedOn w:val="Normal"/>
    <w:rsid w:val="00D44FD4"/>
    <w:pPr>
      <w:spacing w:before="0" w:after="160" w:line="240" w:lineRule="exact"/>
    </w:pPr>
    <w:rPr>
      <w:rFonts w:ascii="Verdana" w:hAnsi="Verdana"/>
      <w:sz w:val="20"/>
      <w:lang w:val="en-US" w:eastAsia="en-US"/>
    </w:rPr>
  </w:style>
  <w:style w:type="character" w:customStyle="1" w:styleId="HeaderChar">
    <w:name w:val="Header Char"/>
    <w:aliases w:val="Haut de page Char,Encabezado 2 Char,encabezado Char,articulo Char"/>
    <w:semiHidden/>
    <w:rsid w:val="00D44FD4"/>
    <w:rPr>
      <w:sz w:val="24"/>
      <w:szCs w:val="24"/>
      <w:lang w:val="es-ES" w:eastAsia="es-ES" w:bidi="ar-SA"/>
    </w:rPr>
  </w:style>
  <w:style w:type="paragraph" w:customStyle="1" w:styleId="CarCarCarCarCar">
    <w:name w:val="Car Car Car Car Car"/>
    <w:basedOn w:val="Normal"/>
    <w:rsid w:val="00D44FD4"/>
    <w:pPr>
      <w:spacing w:before="0" w:after="160" w:line="240" w:lineRule="exact"/>
    </w:pPr>
    <w:rPr>
      <w:rFonts w:ascii="Verdana" w:hAnsi="Verdana"/>
      <w:sz w:val="20"/>
      <w:lang w:val="en-US" w:eastAsia="en-US"/>
    </w:rPr>
  </w:style>
  <w:style w:type="character" w:customStyle="1" w:styleId="idu">
    <w:name w:val="idu"/>
    <w:semiHidden/>
    <w:rsid w:val="00D44FD4"/>
    <w:rPr>
      <w:rFonts w:ascii="Arial" w:hAnsi="Arial" w:cs="Arial"/>
      <w:color w:val="000080"/>
      <w:sz w:val="20"/>
      <w:szCs w:val="20"/>
    </w:rPr>
  </w:style>
  <w:style w:type="paragraph" w:customStyle="1" w:styleId="CarCarCarCarCar1Car">
    <w:name w:val="Car Car Car Car Car1 Car"/>
    <w:basedOn w:val="Normal"/>
    <w:rsid w:val="00D44FD4"/>
    <w:pPr>
      <w:spacing w:before="0" w:after="160" w:line="240" w:lineRule="exact"/>
    </w:pPr>
    <w:rPr>
      <w:rFonts w:ascii="Verdana" w:hAnsi="Verdana"/>
      <w:sz w:val="20"/>
      <w:lang w:val="en-US" w:eastAsia="en-US"/>
    </w:rPr>
  </w:style>
  <w:style w:type="character" w:customStyle="1" w:styleId="CarCar21">
    <w:name w:val="Car Car21"/>
    <w:rsid w:val="00D44FD4"/>
    <w:rPr>
      <w:rFonts w:ascii="Arial" w:hAnsi="Arial" w:cs="Arial"/>
      <w:b/>
      <w:bCs/>
      <w:sz w:val="26"/>
      <w:szCs w:val="26"/>
      <w:lang w:val="es-CO" w:eastAsia="es-ES" w:bidi="ar-SA"/>
    </w:rPr>
  </w:style>
  <w:style w:type="paragraph" w:customStyle="1" w:styleId="font5">
    <w:name w:val="font5"/>
    <w:basedOn w:val="Normal"/>
    <w:rsid w:val="00D44FD4"/>
    <w:pPr>
      <w:spacing w:before="100" w:beforeAutospacing="1" w:after="100" w:afterAutospacing="1"/>
    </w:pPr>
    <w:rPr>
      <w:rFonts w:cs="Arial"/>
      <w:color w:val="008000"/>
      <w:sz w:val="20"/>
      <w:szCs w:val="20"/>
    </w:rPr>
  </w:style>
  <w:style w:type="paragraph" w:customStyle="1" w:styleId="font6">
    <w:name w:val="font6"/>
    <w:basedOn w:val="Normal"/>
    <w:rsid w:val="00D44FD4"/>
    <w:pPr>
      <w:spacing w:before="100" w:beforeAutospacing="1" w:after="100" w:afterAutospacing="1"/>
    </w:pPr>
    <w:rPr>
      <w:rFonts w:cs="Arial"/>
      <w:color w:val="000080"/>
      <w:sz w:val="24"/>
    </w:rPr>
  </w:style>
  <w:style w:type="paragraph" w:customStyle="1" w:styleId="font7">
    <w:name w:val="font7"/>
    <w:basedOn w:val="Normal"/>
    <w:rsid w:val="00D44FD4"/>
    <w:pPr>
      <w:spacing w:before="100" w:beforeAutospacing="1" w:after="100" w:afterAutospacing="1"/>
    </w:pPr>
    <w:rPr>
      <w:rFonts w:cs="Arial"/>
      <w:color w:val="000000"/>
      <w:sz w:val="24"/>
    </w:rPr>
  </w:style>
  <w:style w:type="paragraph" w:customStyle="1" w:styleId="xl45">
    <w:name w:val="xl45"/>
    <w:basedOn w:val="Normal"/>
    <w:rsid w:val="00D44FD4"/>
    <w:pPr>
      <w:pBdr>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sz w:val="24"/>
    </w:rPr>
  </w:style>
  <w:style w:type="paragraph" w:customStyle="1" w:styleId="xl46">
    <w:name w:val="xl46"/>
    <w:basedOn w:val="Normal"/>
    <w:rsid w:val="00D44FD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sz w:val="24"/>
    </w:rPr>
  </w:style>
  <w:style w:type="paragraph" w:customStyle="1" w:styleId="xl47">
    <w:name w:val="xl47"/>
    <w:basedOn w:val="Normal"/>
    <w:rsid w:val="00D44FD4"/>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hAnsi="Times New Roman"/>
      <w:sz w:val="24"/>
    </w:rPr>
  </w:style>
  <w:style w:type="paragraph" w:customStyle="1" w:styleId="xl48">
    <w:name w:val="xl48"/>
    <w:basedOn w:val="Normal"/>
    <w:rsid w:val="00D44FD4"/>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rPr>
  </w:style>
  <w:style w:type="table" w:styleId="Cuadrculaclara-nfasis5">
    <w:name w:val="Light Grid Accent 5"/>
    <w:basedOn w:val="Tablanormal"/>
    <w:uiPriority w:val="62"/>
    <w:rsid w:val="00D44FD4"/>
    <w:rPr>
      <w:lang w:val="es-CO" w:eastAsia="es-CO"/>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Tablaconcuadrcula2">
    <w:name w:val="Tabla con cuadrícula2"/>
    <w:basedOn w:val="Tablanormal"/>
    <w:next w:val="Tablaconcuadrcula"/>
    <w:rsid w:val="00D44FD4"/>
    <w:rPr>
      <w:lang w:val="es-CO" w:eastAsia="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59"/>
    <w:rsid w:val="00D44F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99"/>
    <w:rsid w:val="00D44FD4"/>
    <w:rPr>
      <w:rFonts w:ascii="Calibri" w:eastAsia="Calibri" w:hAnsi="Calibri"/>
      <w:lang w:val="es-CO" w:eastAsia="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
    <w:name w:val="Sin lista2"/>
    <w:next w:val="Sinlista"/>
    <w:uiPriority w:val="99"/>
    <w:semiHidden/>
    <w:unhideWhenUsed/>
    <w:rsid w:val="00D44FD4"/>
  </w:style>
  <w:style w:type="paragraph" w:customStyle="1" w:styleId="msolistparagraphcxspmiddle">
    <w:name w:val="msolistparagraphcxspmiddle"/>
    <w:basedOn w:val="Normal"/>
    <w:uiPriority w:val="99"/>
    <w:rsid w:val="00D44FD4"/>
    <w:pPr>
      <w:spacing w:before="100" w:beforeAutospacing="1" w:after="100" w:afterAutospacing="1"/>
      <w:jc w:val="left"/>
    </w:pPr>
    <w:rPr>
      <w:rFonts w:ascii="Times New Roman" w:hAnsi="Times New Roman"/>
      <w:sz w:val="24"/>
      <w:lang w:val="es-CO"/>
    </w:rPr>
  </w:style>
  <w:style w:type="paragraph" w:customStyle="1" w:styleId="msolistparagraphcxsplast">
    <w:name w:val="msolistparagraphcxsplast"/>
    <w:basedOn w:val="Normal"/>
    <w:uiPriority w:val="99"/>
    <w:rsid w:val="00D44FD4"/>
    <w:pPr>
      <w:spacing w:before="100" w:beforeAutospacing="1" w:after="100" w:afterAutospacing="1"/>
      <w:jc w:val="left"/>
    </w:pPr>
    <w:rPr>
      <w:rFonts w:ascii="Times New Roman" w:hAnsi="Times New Roman"/>
      <w:sz w:val="24"/>
      <w:lang w:val="es-CO"/>
    </w:rPr>
  </w:style>
  <w:style w:type="paragraph" w:customStyle="1" w:styleId="yiv1004224272msonormal">
    <w:name w:val="yiv1004224272msonormal"/>
    <w:basedOn w:val="Normal"/>
    <w:uiPriority w:val="99"/>
    <w:rsid w:val="00D44FD4"/>
    <w:pPr>
      <w:spacing w:before="100" w:beforeAutospacing="1" w:after="100" w:afterAutospacing="1"/>
      <w:jc w:val="left"/>
    </w:pPr>
    <w:rPr>
      <w:rFonts w:ascii="Times New Roman" w:hAnsi="Times New Roman"/>
      <w:sz w:val="24"/>
      <w:lang w:val="es-CO" w:eastAsia="es-CO"/>
    </w:rPr>
  </w:style>
  <w:style w:type="character" w:customStyle="1" w:styleId="textonavy">
    <w:name w:val="texto_navy"/>
    <w:uiPriority w:val="99"/>
    <w:rsid w:val="00D44FD4"/>
    <w:rPr>
      <w:rFonts w:cs="Times New Roman"/>
    </w:rPr>
  </w:style>
  <w:style w:type="paragraph" w:customStyle="1" w:styleId="msonormalcxspmiddlecxspmiddle">
    <w:name w:val="msonormalcxspmiddlecxspmiddle"/>
    <w:basedOn w:val="Normal"/>
    <w:uiPriority w:val="99"/>
    <w:rsid w:val="00D44FD4"/>
    <w:pPr>
      <w:spacing w:before="100" w:beforeAutospacing="1" w:after="100" w:afterAutospacing="1"/>
      <w:jc w:val="left"/>
    </w:pPr>
    <w:rPr>
      <w:rFonts w:ascii="Times New Roman" w:hAnsi="Times New Roman"/>
      <w:sz w:val="24"/>
      <w:lang w:val="es-CO" w:eastAsia="es-CO"/>
    </w:rPr>
  </w:style>
  <w:style w:type="paragraph" w:customStyle="1" w:styleId="ListParagraph1">
    <w:name w:val="List Paragraph1"/>
    <w:basedOn w:val="Normal"/>
    <w:uiPriority w:val="99"/>
    <w:rsid w:val="00D44FD4"/>
    <w:pPr>
      <w:spacing w:before="0" w:after="200" w:line="276" w:lineRule="auto"/>
      <w:ind w:left="720"/>
      <w:contextualSpacing/>
      <w:jc w:val="left"/>
    </w:pPr>
    <w:rPr>
      <w:rFonts w:ascii="Calibri" w:hAnsi="Calibri"/>
      <w:szCs w:val="22"/>
      <w:lang w:val="es-CO" w:eastAsia="en-US"/>
    </w:rPr>
  </w:style>
  <w:style w:type="table" w:customStyle="1" w:styleId="Tablaconcuadrcula5">
    <w:name w:val="Tabla con cuadrícula5"/>
    <w:basedOn w:val="Tablanormal"/>
    <w:next w:val="Tablaconcuadrcula"/>
    <w:uiPriority w:val="99"/>
    <w:rsid w:val="00D44FD4"/>
    <w:rPr>
      <w:rFonts w:ascii="Calibri" w:eastAsia="Calibri" w:hAnsi="Calibri"/>
      <w:lang w:val="es-CO" w:eastAsia="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WebCar">
    <w:name w:val="Normal (Web) Car"/>
    <w:aliases w:val="Car Car Car1,Car Car Car Car Car Car Car Car Car Car Car Car Car Car,Normal (Web) Car Car Car"/>
    <w:link w:val="NormalWeb"/>
    <w:uiPriority w:val="99"/>
    <w:locked/>
    <w:rsid w:val="00D44FD4"/>
    <w:rPr>
      <w:rFonts w:ascii="Arial" w:hAnsi="Arial"/>
      <w:sz w:val="22"/>
      <w:szCs w:val="24"/>
      <w:lang w:eastAsia="es-ES"/>
    </w:rPr>
  </w:style>
  <w:style w:type="numbering" w:customStyle="1" w:styleId="Estilo11">
    <w:name w:val="Estilo11"/>
    <w:rsid w:val="00D44FD4"/>
    <w:pPr>
      <w:numPr>
        <w:numId w:val="13"/>
      </w:numPr>
    </w:pPr>
  </w:style>
  <w:style w:type="paragraph" w:styleId="Textonotaalfinal">
    <w:name w:val="endnote text"/>
    <w:basedOn w:val="Normal"/>
    <w:link w:val="TextonotaalfinalCar"/>
    <w:uiPriority w:val="99"/>
    <w:semiHidden/>
    <w:unhideWhenUsed/>
    <w:rsid w:val="00D44FD4"/>
    <w:pPr>
      <w:spacing w:before="0"/>
      <w:jc w:val="left"/>
    </w:pPr>
    <w:rPr>
      <w:rFonts w:ascii="Times New Roman" w:hAnsi="Times New Roman"/>
      <w:sz w:val="20"/>
      <w:szCs w:val="20"/>
      <w:lang w:val="es-CO"/>
    </w:rPr>
  </w:style>
  <w:style w:type="character" w:customStyle="1" w:styleId="TextonotaalfinalCar">
    <w:name w:val="Texto nota al final Car"/>
    <w:basedOn w:val="Fuentedeprrafopredeter"/>
    <w:link w:val="Textonotaalfinal"/>
    <w:uiPriority w:val="99"/>
    <w:semiHidden/>
    <w:rsid w:val="00D44FD4"/>
    <w:rPr>
      <w:lang w:val="es-CO" w:eastAsia="es-ES"/>
    </w:rPr>
  </w:style>
  <w:style w:type="character" w:styleId="Refdenotaalfinal">
    <w:name w:val="endnote reference"/>
    <w:basedOn w:val="Fuentedeprrafopredeter"/>
    <w:uiPriority w:val="99"/>
    <w:semiHidden/>
    <w:unhideWhenUsed/>
    <w:rsid w:val="00D44FD4"/>
    <w:rPr>
      <w:vertAlign w:val="superscript"/>
    </w:rPr>
  </w:style>
  <w:style w:type="paragraph" w:styleId="Lista2">
    <w:name w:val="List 2"/>
    <w:basedOn w:val="Normal"/>
    <w:uiPriority w:val="99"/>
    <w:unhideWhenUsed/>
    <w:rsid w:val="00D44FD4"/>
    <w:pPr>
      <w:spacing w:before="0"/>
      <w:ind w:left="566" w:hanging="283"/>
      <w:contextualSpacing/>
    </w:pPr>
    <w:rPr>
      <w:rFonts w:ascii="Calibri" w:eastAsiaTheme="minorHAnsi" w:hAnsi="Calibri"/>
      <w:szCs w:val="22"/>
      <w:lang w:val="es-CO" w:eastAsia="en-US"/>
    </w:rPr>
  </w:style>
  <w:style w:type="numbering" w:customStyle="1" w:styleId="Sinlista3">
    <w:name w:val="Sin lista3"/>
    <w:next w:val="Sinlista"/>
    <w:uiPriority w:val="99"/>
    <w:semiHidden/>
    <w:unhideWhenUsed/>
    <w:rsid w:val="00D44FD4"/>
  </w:style>
  <w:style w:type="paragraph" w:customStyle="1" w:styleId="Text1">
    <w:name w:val="Text 1"/>
    <w:basedOn w:val="Normal"/>
    <w:uiPriority w:val="99"/>
    <w:rsid w:val="00D44FD4"/>
    <w:pPr>
      <w:keepLines/>
      <w:spacing w:before="0" w:line="360" w:lineRule="auto"/>
    </w:pPr>
    <w:rPr>
      <w:sz w:val="20"/>
      <w:szCs w:val="20"/>
      <w:lang w:eastAsia="en-US"/>
    </w:rPr>
  </w:style>
  <w:style w:type="paragraph" w:customStyle="1" w:styleId="pa7">
    <w:name w:val="pa7"/>
    <w:basedOn w:val="Normal"/>
    <w:rsid w:val="00D44FD4"/>
    <w:pPr>
      <w:spacing w:before="100" w:beforeAutospacing="1" w:after="100" w:afterAutospacing="1"/>
      <w:jc w:val="left"/>
    </w:pPr>
    <w:rPr>
      <w:rFonts w:ascii="Times New Roman" w:hAnsi="Times New Roman"/>
      <w:sz w:val="24"/>
      <w:lang w:val="es-CO" w:eastAsia="es-CO"/>
    </w:rPr>
  </w:style>
  <w:style w:type="paragraph" w:customStyle="1" w:styleId="Car2">
    <w:name w:val="Car2"/>
    <w:basedOn w:val="Normal"/>
    <w:semiHidden/>
    <w:rsid w:val="00D44FD4"/>
    <w:pPr>
      <w:spacing w:before="0" w:after="160" w:line="240" w:lineRule="exact"/>
      <w:jc w:val="left"/>
    </w:pPr>
    <w:rPr>
      <w:rFonts w:ascii="Verdana" w:hAnsi="Verdana"/>
      <w:sz w:val="20"/>
      <w:szCs w:val="20"/>
      <w:lang w:val="en-US" w:eastAsia="en-US"/>
    </w:rPr>
  </w:style>
  <w:style w:type="paragraph" w:customStyle="1" w:styleId="xmsolistparagraph">
    <w:name w:val="x_msolistparagraph"/>
    <w:basedOn w:val="Normal"/>
    <w:rsid w:val="00D44FD4"/>
    <w:pPr>
      <w:spacing w:before="100" w:beforeAutospacing="1" w:after="100" w:afterAutospacing="1"/>
      <w:jc w:val="left"/>
    </w:pPr>
    <w:rPr>
      <w:rFonts w:ascii="Times New Roman" w:hAnsi="Times New Roman"/>
      <w:sz w:val="24"/>
      <w:lang w:val="en-US" w:eastAsia="en-US"/>
    </w:rPr>
  </w:style>
  <w:style w:type="paragraph" w:customStyle="1" w:styleId="yiv1152893924msosubtitle">
    <w:name w:val="yiv1152893924msosubtitle"/>
    <w:basedOn w:val="Normal"/>
    <w:rsid w:val="00D44FD4"/>
    <w:pPr>
      <w:spacing w:before="100" w:beforeAutospacing="1" w:after="100" w:afterAutospacing="1"/>
      <w:jc w:val="left"/>
    </w:pPr>
    <w:rPr>
      <w:rFonts w:ascii="Times New Roman" w:hAnsi="Times New Roman"/>
      <w:sz w:val="24"/>
      <w:lang w:val="es-CO" w:eastAsia="es-CO"/>
    </w:rPr>
  </w:style>
  <w:style w:type="paragraph" w:customStyle="1" w:styleId="text10">
    <w:name w:val="text1"/>
    <w:basedOn w:val="Normal"/>
    <w:uiPriority w:val="99"/>
    <w:rsid w:val="00D44FD4"/>
    <w:pPr>
      <w:spacing w:before="0" w:line="360" w:lineRule="auto"/>
    </w:pPr>
    <w:rPr>
      <w:rFonts w:eastAsiaTheme="minorHAnsi" w:cs="Arial"/>
      <w:sz w:val="20"/>
      <w:szCs w:val="20"/>
      <w:lang w:val="es-CO" w:eastAsia="es-CO"/>
    </w:rPr>
  </w:style>
  <w:style w:type="table" w:customStyle="1" w:styleId="Tablaconcuadrcula6">
    <w:name w:val="Tabla con cuadrícula6"/>
    <w:basedOn w:val="Tablanormal"/>
    <w:next w:val="Tablaconcuadrcula"/>
    <w:uiPriority w:val="59"/>
    <w:rsid w:val="00D44FD4"/>
    <w:rPr>
      <w:rFonts w:asciiTheme="minorHAnsi" w:eastAsiaTheme="minorEastAsia" w:hAnsiTheme="minorHAnsi" w:cstheme="minorBidi"/>
      <w:sz w:val="22"/>
      <w:szCs w:val="22"/>
      <w:lang w:val="es-CO" w:eastAsia="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2">
    <w:name w:val="CM2"/>
    <w:basedOn w:val="Normal"/>
    <w:next w:val="Normal"/>
    <w:uiPriority w:val="99"/>
    <w:rsid w:val="00D44FD4"/>
    <w:pPr>
      <w:autoSpaceDE w:val="0"/>
      <w:autoSpaceDN w:val="0"/>
      <w:adjustRightInd w:val="0"/>
      <w:spacing w:before="0" w:line="278" w:lineRule="atLeast"/>
      <w:jc w:val="left"/>
    </w:pPr>
    <w:rPr>
      <w:rFonts w:eastAsiaTheme="minorHAnsi" w:cs="Arial"/>
      <w:sz w:val="24"/>
      <w:lang w:val="es-CO" w:eastAsia="en-US"/>
    </w:rPr>
  </w:style>
  <w:style w:type="paragraph" w:customStyle="1" w:styleId="xmsonormal">
    <w:name w:val="x_msonormal"/>
    <w:basedOn w:val="Normal"/>
    <w:rsid w:val="00D44FD4"/>
    <w:pPr>
      <w:spacing w:before="100" w:beforeAutospacing="1" w:after="100" w:afterAutospacing="1"/>
      <w:jc w:val="left"/>
    </w:pPr>
    <w:rPr>
      <w:rFonts w:ascii="Times New Roman" w:eastAsia="Calibri" w:hAnsi="Times New Roman"/>
      <w:sz w:val="24"/>
      <w:lang w:val="es-CO" w:eastAsia="es-CO"/>
    </w:rPr>
  </w:style>
  <w:style w:type="table" w:styleId="Cuadrculamedia3-nfasis1">
    <w:name w:val="Medium Grid 3 Accent 1"/>
    <w:basedOn w:val="Tablanormal"/>
    <w:uiPriority w:val="69"/>
    <w:rsid w:val="00D44FD4"/>
    <w:rPr>
      <w:rFonts w:asciiTheme="minorHAnsi" w:eastAsiaTheme="minorHAnsi" w:hAnsiTheme="minorHAnsi" w:cstheme="minorBidi"/>
      <w:sz w:val="22"/>
      <w:szCs w:val="22"/>
      <w:lang w:val="es-CO"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paragraph" w:customStyle="1" w:styleId="xl66">
    <w:name w:val="xl66"/>
    <w:basedOn w:val="Normal"/>
    <w:rsid w:val="00D44FD4"/>
    <w:pPr>
      <w:spacing w:before="100" w:beforeAutospacing="1" w:after="100" w:afterAutospacing="1"/>
      <w:jc w:val="left"/>
      <w:textAlignment w:val="center"/>
    </w:pPr>
    <w:rPr>
      <w:rFonts w:ascii="Times New Roman" w:hAnsi="Times New Roman"/>
      <w:sz w:val="24"/>
      <w:lang w:val="es-CO" w:eastAsia="es-CO"/>
    </w:rPr>
  </w:style>
  <w:style w:type="paragraph" w:customStyle="1" w:styleId="xl67">
    <w:name w:val="xl67"/>
    <w:basedOn w:val="Normal"/>
    <w:rsid w:val="00D44FD4"/>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hAnsi="Times New Roman"/>
      <w:sz w:val="24"/>
      <w:lang w:val="es-CO" w:eastAsia="es-CO"/>
    </w:rPr>
  </w:style>
  <w:style w:type="paragraph" w:customStyle="1" w:styleId="xl68">
    <w:name w:val="xl68"/>
    <w:basedOn w:val="Normal"/>
    <w:rsid w:val="00D44FD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lang w:val="es-CO" w:eastAsia="es-CO"/>
    </w:rPr>
  </w:style>
  <w:style w:type="paragraph" w:customStyle="1" w:styleId="xl69">
    <w:name w:val="xl69"/>
    <w:basedOn w:val="Normal"/>
    <w:rsid w:val="00D44FD4"/>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hAnsi="Times New Roman"/>
      <w:sz w:val="24"/>
      <w:lang w:val="es-CO" w:eastAsia="es-CO"/>
    </w:rPr>
  </w:style>
  <w:style w:type="paragraph" w:customStyle="1" w:styleId="xl70">
    <w:name w:val="xl70"/>
    <w:basedOn w:val="Normal"/>
    <w:rsid w:val="00D44FD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lang w:val="es-CO" w:eastAsia="es-CO"/>
    </w:rPr>
  </w:style>
  <w:style w:type="paragraph" w:customStyle="1" w:styleId="xl71">
    <w:name w:val="xl71"/>
    <w:basedOn w:val="Normal"/>
    <w:rsid w:val="00D44FD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lang w:val="es-CO" w:eastAsia="es-CO"/>
    </w:rPr>
  </w:style>
  <w:style w:type="paragraph" w:customStyle="1" w:styleId="xl72">
    <w:name w:val="xl72"/>
    <w:basedOn w:val="Normal"/>
    <w:rsid w:val="00D44FD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lang w:val="es-CO" w:eastAsia="es-CO"/>
    </w:rPr>
  </w:style>
  <w:style w:type="paragraph" w:customStyle="1" w:styleId="xl73">
    <w:name w:val="xl73"/>
    <w:basedOn w:val="Normal"/>
    <w:rsid w:val="00D44FD4"/>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hAnsi="Times New Roman"/>
      <w:sz w:val="24"/>
      <w:lang w:val="es-CO" w:eastAsia="es-CO"/>
    </w:rPr>
  </w:style>
  <w:style w:type="paragraph" w:customStyle="1" w:styleId="xl74">
    <w:name w:val="xl74"/>
    <w:basedOn w:val="Normal"/>
    <w:rsid w:val="00D44FD4"/>
    <w:pPr>
      <w:spacing w:before="100" w:beforeAutospacing="1" w:after="100" w:afterAutospacing="1"/>
      <w:jc w:val="left"/>
    </w:pPr>
    <w:rPr>
      <w:rFonts w:ascii="Times New Roman" w:hAnsi="Times New Roman"/>
      <w:sz w:val="24"/>
      <w:lang w:val="es-CO" w:eastAsia="es-CO"/>
    </w:rPr>
  </w:style>
  <w:style w:type="paragraph" w:customStyle="1" w:styleId="xl75">
    <w:name w:val="xl75"/>
    <w:basedOn w:val="Normal"/>
    <w:rsid w:val="00D44FD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lang w:val="es-CO" w:eastAsia="es-CO"/>
    </w:rPr>
  </w:style>
  <w:style w:type="paragraph" w:customStyle="1" w:styleId="xl76">
    <w:name w:val="xl76"/>
    <w:basedOn w:val="Normal"/>
    <w:rsid w:val="00D44FD4"/>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hAnsi="Times New Roman"/>
      <w:sz w:val="24"/>
      <w:lang w:val="es-CO" w:eastAsia="es-CO"/>
    </w:rPr>
  </w:style>
  <w:style w:type="paragraph" w:customStyle="1" w:styleId="xl77">
    <w:name w:val="xl77"/>
    <w:basedOn w:val="Normal"/>
    <w:rsid w:val="00D44FD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lang w:val="es-CO" w:eastAsia="es-CO"/>
    </w:rPr>
  </w:style>
  <w:style w:type="paragraph" w:customStyle="1" w:styleId="xl78">
    <w:name w:val="xl78"/>
    <w:basedOn w:val="Normal"/>
    <w:rsid w:val="00D44FD4"/>
    <w:pPr>
      <w:spacing w:before="100" w:beforeAutospacing="1" w:after="100" w:afterAutospacing="1"/>
      <w:jc w:val="left"/>
      <w:textAlignment w:val="center"/>
    </w:pPr>
    <w:rPr>
      <w:rFonts w:ascii="Times New Roman" w:hAnsi="Times New Roman"/>
      <w:sz w:val="24"/>
      <w:lang w:val="es-CO" w:eastAsia="es-CO"/>
    </w:rPr>
  </w:style>
  <w:style w:type="paragraph" w:customStyle="1" w:styleId="xl79">
    <w:name w:val="xl79"/>
    <w:basedOn w:val="Normal"/>
    <w:rsid w:val="00D44FD4"/>
    <w:pPr>
      <w:spacing w:before="100" w:beforeAutospacing="1" w:after="100" w:afterAutospacing="1"/>
      <w:jc w:val="left"/>
      <w:textAlignment w:val="center"/>
    </w:pPr>
    <w:rPr>
      <w:rFonts w:ascii="Times New Roman" w:hAnsi="Times New Roman"/>
      <w:sz w:val="24"/>
      <w:lang w:val="es-CO" w:eastAsia="es-CO"/>
    </w:rPr>
  </w:style>
  <w:style w:type="paragraph" w:customStyle="1" w:styleId="xl80">
    <w:name w:val="xl80"/>
    <w:basedOn w:val="Normal"/>
    <w:rsid w:val="00D44FD4"/>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sz w:val="24"/>
      <w:lang w:val="es-CO" w:eastAsia="es-CO"/>
    </w:rPr>
  </w:style>
  <w:style w:type="paragraph" w:customStyle="1" w:styleId="xl81">
    <w:name w:val="xl81"/>
    <w:basedOn w:val="Normal"/>
    <w:rsid w:val="00D44FD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textAlignment w:val="center"/>
    </w:pPr>
    <w:rPr>
      <w:rFonts w:ascii="Times New Roman" w:hAnsi="Times New Roman"/>
      <w:sz w:val="24"/>
      <w:lang w:val="es-CO" w:eastAsia="es-CO"/>
    </w:rPr>
  </w:style>
  <w:style w:type="paragraph" w:customStyle="1" w:styleId="xl82">
    <w:name w:val="xl82"/>
    <w:basedOn w:val="Normal"/>
    <w:rsid w:val="00D44FD4"/>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hAnsi="Times New Roman"/>
      <w:sz w:val="24"/>
      <w:lang w:val="es-CO" w:eastAsia="es-CO"/>
    </w:rPr>
  </w:style>
  <w:style w:type="paragraph" w:customStyle="1" w:styleId="xl83">
    <w:name w:val="xl83"/>
    <w:basedOn w:val="Normal"/>
    <w:rsid w:val="00D44FD4"/>
    <w:pPr>
      <w:pBdr>
        <w:top w:val="single" w:sz="4" w:space="0" w:color="auto"/>
        <w:left w:val="single" w:sz="4" w:space="0" w:color="auto"/>
        <w:right w:val="single" w:sz="4" w:space="0" w:color="auto"/>
      </w:pBdr>
      <w:spacing w:before="100" w:beforeAutospacing="1" w:after="100" w:afterAutospacing="1"/>
      <w:jc w:val="left"/>
      <w:textAlignment w:val="center"/>
    </w:pPr>
    <w:rPr>
      <w:rFonts w:ascii="Times New Roman" w:hAnsi="Times New Roman"/>
      <w:sz w:val="24"/>
      <w:lang w:val="es-CO" w:eastAsia="es-CO"/>
    </w:rPr>
  </w:style>
  <w:style w:type="paragraph" w:customStyle="1" w:styleId="xl84">
    <w:name w:val="xl84"/>
    <w:basedOn w:val="Normal"/>
    <w:rsid w:val="00D44FD4"/>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hAnsi="Times New Roman"/>
      <w:sz w:val="24"/>
      <w:lang w:val="es-CO" w:eastAsia="es-CO"/>
    </w:rPr>
  </w:style>
  <w:style w:type="paragraph" w:customStyle="1" w:styleId="xl85">
    <w:name w:val="xl85"/>
    <w:basedOn w:val="Normal"/>
    <w:rsid w:val="00D44FD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imes New Roman" w:hAnsi="Times New Roman"/>
      <w:sz w:val="24"/>
      <w:lang w:val="es-CO" w:eastAsia="es-CO"/>
    </w:rPr>
  </w:style>
  <w:style w:type="paragraph" w:customStyle="1" w:styleId="xl86">
    <w:name w:val="xl86"/>
    <w:basedOn w:val="Normal"/>
    <w:rsid w:val="00D44FD4"/>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cs="Arial"/>
      <w:sz w:val="24"/>
      <w:lang w:val="es-CO" w:eastAsia="es-CO"/>
    </w:rPr>
  </w:style>
  <w:style w:type="paragraph" w:customStyle="1" w:styleId="xl87">
    <w:name w:val="xl87"/>
    <w:basedOn w:val="Normal"/>
    <w:rsid w:val="00D44FD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imes New Roman" w:hAnsi="Times New Roman"/>
      <w:sz w:val="24"/>
      <w:lang w:val="es-CO" w:eastAsia="es-CO"/>
    </w:rPr>
  </w:style>
  <w:style w:type="paragraph" w:customStyle="1" w:styleId="xl88">
    <w:name w:val="xl88"/>
    <w:basedOn w:val="Normal"/>
    <w:rsid w:val="00D44FD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lang w:val="es-CO" w:eastAsia="es-CO"/>
    </w:rPr>
  </w:style>
  <w:style w:type="paragraph" w:customStyle="1" w:styleId="xl89">
    <w:name w:val="xl89"/>
    <w:basedOn w:val="Normal"/>
    <w:rsid w:val="00D44FD4"/>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hAnsi="Times New Roman"/>
      <w:sz w:val="24"/>
      <w:lang w:val="es-CO" w:eastAsia="es-CO"/>
    </w:rPr>
  </w:style>
  <w:style w:type="paragraph" w:customStyle="1" w:styleId="xl90">
    <w:name w:val="xl90"/>
    <w:basedOn w:val="Normal"/>
    <w:rsid w:val="00D44FD4"/>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sz w:val="24"/>
      <w:lang w:val="es-CO" w:eastAsia="es-CO"/>
    </w:rPr>
  </w:style>
  <w:style w:type="paragraph" w:customStyle="1" w:styleId="xl91">
    <w:name w:val="xl91"/>
    <w:basedOn w:val="Normal"/>
    <w:rsid w:val="00D44FD4"/>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sz w:val="24"/>
      <w:lang w:val="es-CO" w:eastAsia="es-CO"/>
    </w:rPr>
  </w:style>
  <w:style w:type="paragraph" w:customStyle="1" w:styleId="xl92">
    <w:name w:val="xl92"/>
    <w:basedOn w:val="Normal"/>
    <w:rsid w:val="00D44FD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4"/>
      <w:lang w:val="es-CO" w:eastAsia="es-CO"/>
    </w:rPr>
  </w:style>
  <w:style w:type="paragraph" w:customStyle="1" w:styleId="xl93">
    <w:name w:val="xl93"/>
    <w:basedOn w:val="Normal"/>
    <w:rsid w:val="00D44FD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4"/>
      <w:lang w:val="es-CO" w:eastAsia="es-CO"/>
    </w:rPr>
  </w:style>
  <w:style w:type="paragraph" w:customStyle="1" w:styleId="xl94">
    <w:name w:val="xl94"/>
    <w:basedOn w:val="Normal"/>
    <w:rsid w:val="00D44FD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4"/>
      <w:lang w:val="es-CO" w:eastAsia="es-CO"/>
    </w:rPr>
  </w:style>
  <w:style w:type="paragraph" w:customStyle="1" w:styleId="xl95">
    <w:name w:val="xl95"/>
    <w:basedOn w:val="Normal"/>
    <w:rsid w:val="00D44FD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4"/>
      <w:lang w:val="es-CO" w:eastAsia="es-CO"/>
    </w:rPr>
  </w:style>
  <w:style w:type="paragraph" w:customStyle="1" w:styleId="xl96">
    <w:name w:val="xl96"/>
    <w:basedOn w:val="Normal"/>
    <w:rsid w:val="00D44FD4"/>
    <w:pPr>
      <w:pBdr>
        <w:top w:val="single" w:sz="4" w:space="0" w:color="auto"/>
        <w:left w:val="single" w:sz="4" w:space="0" w:color="auto"/>
        <w:bottom w:val="single" w:sz="4" w:space="0" w:color="auto"/>
        <w:right w:val="single" w:sz="4" w:space="0" w:color="auto"/>
      </w:pBdr>
      <w:shd w:val="clear" w:color="000000" w:fill="FF99CC"/>
      <w:spacing w:before="100" w:beforeAutospacing="1" w:after="100" w:afterAutospacing="1"/>
      <w:jc w:val="center"/>
    </w:pPr>
    <w:rPr>
      <w:rFonts w:ascii="Times New Roman" w:hAnsi="Times New Roman"/>
      <w:sz w:val="24"/>
      <w:lang w:val="es-CO" w:eastAsia="es-CO"/>
    </w:rPr>
  </w:style>
  <w:style w:type="paragraph" w:customStyle="1" w:styleId="xl97">
    <w:name w:val="xl97"/>
    <w:basedOn w:val="Normal"/>
    <w:rsid w:val="00D44FD4"/>
    <w:pPr>
      <w:pBdr>
        <w:top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4"/>
      <w:lang w:val="es-CO" w:eastAsia="es-CO"/>
    </w:rPr>
  </w:style>
  <w:style w:type="paragraph" w:customStyle="1" w:styleId="xl98">
    <w:name w:val="xl98"/>
    <w:basedOn w:val="Normal"/>
    <w:rsid w:val="00D44FD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4"/>
      <w:lang w:val="es-CO" w:eastAsia="es-CO"/>
    </w:rPr>
  </w:style>
  <w:style w:type="paragraph" w:customStyle="1" w:styleId="xl99">
    <w:name w:val="xl99"/>
    <w:basedOn w:val="Normal"/>
    <w:rsid w:val="00D44FD4"/>
    <w:pPr>
      <w:pBdr>
        <w:top w:val="single" w:sz="4" w:space="0" w:color="auto"/>
        <w:left w:val="single" w:sz="4" w:space="0" w:color="auto"/>
        <w:right w:val="single" w:sz="4" w:space="0" w:color="auto"/>
      </w:pBdr>
      <w:spacing w:before="100" w:beforeAutospacing="1" w:after="100" w:afterAutospacing="1"/>
      <w:jc w:val="center"/>
    </w:pPr>
    <w:rPr>
      <w:rFonts w:ascii="Times New Roman" w:hAnsi="Times New Roman"/>
      <w:sz w:val="24"/>
      <w:lang w:val="es-CO" w:eastAsia="es-CO"/>
    </w:rPr>
  </w:style>
  <w:style w:type="paragraph" w:customStyle="1" w:styleId="xl100">
    <w:name w:val="xl100"/>
    <w:basedOn w:val="Normal"/>
    <w:rsid w:val="00D44FD4"/>
    <w:pPr>
      <w:pBdr>
        <w:top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4"/>
      <w:lang w:val="es-CO" w:eastAsia="es-CO"/>
    </w:rPr>
  </w:style>
  <w:style w:type="paragraph" w:customStyle="1" w:styleId="xl101">
    <w:name w:val="xl101"/>
    <w:basedOn w:val="Normal"/>
    <w:rsid w:val="00D44FD4"/>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sz w:val="24"/>
      <w:lang w:val="es-CO" w:eastAsia="es-CO"/>
    </w:rPr>
  </w:style>
  <w:style w:type="paragraph" w:customStyle="1" w:styleId="xl102">
    <w:name w:val="xl102"/>
    <w:basedOn w:val="Normal"/>
    <w:rsid w:val="00D44FD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4"/>
      <w:lang w:val="es-CO" w:eastAsia="es-CO"/>
    </w:rPr>
  </w:style>
  <w:style w:type="paragraph" w:customStyle="1" w:styleId="xl103">
    <w:name w:val="xl103"/>
    <w:basedOn w:val="Normal"/>
    <w:rsid w:val="00D44FD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4"/>
      <w:lang w:val="es-CO" w:eastAsia="es-CO"/>
    </w:rPr>
  </w:style>
  <w:style w:type="paragraph" w:customStyle="1" w:styleId="xl104">
    <w:name w:val="xl104"/>
    <w:basedOn w:val="Normal"/>
    <w:rsid w:val="00D44FD4"/>
    <w:pPr>
      <w:spacing w:before="100" w:beforeAutospacing="1" w:after="100" w:afterAutospacing="1"/>
      <w:jc w:val="center"/>
    </w:pPr>
    <w:rPr>
      <w:rFonts w:ascii="Times New Roman" w:hAnsi="Times New Roman"/>
      <w:sz w:val="24"/>
      <w:lang w:val="es-CO" w:eastAsia="es-CO"/>
    </w:rPr>
  </w:style>
  <w:style w:type="paragraph" w:customStyle="1" w:styleId="xl105">
    <w:name w:val="xl105"/>
    <w:basedOn w:val="Normal"/>
    <w:rsid w:val="00D44FD4"/>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sz w:val="24"/>
      <w:lang w:val="es-CO" w:eastAsia="es-CO"/>
    </w:rPr>
  </w:style>
  <w:style w:type="paragraph" w:customStyle="1" w:styleId="xl106">
    <w:name w:val="xl106"/>
    <w:basedOn w:val="Normal"/>
    <w:rsid w:val="00D44FD4"/>
    <w:pPr>
      <w:pBdr>
        <w:top w:val="single" w:sz="4" w:space="0" w:color="auto"/>
        <w:left w:val="single" w:sz="4" w:space="0" w:color="auto"/>
        <w:right w:val="single" w:sz="4" w:space="0" w:color="auto"/>
      </w:pBdr>
      <w:spacing w:before="100" w:beforeAutospacing="1" w:after="100" w:afterAutospacing="1"/>
      <w:jc w:val="left"/>
    </w:pPr>
    <w:rPr>
      <w:rFonts w:ascii="Times New Roman" w:hAnsi="Times New Roman"/>
      <w:sz w:val="24"/>
      <w:lang w:val="es-CO" w:eastAsia="es-CO"/>
    </w:rPr>
  </w:style>
  <w:style w:type="paragraph" w:customStyle="1" w:styleId="xl107">
    <w:name w:val="xl107"/>
    <w:basedOn w:val="Normal"/>
    <w:rsid w:val="00D44FD4"/>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sz w:val="24"/>
      <w:lang w:val="es-CO" w:eastAsia="es-CO"/>
    </w:rPr>
  </w:style>
  <w:style w:type="paragraph" w:customStyle="1" w:styleId="xl108">
    <w:name w:val="xl108"/>
    <w:basedOn w:val="Normal"/>
    <w:rsid w:val="00D44FD4"/>
    <w:pPr>
      <w:spacing w:before="100" w:beforeAutospacing="1" w:after="100" w:afterAutospacing="1"/>
      <w:jc w:val="left"/>
    </w:pPr>
    <w:rPr>
      <w:rFonts w:ascii="Times New Roman" w:hAnsi="Times New Roman"/>
      <w:sz w:val="24"/>
      <w:lang w:val="es-CO" w:eastAsia="es-CO"/>
    </w:rPr>
  </w:style>
  <w:style w:type="paragraph" w:customStyle="1" w:styleId="xl109">
    <w:name w:val="xl109"/>
    <w:basedOn w:val="Normal"/>
    <w:rsid w:val="00D44FD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4"/>
      <w:lang w:val="es-CO" w:eastAsia="es-CO"/>
    </w:rPr>
  </w:style>
  <w:style w:type="paragraph" w:customStyle="1" w:styleId="xl110">
    <w:name w:val="xl110"/>
    <w:basedOn w:val="Normal"/>
    <w:rsid w:val="00D44FD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4"/>
      <w:lang w:val="es-CO" w:eastAsia="es-CO"/>
    </w:rPr>
  </w:style>
  <w:style w:type="paragraph" w:customStyle="1" w:styleId="xl111">
    <w:name w:val="xl111"/>
    <w:basedOn w:val="Normal"/>
    <w:rsid w:val="00D44FD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4"/>
      <w:lang w:val="es-CO" w:eastAsia="es-CO"/>
    </w:rPr>
  </w:style>
  <w:style w:type="paragraph" w:customStyle="1" w:styleId="xl112">
    <w:name w:val="xl112"/>
    <w:basedOn w:val="Normal"/>
    <w:rsid w:val="00D44FD4"/>
    <w:pPr>
      <w:spacing w:before="100" w:beforeAutospacing="1" w:after="100" w:afterAutospacing="1"/>
      <w:jc w:val="center"/>
    </w:pPr>
    <w:rPr>
      <w:rFonts w:ascii="Times New Roman" w:hAnsi="Times New Roman"/>
      <w:sz w:val="24"/>
      <w:lang w:val="es-CO" w:eastAsia="es-CO"/>
    </w:rPr>
  </w:style>
  <w:style w:type="paragraph" w:customStyle="1" w:styleId="xl113">
    <w:name w:val="xl113"/>
    <w:basedOn w:val="Normal"/>
    <w:rsid w:val="00D44FD4"/>
    <w:pPr>
      <w:pBdr>
        <w:top w:val="single" w:sz="8" w:space="0" w:color="auto"/>
        <w:left w:val="single" w:sz="8" w:space="0" w:color="auto"/>
        <w:bottom w:val="single" w:sz="8" w:space="0" w:color="auto"/>
        <w:right w:val="single" w:sz="8" w:space="0" w:color="auto"/>
      </w:pBdr>
      <w:spacing w:before="100" w:beforeAutospacing="1" w:after="100" w:afterAutospacing="1"/>
      <w:jc w:val="left"/>
    </w:pPr>
    <w:rPr>
      <w:rFonts w:cs="Arial"/>
      <w:sz w:val="24"/>
      <w:lang w:val="es-CO" w:eastAsia="es-CO"/>
    </w:rPr>
  </w:style>
  <w:style w:type="paragraph" w:customStyle="1" w:styleId="xl114">
    <w:name w:val="xl114"/>
    <w:basedOn w:val="Normal"/>
    <w:rsid w:val="00D44FD4"/>
    <w:pPr>
      <w:pBdr>
        <w:left w:val="single" w:sz="8" w:space="0" w:color="auto"/>
        <w:bottom w:val="single" w:sz="8" w:space="0" w:color="auto"/>
        <w:right w:val="single" w:sz="8" w:space="0" w:color="auto"/>
      </w:pBdr>
      <w:spacing w:before="100" w:beforeAutospacing="1" w:after="100" w:afterAutospacing="1"/>
      <w:jc w:val="left"/>
    </w:pPr>
    <w:rPr>
      <w:rFonts w:cs="Arial"/>
      <w:sz w:val="24"/>
      <w:lang w:val="es-CO" w:eastAsia="es-CO"/>
    </w:rPr>
  </w:style>
  <w:style w:type="paragraph" w:customStyle="1" w:styleId="xl115">
    <w:name w:val="xl115"/>
    <w:basedOn w:val="Normal"/>
    <w:rsid w:val="00D44FD4"/>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Calibri" w:hAnsi="Calibri"/>
      <w:sz w:val="24"/>
      <w:lang w:val="es-CO" w:eastAsia="es-CO"/>
    </w:rPr>
  </w:style>
  <w:style w:type="paragraph" w:customStyle="1" w:styleId="xl116">
    <w:name w:val="xl116"/>
    <w:basedOn w:val="Normal"/>
    <w:rsid w:val="00D44FD4"/>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cs="Arial"/>
      <w:sz w:val="24"/>
      <w:lang w:val="es-CO" w:eastAsia="es-CO"/>
    </w:rPr>
  </w:style>
  <w:style w:type="paragraph" w:customStyle="1" w:styleId="xl117">
    <w:name w:val="xl117"/>
    <w:basedOn w:val="Normal"/>
    <w:rsid w:val="00D44FD4"/>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Calibri" w:hAnsi="Calibri"/>
      <w:sz w:val="24"/>
      <w:lang w:val="es-CO" w:eastAsia="es-CO"/>
    </w:rPr>
  </w:style>
  <w:style w:type="paragraph" w:customStyle="1" w:styleId="xl118">
    <w:name w:val="xl118"/>
    <w:basedOn w:val="Normal"/>
    <w:rsid w:val="00D44FD4"/>
    <w:pPr>
      <w:pBdr>
        <w:left w:val="single" w:sz="4" w:space="0" w:color="auto"/>
        <w:bottom w:val="single" w:sz="4" w:space="0" w:color="auto"/>
        <w:right w:val="single" w:sz="4" w:space="0" w:color="auto"/>
      </w:pBdr>
      <w:spacing w:before="100" w:beforeAutospacing="1" w:after="100" w:afterAutospacing="1"/>
      <w:jc w:val="left"/>
    </w:pPr>
    <w:rPr>
      <w:rFonts w:ascii="Times New Roman" w:hAnsi="Times New Roman"/>
      <w:sz w:val="24"/>
      <w:lang w:val="es-CO" w:eastAsia="es-CO"/>
    </w:rPr>
  </w:style>
  <w:style w:type="paragraph" w:customStyle="1" w:styleId="xl119">
    <w:name w:val="xl119"/>
    <w:basedOn w:val="Normal"/>
    <w:rsid w:val="00D44FD4"/>
    <w:pPr>
      <w:pBdr>
        <w:top w:val="single" w:sz="4" w:space="0" w:color="auto"/>
        <w:left w:val="single" w:sz="4" w:space="0" w:color="auto"/>
        <w:right w:val="single" w:sz="4" w:space="0" w:color="auto"/>
      </w:pBdr>
      <w:spacing w:before="100" w:beforeAutospacing="1" w:after="100" w:afterAutospacing="1"/>
      <w:jc w:val="left"/>
    </w:pPr>
    <w:rPr>
      <w:rFonts w:cs="Arial"/>
      <w:sz w:val="24"/>
      <w:lang w:val="es-CO" w:eastAsia="es-CO"/>
    </w:rPr>
  </w:style>
  <w:style w:type="paragraph" w:customStyle="1" w:styleId="xl120">
    <w:name w:val="xl120"/>
    <w:basedOn w:val="Normal"/>
    <w:rsid w:val="00D44FD4"/>
    <w:pPr>
      <w:pBdr>
        <w:left w:val="single" w:sz="4" w:space="0" w:color="auto"/>
        <w:bottom w:val="single" w:sz="4" w:space="0" w:color="auto"/>
        <w:right w:val="single" w:sz="4" w:space="0" w:color="auto"/>
      </w:pBdr>
      <w:spacing w:before="100" w:beforeAutospacing="1" w:after="100" w:afterAutospacing="1"/>
      <w:jc w:val="left"/>
    </w:pPr>
    <w:rPr>
      <w:rFonts w:cs="Arial"/>
      <w:sz w:val="24"/>
      <w:lang w:val="es-CO" w:eastAsia="es-CO"/>
    </w:rPr>
  </w:style>
  <w:style w:type="paragraph" w:customStyle="1" w:styleId="xl121">
    <w:name w:val="xl121"/>
    <w:basedOn w:val="Normal"/>
    <w:rsid w:val="00D44FD4"/>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cs="Arial"/>
      <w:sz w:val="16"/>
      <w:szCs w:val="16"/>
      <w:lang w:val="es-CO" w:eastAsia="es-CO"/>
    </w:rPr>
  </w:style>
  <w:style w:type="paragraph" w:customStyle="1" w:styleId="xl122">
    <w:name w:val="xl122"/>
    <w:basedOn w:val="Normal"/>
    <w:rsid w:val="00D44FD4"/>
    <w:pPr>
      <w:pBdr>
        <w:top w:val="single" w:sz="8" w:space="0" w:color="auto"/>
        <w:left w:val="single" w:sz="8" w:space="0" w:color="auto"/>
        <w:bottom w:val="single" w:sz="8" w:space="0" w:color="auto"/>
        <w:right w:val="single" w:sz="8" w:space="0" w:color="auto"/>
      </w:pBdr>
      <w:spacing w:before="100" w:beforeAutospacing="1" w:after="100" w:afterAutospacing="1"/>
      <w:jc w:val="left"/>
    </w:pPr>
    <w:rPr>
      <w:rFonts w:ascii="Times New Roman" w:hAnsi="Times New Roman"/>
      <w:sz w:val="24"/>
      <w:lang w:val="es-CO" w:eastAsia="es-CO"/>
    </w:rPr>
  </w:style>
  <w:style w:type="paragraph" w:customStyle="1" w:styleId="xl123">
    <w:name w:val="xl123"/>
    <w:basedOn w:val="Normal"/>
    <w:rsid w:val="00D44FD4"/>
    <w:pPr>
      <w:pBdr>
        <w:top w:val="single" w:sz="4" w:space="0" w:color="auto"/>
        <w:left w:val="single" w:sz="4" w:space="0" w:color="auto"/>
        <w:bottom w:val="single" w:sz="4" w:space="0" w:color="auto"/>
      </w:pBdr>
      <w:spacing w:before="100" w:beforeAutospacing="1" w:after="100" w:afterAutospacing="1"/>
      <w:jc w:val="center"/>
    </w:pPr>
    <w:rPr>
      <w:rFonts w:ascii="Times New Roman" w:hAnsi="Times New Roman"/>
      <w:sz w:val="24"/>
      <w:lang w:val="es-CO" w:eastAsia="es-CO"/>
    </w:rPr>
  </w:style>
  <w:style w:type="paragraph" w:customStyle="1" w:styleId="xl124">
    <w:name w:val="xl124"/>
    <w:basedOn w:val="Normal"/>
    <w:rsid w:val="00D44FD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4"/>
      <w:lang w:val="es-CO" w:eastAsia="es-CO"/>
    </w:rPr>
  </w:style>
  <w:style w:type="paragraph" w:customStyle="1" w:styleId="xl125">
    <w:name w:val="xl125"/>
    <w:basedOn w:val="Normal"/>
    <w:rsid w:val="00D44F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Times New Roman" w:hAnsi="Times New Roman"/>
      <w:sz w:val="24"/>
      <w:lang w:val="es-CO" w:eastAsia="es-CO"/>
    </w:rPr>
  </w:style>
  <w:style w:type="paragraph" w:customStyle="1" w:styleId="xl126">
    <w:name w:val="xl126"/>
    <w:basedOn w:val="Normal"/>
    <w:rsid w:val="00D44FD4"/>
    <w:pPr>
      <w:pBdr>
        <w:top w:val="single" w:sz="4" w:space="0" w:color="auto"/>
        <w:left w:val="single" w:sz="4" w:space="0" w:color="auto"/>
        <w:right w:val="single" w:sz="4" w:space="0" w:color="auto"/>
      </w:pBdr>
      <w:spacing w:before="100" w:beforeAutospacing="1" w:after="100" w:afterAutospacing="1"/>
      <w:jc w:val="left"/>
    </w:pPr>
    <w:rPr>
      <w:rFonts w:ascii="Times New Roman" w:hAnsi="Times New Roman"/>
      <w:sz w:val="24"/>
      <w:lang w:val="es-CO" w:eastAsia="es-CO"/>
    </w:rPr>
  </w:style>
  <w:style w:type="paragraph" w:customStyle="1" w:styleId="xl127">
    <w:name w:val="xl127"/>
    <w:basedOn w:val="Normal"/>
    <w:rsid w:val="00D44FD4"/>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sz w:val="24"/>
      <w:lang w:val="es-CO" w:eastAsia="es-CO"/>
    </w:rPr>
  </w:style>
  <w:style w:type="paragraph" w:customStyle="1" w:styleId="xl128">
    <w:name w:val="xl128"/>
    <w:basedOn w:val="Normal"/>
    <w:rsid w:val="00D44FD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Times New Roman" w:hAnsi="Times New Roman"/>
      <w:sz w:val="24"/>
      <w:lang w:val="es-CO" w:eastAsia="es-CO"/>
    </w:rPr>
  </w:style>
  <w:style w:type="paragraph" w:customStyle="1" w:styleId="xl129">
    <w:name w:val="xl129"/>
    <w:basedOn w:val="Normal"/>
    <w:rsid w:val="00D44FD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pPr>
    <w:rPr>
      <w:rFonts w:ascii="Times New Roman" w:hAnsi="Times New Roman"/>
      <w:sz w:val="24"/>
      <w:lang w:val="es-CO" w:eastAsia="es-CO"/>
    </w:rPr>
  </w:style>
  <w:style w:type="paragraph" w:customStyle="1" w:styleId="xl130">
    <w:name w:val="xl130"/>
    <w:basedOn w:val="Normal"/>
    <w:rsid w:val="00D44FD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Times New Roman" w:hAnsi="Times New Roman"/>
      <w:sz w:val="24"/>
      <w:lang w:val="es-CO" w:eastAsia="es-CO"/>
    </w:rPr>
  </w:style>
  <w:style w:type="paragraph" w:customStyle="1" w:styleId="xl131">
    <w:name w:val="xl131"/>
    <w:basedOn w:val="Normal"/>
    <w:rsid w:val="00D44FD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imes New Roman" w:hAnsi="Times New Roman"/>
      <w:sz w:val="24"/>
      <w:lang w:val="es-CO" w:eastAsia="es-CO"/>
    </w:rPr>
  </w:style>
  <w:style w:type="paragraph" w:customStyle="1" w:styleId="xl132">
    <w:name w:val="xl132"/>
    <w:basedOn w:val="Normal"/>
    <w:rsid w:val="00D44FD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imes New Roman" w:hAnsi="Times New Roman"/>
      <w:sz w:val="24"/>
      <w:lang w:val="es-CO" w:eastAsia="es-CO"/>
    </w:rPr>
  </w:style>
  <w:style w:type="paragraph" w:customStyle="1" w:styleId="xl133">
    <w:name w:val="xl133"/>
    <w:basedOn w:val="Normal"/>
    <w:rsid w:val="00D44FD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pPr>
    <w:rPr>
      <w:rFonts w:ascii="Times New Roman" w:hAnsi="Times New Roman"/>
      <w:sz w:val="24"/>
      <w:lang w:val="es-CO" w:eastAsia="es-CO"/>
    </w:rPr>
  </w:style>
  <w:style w:type="paragraph" w:customStyle="1" w:styleId="xl134">
    <w:name w:val="xl134"/>
    <w:basedOn w:val="Normal"/>
    <w:rsid w:val="00D44FD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pPr>
    <w:rPr>
      <w:rFonts w:ascii="Times New Roman" w:hAnsi="Times New Roman"/>
      <w:sz w:val="24"/>
      <w:lang w:val="es-CO" w:eastAsia="es-CO"/>
    </w:rPr>
  </w:style>
  <w:style w:type="paragraph" w:customStyle="1" w:styleId="xl135">
    <w:name w:val="xl135"/>
    <w:basedOn w:val="Normal"/>
    <w:rsid w:val="00D44FD4"/>
    <w:pPr>
      <w:shd w:val="clear" w:color="000000" w:fill="FFFF00"/>
      <w:spacing w:before="100" w:beforeAutospacing="1" w:after="100" w:afterAutospacing="1"/>
      <w:jc w:val="left"/>
      <w:textAlignment w:val="center"/>
    </w:pPr>
    <w:rPr>
      <w:rFonts w:ascii="Times New Roman" w:hAnsi="Times New Roman"/>
      <w:sz w:val="24"/>
      <w:lang w:val="es-CO" w:eastAsia="es-CO"/>
    </w:rPr>
  </w:style>
  <w:style w:type="paragraph" w:customStyle="1" w:styleId="xl136">
    <w:name w:val="xl136"/>
    <w:basedOn w:val="Normal"/>
    <w:rsid w:val="00D44FD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Times New Roman" w:hAnsi="Times New Roman"/>
      <w:sz w:val="24"/>
      <w:lang w:val="es-CO" w:eastAsia="es-CO"/>
    </w:rPr>
  </w:style>
  <w:style w:type="paragraph" w:customStyle="1" w:styleId="xl137">
    <w:name w:val="xl137"/>
    <w:basedOn w:val="Normal"/>
    <w:rsid w:val="00D44FD4"/>
    <w:pPr>
      <w:shd w:val="clear" w:color="000000" w:fill="FFFFFF"/>
      <w:spacing w:before="100" w:beforeAutospacing="1" w:after="100" w:afterAutospacing="1"/>
      <w:jc w:val="left"/>
      <w:textAlignment w:val="center"/>
    </w:pPr>
    <w:rPr>
      <w:rFonts w:ascii="Times New Roman" w:hAnsi="Times New Roman"/>
      <w:sz w:val="24"/>
      <w:lang w:val="es-CO" w:eastAsia="es-CO"/>
    </w:rPr>
  </w:style>
  <w:style w:type="paragraph" w:customStyle="1" w:styleId="xl138">
    <w:name w:val="xl138"/>
    <w:basedOn w:val="Normal"/>
    <w:rsid w:val="00D44FD4"/>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pPr>
    <w:rPr>
      <w:rFonts w:ascii="Times New Roman" w:hAnsi="Times New Roman"/>
      <w:sz w:val="24"/>
      <w:lang w:val="es-CO" w:eastAsia="es-CO"/>
    </w:rPr>
  </w:style>
  <w:style w:type="paragraph" w:customStyle="1" w:styleId="xl139">
    <w:name w:val="xl139"/>
    <w:basedOn w:val="Normal"/>
    <w:rsid w:val="00D44FD4"/>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left"/>
    </w:pPr>
    <w:rPr>
      <w:rFonts w:ascii="Times New Roman" w:hAnsi="Times New Roman"/>
      <w:sz w:val="24"/>
      <w:lang w:val="es-CO" w:eastAsia="es-CO"/>
    </w:rPr>
  </w:style>
  <w:style w:type="paragraph" w:customStyle="1" w:styleId="xl140">
    <w:name w:val="xl140"/>
    <w:basedOn w:val="Normal"/>
    <w:rsid w:val="00D44FD4"/>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left"/>
    </w:pPr>
    <w:rPr>
      <w:rFonts w:ascii="Times New Roman" w:hAnsi="Times New Roman"/>
      <w:sz w:val="24"/>
      <w:lang w:val="es-CO" w:eastAsia="es-CO"/>
    </w:rPr>
  </w:style>
  <w:style w:type="paragraph" w:customStyle="1" w:styleId="xl141">
    <w:name w:val="xl141"/>
    <w:basedOn w:val="Normal"/>
    <w:rsid w:val="00D44FD4"/>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right"/>
      <w:textAlignment w:val="center"/>
    </w:pPr>
    <w:rPr>
      <w:rFonts w:ascii="Times New Roman" w:hAnsi="Times New Roman"/>
      <w:sz w:val="24"/>
      <w:lang w:val="es-CO" w:eastAsia="es-CO"/>
    </w:rPr>
  </w:style>
  <w:style w:type="paragraph" w:customStyle="1" w:styleId="xl142">
    <w:name w:val="xl142"/>
    <w:basedOn w:val="Normal"/>
    <w:rsid w:val="00D44FD4"/>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rFonts w:ascii="Times New Roman" w:hAnsi="Times New Roman"/>
      <w:sz w:val="24"/>
      <w:lang w:val="es-CO" w:eastAsia="es-CO"/>
    </w:rPr>
  </w:style>
  <w:style w:type="paragraph" w:customStyle="1" w:styleId="xl143">
    <w:name w:val="xl143"/>
    <w:basedOn w:val="Normal"/>
    <w:rsid w:val="00D44FD4"/>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jc w:val="center"/>
    </w:pPr>
    <w:rPr>
      <w:rFonts w:cs="Arial"/>
      <w:color w:val="538DD5"/>
      <w:sz w:val="24"/>
      <w:lang w:val="es-CO" w:eastAsia="es-CO"/>
    </w:rPr>
  </w:style>
  <w:style w:type="paragraph" w:customStyle="1" w:styleId="xl144">
    <w:name w:val="xl144"/>
    <w:basedOn w:val="Normal"/>
    <w:rsid w:val="00D44FD4"/>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jc w:val="center"/>
    </w:pPr>
    <w:rPr>
      <w:rFonts w:ascii="Times New Roman" w:hAnsi="Times New Roman"/>
      <w:b/>
      <w:bCs/>
      <w:sz w:val="18"/>
      <w:szCs w:val="18"/>
      <w:lang w:val="es-CO" w:eastAsia="es-CO"/>
    </w:rPr>
  </w:style>
  <w:style w:type="paragraph" w:customStyle="1" w:styleId="xl145">
    <w:name w:val="xl145"/>
    <w:basedOn w:val="Normal"/>
    <w:rsid w:val="00D44FD4"/>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jc w:val="left"/>
    </w:pPr>
    <w:rPr>
      <w:rFonts w:ascii="Times New Roman" w:hAnsi="Times New Roman"/>
      <w:b/>
      <w:bCs/>
      <w:sz w:val="18"/>
      <w:szCs w:val="18"/>
      <w:lang w:val="es-CO" w:eastAsia="es-CO"/>
    </w:rPr>
  </w:style>
  <w:style w:type="paragraph" w:customStyle="1" w:styleId="xl146">
    <w:name w:val="xl146"/>
    <w:basedOn w:val="Normal"/>
    <w:rsid w:val="00D44FD4"/>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jc w:val="center"/>
      <w:textAlignment w:val="center"/>
    </w:pPr>
    <w:rPr>
      <w:rFonts w:ascii="Times New Roman" w:hAnsi="Times New Roman"/>
      <w:b/>
      <w:bCs/>
      <w:sz w:val="18"/>
      <w:szCs w:val="18"/>
      <w:lang w:val="es-CO" w:eastAsia="es-CO"/>
    </w:rPr>
  </w:style>
  <w:style w:type="paragraph" w:customStyle="1" w:styleId="xl147">
    <w:name w:val="xl147"/>
    <w:basedOn w:val="Normal"/>
    <w:rsid w:val="00D44FD4"/>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jc w:val="center"/>
    </w:pPr>
    <w:rPr>
      <w:rFonts w:ascii="Times New Roman" w:hAnsi="Times New Roman"/>
      <w:b/>
      <w:bCs/>
      <w:sz w:val="18"/>
      <w:szCs w:val="18"/>
      <w:lang w:val="es-CO" w:eastAsia="es-CO"/>
    </w:rPr>
  </w:style>
  <w:style w:type="paragraph" w:customStyle="1" w:styleId="xl148">
    <w:name w:val="xl148"/>
    <w:basedOn w:val="Normal"/>
    <w:rsid w:val="00D44FD4"/>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jc w:val="left"/>
    </w:pPr>
    <w:rPr>
      <w:rFonts w:ascii="Times New Roman" w:hAnsi="Times New Roman"/>
      <w:b/>
      <w:bCs/>
      <w:sz w:val="18"/>
      <w:szCs w:val="18"/>
      <w:lang w:val="es-CO" w:eastAsia="es-CO"/>
    </w:rPr>
  </w:style>
  <w:style w:type="paragraph" w:customStyle="1" w:styleId="xl149">
    <w:name w:val="xl149"/>
    <w:basedOn w:val="Normal"/>
    <w:rsid w:val="00D44F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Times New Roman" w:hAnsi="Times New Roman"/>
      <w:sz w:val="24"/>
      <w:lang w:val="es-CO" w:eastAsia="es-CO"/>
    </w:rPr>
  </w:style>
  <w:style w:type="paragraph" w:customStyle="1" w:styleId="EstiloIzquierda03">
    <w:name w:val="Estilo Izquierda:  0.3&quot;"/>
    <w:basedOn w:val="Normal"/>
    <w:rsid w:val="00D44FD4"/>
    <w:pPr>
      <w:spacing w:before="0"/>
      <w:ind w:left="432"/>
    </w:pPr>
    <w:rPr>
      <w:szCs w:val="20"/>
    </w:rPr>
  </w:style>
  <w:style w:type="paragraph" w:customStyle="1" w:styleId="Arial">
    <w:name w:val="Arial"/>
    <w:basedOn w:val="Normal"/>
    <w:rsid w:val="00D44FD4"/>
    <w:pPr>
      <w:spacing w:before="0"/>
    </w:pPr>
    <w:rPr>
      <w:rFonts w:cs="Arial"/>
      <w:szCs w:val="22"/>
    </w:rPr>
  </w:style>
  <w:style w:type="character" w:customStyle="1" w:styleId="WW-Absatz-Standardschriftart1111">
    <w:name w:val="WW-Absatz-Standardschriftart1111"/>
    <w:rsid w:val="00D44FD4"/>
  </w:style>
  <w:style w:type="character" w:customStyle="1" w:styleId="st">
    <w:name w:val="st"/>
    <w:rsid w:val="00D44FD4"/>
  </w:style>
  <w:style w:type="paragraph" w:customStyle="1" w:styleId="TtulodeTDC1">
    <w:name w:val="Título de TDC1"/>
    <w:basedOn w:val="Ttulo1"/>
    <w:next w:val="Normal"/>
    <w:semiHidden/>
    <w:rsid w:val="00D44FD4"/>
    <w:pPr>
      <w:keepLines/>
      <w:spacing w:before="480" w:after="0" w:line="276" w:lineRule="auto"/>
      <w:ind w:left="432" w:hanging="432"/>
      <w:contextualSpacing/>
      <w:jc w:val="left"/>
      <w:outlineLvl w:val="9"/>
    </w:pPr>
    <w:rPr>
      <w:rFonts w:eastAsia="Calibri" w:cs="Arial"/>
      <w:caps/>
      <w:color w:val="365F91"/>
      <w:kern w:val="0"/>
      <w:sz w:val="28"/>
      <w:szCs w:val="28"/>
      <w:lang w:eastAsia="en-US"/>
    </w:rPr>
  </w:style>
  <w:style w:type="paragraph" w:customStyle="1" w:styleId="xl63">
    <w:name w:val="xl63"/>
    <w:basedOn w:val="Normal"/>
    <w:rsid w:val="00D44FD4"/>
    <w:pPr>
      <w:spacing w:before="100" w:beforeAutospacing="1" w:after="100" w:afterAutospacing="1"/>
      <w:jc w:val="center"/>
    </w:pPr>
    <w:rPr>
      <w:rFonts w:cs="Arial"/>
      <w:color w:val="FFFFFF"/>
      <w:sz w:val="24"/>
      <w:lang w:val="es-CO" w:eastAsia="es-CO"/>
    </w:rPr>
  </w:style>
  <w:style w:type="paragraph" w:customStyle="1" w:styleId="xl64">
    <w:name w:val="xl64"/>
    <w:basedOn w:val="Normal"/>
    <w:rsid w:val="00D44FD4"/>
    <w:pPr>
      <w:spacing w:before="100" w:beforeAutospacing="1" w:after="100" w:afterAutospacing="1"/>
      <w:jc w:val="center"/>
    </w:pPr>
    <w:rPr>
      <w:rFonts w:cs="Arial"/>
      <w:b/>
      <w:bCs/>
      <w:color w:val="FFFFFF"/>
      <w:sz w:val="24"/>
      <w:lang w:val="es-CO" w:eastAsia="es-CO"/>
    </w:rPr>
  </w:style>
  <w:style w:type="table" w:styleId="Tablamoderna">
    <w:name w:val="Table Contemporary"/>
    <w:basedOn w:val="Tablanormal"/>
    <w:rsid w:val="00D44FD4"/>
    <w:pPr>
      <w:jc w:val="both"/>
    </w:pPr>
    <w:rPr>
      <w:lang w:val="es-CO" w:eastAsia="es-CO"/>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amoderna1">
    <w:name w:val="Tabla moderna1"/>
    <w:basedOn w:val="Tablanormal"/>
    <w:next w:val="Tablamoderna"/>
    <w:rsid w:val="00D44FD4"/>
    <w:pPr>
      <w:jc w:val="both"/>
    </w:pPr>
    <w:rPr>
      <w:lang w:val="es-CO" w:eastAsia="es-CO"/>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amoderna2">
    <w:name w:val="Tabla moderna2"/>
    <w:basedOn w:val="Tablanormal"/>
    <w:next w:val="Tablamoderna"/>
    <w:rsid w:val="00D44FD4"/>
    <w:pPr>
      <w:jc w:val="both"/>
    </w:pPr>
    <w:rPr>
      <w:lang w:val="es-CO" w:eastAsia="es-CO"/>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amoderna3">
    <w:name w:val="Tabla moderna3"/>
    <w:basedOn w:val="Tablanormal"/>
    <w:next w:val="Tablamoderna"/>
    <w:rsid w:val="00D44FD4"/>
    <w:pPr>
      <w:jc w:val="both"/>
    </w:pPr>
    <w:rPr>
      <w:lang w:val="es-CO" w:eastAsia="es-CO"/>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amoderna4">
    <w:name w:val="Tabla moderna4"/>
    <w:basedOn w:val="Tablanormal"/>
    <w:next w:val="Tablamoderna"/>
    <w:rsid w:val="00D44FD4"/>
    <w:pPr>
      <w:jc w:val="both"/>
    </w:pPr>
    <w:rPr>
      <w:lang w:val="es-CO" w:eastAsia="es-CO"/>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aconcuadrcula7">
    <w:name w:val="Tabla con cuadrícula7"/>
    <w:basedOn w:val="Tablanormal"/>
    <w:next w:val="Tablaconcuadrcula"/>
    <w:uiPriority w:val="59"/>
    <w:rsid w:val="00D44FD4"/>
    <w:rPr>
      <w:rFonts w:asciiTheme="minorHAnsi" w:eastAsiaTheme="minorHAnsi" w:hAnsiTheme="minorHAnsi" w:cstheme="minorBidi"/>
      <w:sz w:val="22"/>
      <w:szCs w:val="22"/>
      <w:lang w:val="es-C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intenso">
    <w:name w:val="Intense Emphasis"/>
    <w:basedOn w:val="Fuentedeprrafopredeter"/>
    <w:uiPriority w:val="21"/>
    <w:qFormat/>
    <w:rsid w:val="00D44FD4"/>
    <w:rPr>
      <w:rFonts w:asciiTheme="minorHAnsi" w:hAnsiTheme="minorHAnsi" w:cstheme="minorBidi"/>
      <w:b/>
      <w:i/>
      <w:caps/>
      <w:color w:val="438086"/>
      <w:spacing w:val="5"/>
    </w:rPr>
  </w:style>
  <w:style w:type="paragraph" w:styleId="Textodebloque">
    <w:name w:val="Block Text"/>
    <w:basedOn w:val="Normal"/>
    <w:uiPriority w:val="3"/>
    <w:unhideWhenUsed/>
    <w:rsid w:val="00D44FD4"/>
    <w:pPr>
      <w:pBdr>
        <w:top w:val="single" w:sz="2" w:space="10" w:color="4F81BD" w:themeColor="accent1"/>
        <w:left w:val="single" w:sz="2" w:space="10" w:color="4F81BD" w:themeColor="accent1"/>
        <w:bottom w:val="single" w:sz="2" w:space="10" w:color="4F81BD" w:themeColor="accent1"/>
        <w:right w:val="single" w:sz="2" w:space="10" w:color="4F81BD" w:themeColor="accent1"/>
        <w:between w:val="single" w:sz="2" w:space="10" w:color="4F81BD" w:themeColor="accent1"/>
        <w:bar w:val="single" w:sz="2" w:color="4F81BD" w:themeColor="accent1"/>
      </w:pBdr>
      <w:spacing w:before="0" w:after="200" w:line="276" w:lineRule="auto"/>
      <w:ind w:left="1152" w:right="1152"/>
      <w:jc w:val="left"/>
    </w:pPr>
    <w:rPr>
      <w:rFonts w:asciiTheme="minorHAnsi" w:eastAsiaTheme="minorEastAsia" w:hAnsiTheme="minorHAnsi" w:cstheme="minorBidi"/>
      <w:i/>
      <w:iCs/>
      <w:color w:val="4F81BD" w:themeColor="accent1"/>
      <w:sz w:val="20"/>
      <w:szCs w:val="20"/>
      <w:lang w:val="es-CO" w:eastAsia="es-CO"/>
    </w:rPr>
  </w:style>
  <w:style w:type="character" w:styleId="Referenciasutil">
    <w:name w:val="Subtle Reference"/>
    <w:basedOn w:val="Fuentedeprrafopredeter"/>
    <w:uiPriority w:val="31"/>
    <w:qFormat/>
    <w:rsid w:val="00D44FD4"/>
    <w:rPr>
      <w:rFonts w:cs="Times New Roman"/>
      <w:i/>
      <w:color w:val="4E4F89"/>
    </w:rPr>
  </w:style>
  <w:style w:type="paragraph" w:styleId="Sangranormal">
    <w:name w:val="Normal Indent"/>
    <w:basedOn w:val="Normal"/>
    <w:uiPriority w:val="99"/>
    <w:unhideWhenUsed/>
    <w:rsid w:val="00D44FD4"/>
    <w:pPr>
      <w:spacing w:before="0" w:after="200" w:line="276" w:lineRule="auto"/>
      <w:ind w:left="720"/>
      <w:contextualSpacing/>
      <w:jc w:val="left"/>
    </w:pPr>
    <w:rPr>
      <w:rFonts w:asciiTheme="minorHAnsi" w:eastAsiaTheme="minorHAnsi" w:hAnsiTheme="minorHAnsi" w:cstheme="minorBidi"/>
      <w:sz w:val="20"/>
      <w:szCs w:val="20"/>
      <w:lang w:val="es-CO" w:eastAsia="es-CO"/>
    </w:rPr>
  </w:style>
  <w:style w:type="paragraph" w:styleId="Citadestacada">
    <w:name w:val="Intense Quote"/>
    <w:basedOn w:val="Normal"/>
    <w:link w:val="CitadestacadaCar"/>
    <w:uiPriority w:val="30"/>
    <w:qFormat/>
    <w:rsid w:val="00D44FD4"/>
    <w:pPr>
      <w:pBdr>
        <w:top w:val="threeDEngrave" w:sz="6" w:space="10" w:color="C0504D" w:themeColor="accent2"/>
        <w:bottom w:val="single" w:sz="4" w:space="10" w:color="C0504D" w:themeColor="accent2"/>
      </w:pBdr>
      <w:spacing w:before="360" w:after="360" w:line="324" w:lineRule="auto"/>
      <w:ind w:left="1080" w:right="1080"/>
      <w:jc w:val="left"/>
    </w:pPr>
    <w:rPr>
      <w:rFonts w:asciiTheme="minorHAnsi" w:eastAsiaTheme="minorHAnsi" w:hAnsiTheme="minorHAnsi" w:cstheme="minorBidi"/>
      <w:i/>
      <w:color w:val="C0504D" w:themeColor="accent2"/>
      <w:szCs w:val="22"/>
      <w:lang w:val="es-CO" w:eastAsia="es-CO"/>
    </w:rPr>
  </w:style>
  <w:style w:type="character" w:customStyle="1" w:styleId="CitadestacadaCar">
    <w:name w:val="Cita destacada Car"/>
    <w:basedOn w:val="Fuentedeprrafopredeter"/>
    <w:link w:val="Citadestacada"/>
    <w:uiPriority w:val="30"/>
    <w:rsid w:val="00D44FD4"/>
    <w:rPr>
      <w:rFonts w:asciiTheme="minorHAnsi" w:eastAsiaTheme="minorHAnsi" w:hAnsiTheme="minorHAnsi" w:cstheme="minorBidi"/>
      <w:i/>
      <w:color w:val="C0504D" w:themeColor="accent2"/>
      <w:sz w:val="22"/>
      <w:szCs w:val="22"/>
      <w:lang w:val="es-CO" w:eastAsia="es-CO"/>
    </w:rPr>
  </w:style>
  <w:style w:type="numbering" w:customStyle="1" w:styleId="Listaconvietasurbana">
    <w:name w:val="Lista con viñetas urbana"/>
    <w:uiPriority w:val="99"/>
    <w:rsid w:val="00D44FD4"/>
    <w:pPr>
      <w:numPr>
        <w:numId w:val="14"/>
      </w:numPr>
    </w:pPr>
  </w:style>
  <w:style w:type="numbering" w:customStyle="1" w:styleId="Listanumeradaurbana">
    <w:name w:val="Lista numerada urbana"/>
    <w:uiPriority w:val="99"/>
    <w:rsid w:val="00D44FD4"/>
    <w:pPr>
      <w:numPr>
        <w:numId w:val="15"/>
      </w:numPr>
    </w:pPr>
  </w:style>
  <w:style w:type="character" w:styleId="Textodelmarcadordeposicin">
    <w:name w:val="Placeholder Text"/>
    <w:basedOn w:val="Fuentedeprrafopredeter"/>
    <w:uiPriority w:val="99"/>
    <w:unhideWhenUsed/>
    <w:rsid w:val="00D44FD4"/>
    <w:rPr>
      <w:color w:val="808080"/>
    </w:rPr>
  </w:style>
  <w:style w:type="paragraph" w:customStyle="1" w:styleId="Vieta2">
    <w:name w:val="Viñeta 2"/>
    <w:basedOn w:val="Prrafodelista"/>
    <w:uiPriority w:val="38"/>
    <w:qFormat/>
    <w:rsid w:val="00D44FD4"/>
    <w:pPr>
      <w:spacing w:before="0" w:line="276" w:lineRule="auto"/>
      <w:ind w:left="461" w:hanging="216"/>
      <w:contextualSpacing/>
      <w:jc w:val="left"/>
    </w:pPr>
    <w:rPr>
      <w:rFonts w:asciiTheme="minorHAnsi" w:eastAsiaTheme="minorHAnsi" w:hAnsiTheme="minorHAnsi" w:cstheme="minorBidi"/>
      <w:sz w:val="20"/>
      <w:szCs w:val="20"/>
    </w:rPr>
  </w:style>
  <w:style w:type="paragraph" w:customStyle="1" w:styleId="Vieta3">
    <w:name w:val="Viñeta 3"/>
    <w:basedOn w:val="Prrafodelista"/>
    <w:uiPriority w:val="38"/>
    <w:qFormat/>
    <w:rsid w:val="00D44FD4"/>
    <w:pPr>
      <w:spacing w:before="0" w:line="276" w:lineRule="auto"/>
      <w:ind w:left="706" w:hanging="216"/>
      <w:contextualSpacing/>
      <w:jc w:val="left"/>
    </w:pPr>
    <w:rPr>
      <w:rFonts w:asciiTheme="minorHAnsi" w:eastAsiaTheme="minorHAnsi" w:hAnsiTheme="minorHAnsi" w:cstheme="minorBidi"/>
      <w:sz w:val="20"/>
      <w:szCs w:val="20"/>
    </w:rPr>
  </w:style>
  <w:style w:type="paragraph" w:customStyle="1" w:styleId="MarcadorDePosicinPredeterminadoAsunto10">
    <w:name w:val="MarcadorDePosiciónPredeterminado_Asunto10"/>
    <w:uiPriority w:val="39"/>
    <w:rsid w:val="00D44FD4"/>
    <w:pPr>
      <w:spacing w:after="200" w:line="276" w:lineRule="auto"/>
    </w:pPr>
    <w:rPr>
      <w:rFonts w:asciiTheme="minorHAnsi" w:eastAsiaTheme="minorHAnsi" w:hAnsiTheme="minorHAnsi" w:cstheme="minorBidi"/>
      <w:i/>
      <w:color w:val="1F497D" w:themeColor="text2"/>
      <w:sz w:val="24"/>
      <w:szCs w:val="24"/>
      <w:lang w:val="es-CO" w:eastAsia="es-CO"/>
    </w:rPr>
  </w:style>
  <w:style w:type="paragraph" w:customStyle="1" w:styleId="Encabezadopar">
    <w:name w:val="Encabezado par"/>
    <w:basedOn w:val="Encabezado"/>
    <w:uiPriority w:val="39"/>
    <w:rsid w:val="00D44FD4"/>
    <w:pPr>
      <w:pBdr>
        <w:bottom w:val="single" w:sz="4" w:space="1" w:color="auto"/>
      </w:pBdr>
      <w:tabs>
        <w:tab w:val="center" w:pos="4320"/>
        <w:tab w:val="right" w:pos="8640"/>
      </w:tabs>
      <w:spacing w:before="0" w:after="200" w:line="276" w:lineRule="auto"/>
      <w:jc w:val="left"/>
    </w:pPr>
    <w:rPr>
      <w:rFonts w:asciiTheme="minorHAnsi" w:eastAsiaTheme="minorHAnsi" w:hAnsiTheme="minorHAnsi" w:cstheme="minorBidi"/>
      <w:lang w:val="es-CO" w:eastAsia="es-CO"/>
    </w:rPr>
  </w:style>
  <w:style w:type="paragraph" w:customStyle="1" w:styleId="Encabezadoimpar">
    <w:name w:val="Encabezado impar"/>
    <w:basedOn w:val="Encabezado"/>
    <w:uiPriority w:val="39"/>
    <w:rsid w:val="00D44FD4"/>
    <w:pPr>
      <w:pBdr>
        <w:bottom w:val="single" w:sz="4" w:space="1" w:color="auto"/>
      </w:pBdr>
      <w:tabs>
        <w:tab w:val="center" w:pos="4320"/>
        <w:tab w:val="right" w:pos="8640"/>
      </w:tabs>
      <w:spacing w:before="0" w:after="200" w:line="276" w:lineRule="auto"/>
      <w:jc w:val="right"/>
    </w:pPr>
    <w:rPr>
      <w:rFonts w:asciiTheme="minorHAnsi" w:eastAsiaTheme="minorHAnsi" w:hAnsiTheme="minorHAnsi" w:cstheme="minorBidi"/>
      <w:lang w:val="es-CO" w:eastAsia="es-CO"/>
    </w:rPr>
  </w:style>
  <w:style w:type="paragraph" w:customStyle="1" w:styleId="Categora">
    <w:name w:val="Categoría"/>
    <w:basedOn w:val="Normal"/>
    <w:uiPriority w:val="39"/>
    <w:qFormat/>
    <w:rsid w:val="00D44FD4"/>
    <w:pPr>
      <w:framePr w:hSpace="187" w:wrap="around" w:hAnchor="margin" w:xAlign="center" w:y="721"/>
      <w:spacing w:before="0"/>
      <w:jc w:val="left"/>
    </w:pPr>
    <w:rPr>
      <w:rFonts w:asciiTheme="minorHAnsi" w:eastAsiaTheme="minorHAnsi" w:hAnsiTheme="minorHAnsi" w:cstheme="minorBidi"/>
      <w:caps/>
      <w:szCs w:val="22"/>
      <w:lang w:val="es-CO" w:eastAsia="es-CO"/>
    </w:rPr>
  </w:style>
  <w:style w:type="paragraph" w:customStyle="1" w:styleId="Comentarios">
    <w:name w:val="Comentarios"/>
    <w:basedOn w:val="Normal"/>
    <w:uiPriority w:val="39"/>
    <w:qFormat/>
    <w:rsid w:val="00D44FD4"/>
    <w:pPr>
      <w:spacing w:before="0" w:after="120"/>
      <w:jc w:val="left"/>
    </w:pPr>
    <w:rPr>
      <w:rFonts w:asciiTheme="minorHAnsi" w:eastAsiaTheme="minorHAnsi" w:hAnsiTheme="minorHAnsi" w:cstheme="minorBidi"/>
      <w:b/>
      <w:sz w:val="20"/>
      <w:szCs w:val="22"/>
      <w:lang w:val="es-CO" w:eastAsia="es-CO"/>
    </w:rPr>
  </w:style>
  <w:style w:type="paragraph" w:customStyle="1" w:styleId="Textodecomentarios">
    <w:name w:val="Texto de comentarios"/>
    <w:basedOn w:val="Normal"/>
    <w:uiPriority w:val="39"/>
    <w:qFormat/>
    <w:rsid w:val="00D44FD4"/>
    <w:pPr>
      <w:spacing w:before="0" w:after="120" w:line="288" w:lineRule="auto"/>
      <w:jc w:val="left"/>
    </w:pPr>
    <w:rPr>
      <w:rFonts w:asciiTheme="minorHAnsi" w:eastAsiaTheme="minorHAnsi" w:hAnsiTheme="minorHAnsi" w:cstheme="minorBidi"/>
      <w:sz w:val="20"/>
      <w:szCs w:val="22"/>
      <w:lang w:val="es-CO" w:eastAsia="es-CO"/>
    </w:rPr>
  </w:style>
  <w:style w:type="paragraph" w:styleId="Cita">
    <w:name w:val="Quote"/>
    <w:basedOn w:val="Normal"/>
    <w:next w:val="Normal"/>
    <w:link w:val="CitaCar"/>
    <w:uiPriority w:val="29"/>
    <w:qFormat/>
    <w:rsid w:val="003E60D7"/>
    <w:pPr>
      <w:spacing w:before="0"/>
    </w:pPr>
    <w:rPr>
      <w:i/>
      <w:iCs/>
      <w:color w:val="000000" w:themeColor="text1"/>
      <w:szCs w:val="20"/>
    </w:rPr>
  </w:style>
  <w:style w:type="character" w:customStyle="1" w:styleId="CitaCar">
    <w:name w:val="Cita Car"/>
    <w:basedOn w:val="Fuentedeprrafopredeter"/>
    <w:link w:val="Cita"/>
    <w:uiPriority w:val="29"/>
    <w:rsid w:val="003E60D7"/>
    <w:rPr>
      <w:rFonts w:ascii="Arial" w:hAnsi="Arial"/>
      <w:i/>
      <w:iCs/>
      <w:color w:val="000000" w:themeColor="text1"/>
      <w:sz w:val="22"/>
      <w:lang w:eastAsia="es-ES"/>
    </w:rPr>
  </w:style>
  <w:style w:type="character" w:customStyle="1" w:styleId="DescripcinCar">
    <w:name w:val="Descripción Car"/>
    <w:aliases w:val="Tablas Car, Char Car Car Car Car,Epígrafe1 Car,Char Car Car Car Car"/>
    <w:basedOn w:val="Fuentedeprrafopredeter"/>
    <w:link w:val="Descripcin"/>
    <w:rsid w:val="001A111C"/>
    <w:rPr>
      <w:rFonts w:ascii="Arial" w:hAnsi="Arial"/>
      <w:b/>
      <w:sz w:val="22"/>
      <w:lang w:eastAsia="es-ES"/>
    </w:rPr>
  </w:style>
  <w:style w:type="paragraph" w:customStyle="1" w:styleId="xl65">
    <w:name w:val="xl65"/>
    <w:basedOn w:val="Normal"/>
    <w:rsid w:val="00E67FFE"/>
    <w:pPr>
      <w:spacing w:before="100" w:beforeAutospacing="1" w:after="100" w:afterAutospacing="1"/>
      <w:jc w:val="left"/>
      <w:textAlignment w:val="center"/>
    </w:pPr>
    <w:rPr>
      <w:rFonts w:cs="Arial"/>
      <w:sz w:val="18"/>
      <w:szCs w:val="18"/>
      <w:lang w:val="es-CO" w:eastAsia="es-CO"/>
    </w:rPr>
  </w:style>
  <w:style w:type="table" w:customStyle="1" w:styleId="Cuadrculaclara1">
    <w:name w:val="Cuadrícula clara1"/>
    <w:basedOn w:val="Tablanormal"/>
    <w:next w:val="Cuadrculaclara"/>
    <w:uiPriority w:val="62"/>
    <w:rsid w:val="001F20E6"/>
    <w:pPr>
      <w:spacing w:after="200" w:line="276" w:lineRule="auto"/>
    </w:pPr>
    <w:rPr>
      <w:rFonts w:asciiTheme="minorHAnsi" w:hAnsiTheme="minorHAnsi" w:cstheme="minorBidi"/>
      <w:sz w:val="22"/>
      <w:szCs w:val="22"/>
      <w:lang w:val="es-CO"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Arial" w:eastAsia="Times New Roman" w:hAnsi="Arial"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Arial" w:eastAsia="Times New Roman" w:hAnsi="Arial"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Arial" w:eastAsia="Times New Roman" w:hAnsi="Arial" w:cs="Times New Roman"/>
        <w:b/>
        <w:bCs/>
      </w:rPr>
    </w:tblStylePr>
    <w:tblStylePr w:type="lastCol">
      <w:rPr>
        <w:rFonts w:ascii="Arial" w:eastAsia="Times New Roman" w:hAnsi="Arial"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Cuadrculaclara">
    <w:name w:val="Light Grid"/>
    <w:basedOn w:val="Tablanormal"/>
    <w:uiPriority w:val="62"/>
    <w:unhideWhenUsed/>
    <w:rsid w:val="001F20E6"/>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character" w:customStyle="1" w:styleId="il">
    <w:name w:val="il"/>
    <w:basedOn w:val="Fuentedeprrafopredeter"/>
    <w:rsid w:val="006F4773"/>
  </w:style>
  <w:style w:type="paragraph" w:customStyle="1" w:styleId="TEXTOGRAL">
    <w:name w:val="TEXTOGRAL"/>
    <w:basedOn w:val="Default"/>
    <w:qFormat/>
    <w:rsid w:val="006F4773"/>
    <w:pPr>
      <w:jc w:val="both"/>
    </w:pPr>
    <w:rPr>
      <w:rFonts w:ascii="Tahoma" w:eastAsia="Times New Roman" w:hAnsi="Tahoma" w:cs="Tahoma"/>
      <w:sz w:val="22"/>
      <w:szCs w:val="22"/>
      <w:lang w:eastAsia="es-CO"/>
    </w:rPr>
  </w:style>
  <w:style w:type="character" w:customStyle="1" w:styleId="DefaultCar">
    <w:name w:val="Default Car"/>
    <w:link w:val="Default"/>
    <w:rsid w:val="006F4773"/>
    <w:rPr>
      <w:rFonts w:ascii="Calibri" w:eastAsia="Calibri" w:hAnsi="Calibri" w:cs="Calibri"/>
      <w:color w:val="000000"/>
      <w:sz w:val="24"/>
      <w:szCs w:val="24"/>
      <w:lang w:val="es-CO" w:eastAsia="en-US"/>
    </w:rPr>
  </w:style>
  <w:style w:type="character" w:customStyle="1" w:styleId="phone">
    <w:name w:val="phone"/>
    <w:basedOn w:val="Fuentedeprrafopredeter"/>
    <w:rsid w:val="006F4773"/>
  </w:style>
  <w:style w:type="paragraph" w:customStyle="1" w:styleId="CM19">
    <w:name w:val="CM19"/>
    <w:basedOn w:val="Default"/>
    <w:next w:val="Default"/>
    <w:uiPriority w:val="99"/>
    <w:rsid w:val="006F4773"/>
    <w:pPr>
      <w:widowControl w:val="0"/>
    </w:pPr>
    <w:rPr>
      <w:rFonts w:ascii="Arial" w:eastAsiaTheme="minorEastAsia" w:hAnsi="Arial" w:cs="Arial"/>
      <w:color w:val="auto"/>
      <w:lang w:val="es-ES_tradnl" w:eastAsia="es-ES_tradnl"/>
    </w:rPr>
  </w:style>
  <w:style w:type="paragraph" w:customStyle="1" w:styleId="Titulo3">
    <w:name w:val="Titulo 3"/>
    <w:basedOn w:val="Prrafodelista"/>
    <w:link w:val="Titulo3Car"/>
    <w:autoRedefine/>
    <w:rsid w:val="006F4773"/>
    <w:pPr>
      <w:numPr>
        <w:numId w:val="16"/>
      </w:numPr>
      <w:spacing w:before="0"/>
      <w:contextualSpacing/>
    </w:pPr>
    <w:rPr>
      <w:rFonts w:ascii="Arial" w:hAnsi="Arial"/>
      <w:color w:val="000000"/>
      <w:sz w:val="24"/>
      <w:szCs w:val="24"/>
      <w:lang w:eastAsia="en-US"/>
    </w:rPr>
  </w:style>
  <w:style w:type="character" w:customStyle="1" w:styleId="Titulo3Car">
    <w:name w:val="Titulo 3 Car"/>
    <w:basedOn w:val="Fuentedeprrafopredeter"/>
    <w:link w:val="Titulo3"/>
    <w:rsid w:val="006F4773"/>
    <w:rPr>
      <w:rFonts w:ascii="Arial" w:eastAsia="Calibri" w:hAnsi="Arial" w:cs="Calibri"/>
      <w:color w:val="000000"/>
      <w:sz w:val="24"/>
      <w:szCs w:val="24"/>
      <w:lang w:val="es-CO" w:eastAsia="en-US"/>
    </w:rPr>
  </w:style>
  <w:style w:type="paragraph" w:styleId="Revisin">
    <w:name w:val="Revision"/>
    <w:hidden/>
    <w:uiPriority w:val="99"/>
    <w:semiHidden/>
    <w:rsid w:val="006F4773"/>
    <w:rPr>
      <w:rFonts w:asciiTheme="minorHAnsi" w:eastAsiaTheme="minorHAnsi" w:hAnsiTheme="minorHAnsi" w:cstheme="minorBidi"/>
      <w:sz w:val="22"/>
      <w:szCs w:val="22"/>
      <w:lang w:val="es-CO" w:eastAsia="en-US"/>
    </w:rPr>
  </w:style>
  <w:style w:type="table" w:customStyle="1" w:styleId="Tablaconcuadrcula80">
    <w:name w:val="Tabla con cuadrícula8"/>
    <w:basedOn w:val="Tablanormal"/>
    <w:next w:val="Tablaconcuadrcula"/>
    <w:uiPriority w:val="59"/>
    <w:rsid w:val="004D26A5"/>
    <w:rPr>
      <w:lang w:val="es-CO" w:eastAsia="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Cuadrculaclara-nfasis6">
    <w:name w:val="Light Grid Accent 6"/>
    <w:basedOn w:val="Tablanormal"/>
    <w:uiPriority w:val="62"/>
    <w:rsid w:val="004D26A5"/>
    <w:rPr>
      <w:rFonts w:asciiTheme="minorHAnsi" w:eastAsiaTheme="minorHAnsi" w:hAnsiTheme="minorHAnsi" w:cstheme="minorBidi"/>
      <w:sz w:val="22"/>
      <w:szCs w:val="22"/>
      <w:lang w:val="es-CO" w:eastAsia="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Tablaconcuadrcula9">
    <w:name w:val="Tabla con cuadrícula9"/>
    <w:basedOn w:val="Tablanormal"/>
    <w:next w:val="Tablaconcuadrcula"/>
    <w:uiPriority w:val="59"/>
    <w:rsid w:val="00B5064E"/>
    <w:rPr>
      <w:lang w:val="es-CO" w:eastAsia="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independiente22">
    <w:name w:val="Texto independiente 22"/>
    <w:basedOn w:val="Normal"/>
    <w:rsid w:val="00660EB9"/>
    <w:pPr>
      <w:widowControl w:val="0"/>
      <w:spacing w:before="0"/>
    </w:pPr>
    <w:rPr>
      <w:rFonts w:ascii="Univers" w:hAnsi="Univers"/>
      <w:sz w:val="24"/>
      <w:szCs w:val="20"/>
      <w:lang w:val="es-ES_tradnl"/>
    </w:rPr>
  </w:style>
  <w:style w:type="table" w:styleId="Tabladecuadrcula1clara-nfasis1">
    <w:name w:val="Grid Table 1 Light Accent 1"/>
    <w:basedOn w:val="Tablanormal"/>
    <w:uiPriority w:val="46"/>
    <w:rsid w:val="00660EB9"/>
    <w:rPr>
      <w:rFonts w:asciiTheme="minorHAnsi" w:eastAsiaTheme="minorHAnsi" w:hAnsiTheme="minorHAnsi" w:cstheme="minorBidi"/>
      <w:sz w:val="22"/>
      <w:szCs w:val="22"/>
      <w:lang w:val="es-CO" w:eastAsia="en-US"/>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character" w:customStyle="1" w:styleId="normalchar1">
    <w:name w:val="normal__char1"/>
    <w:rsid w:val="000C2F35"/>
    <w:rPr>
      <w:rFonts w:ascii="Times New Roman" w:hAnsi="Times New Roman" w:cs="Times New Roman" w:hint="default"/>
      <w:strike w:val="0"/>
      <w:dstrike w:val="0"/>
      <w:sz w:val="24"/>
      <w:szCs w:val="24"/>
      <w:u w:val="none"/>
      <w:effect w:val="none"/>
    </w:rPr>
  </w:style>
  <w:style w:type="table" w:styleId="Tablanormal1">
    <w:name w:val="Plain Table 1"/>
    <w:basedOn w:val="Tablanormal"/>
    <w:uiPriority w:val="41"/>
    <w:rsid w:val="00181E1C"/>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subtitulodel3">
    <w:name w:val="subtitulo del 3"/>
    <w:basedOn w:val="Prrafodelista"/>
    <w:link w:val="subtitulodel3Car"/>
    <w:qFormat/>
    <w:rsid w:val="00181E1C"/>
    <w:pPr>
      <w:numPr>
        <w:numId w:val="22"/>
      </w:numPr>
      <w:spacing w:after="120"/>
    </w:pPr>
    <w:rPr>
      <w:rFonts w:ascii="Arial" w:eastAsia="Arial Unicode MS" w:hAnsi="Arial" w:cs="Arial"/>
      <w:b/>
      <w:caps/>
      <w:sz w:val="24"/>
      <w:szCs w:val="24"/>
      <w:u w:val="single"/>
    </w:rPr>
  </w:style>
  <w:style w:type="paragraph" w:customStyle="1" w:styleId="subtitulodel4">
    <w:name w:val="subtitulo del 4"/>
    <w:basedOn w:val="Normal"/>
    <w:link w:val="subtitulodel4Car"/>
    <w:qFormat/>
    <w:rsid w:val="00181E1C"/>
    <w:pPr>
      <w:numPr>
        <w:numId w:val="23"/>
      </w:numPr>
      <w:spacing w:after="120"/>
      <w:ind w:left="357" w:hanging="357"/>
    </w:pPr>
    <w:rPr>
      <w:rFonts w:cs="Arial"/>
      <w:b/>
      <w:sz w:val="24"/>
    </w:rPr>
  </w:style>
  <w:style w:type="character" w:customStyle="1" w:styleId="subtitulodel3Car">
    <w:name w:val="subtitulo del 3 Car"/>
    <w:basedOn w:val="Fuentedeprrafopredeter"/>
    <w:link w:val="subtitulodel3"/>
    <w:rsid w:val="00181E1C"/>
    <w:rPr>
      <w:rFonts w:ascii="Arial" w:eastAsia="Arial Unicode MS" w:hAnsi="Arial" w:cs="Arial"/>
      <w:b/>
      <w:caps/>
      <w:sz w:val="24"/>
      <w:szCs w:val="24"/>
      <w:u w:val="single"/>
      <w:lang w:val="es-CO" w:eastAsia="es-CO"/>
    </w:rPr>
  </w:style>
  <w:style w:type="character" w:customStyle="1" w:styleId="subtitulodel4Car">
    <w:name w:val="subtitulo del 4 Car"/>
    <w:basedOn w:val="Fuentedeprrafopredeter"/>
    <w:link w:val="subtitulodel4"/>
    <w:rsid w:val="00181E1C"/>
    <w:rPr>
      <w:rFonts w:ascii="Arial" w:hAnsi="Arial" w:cs="Arial"/>
      <w:b/>
      <w:sz w:val="24"/>
      <w:szCs w:val="24"/>
      <w:lang w:eastAsia="es-ES"/>
    </w:rPr>
  </w:style>
  <w:style w:type="paragraph" w:customStyle="1" w:styleId="m-5971138564382708718gmail-m4949695726794371294gmail-msolistparagraph">
    <w:name w:val="m_-5971138564382708718gmail-m_4949695726794371294gmail-msolistparagraph"/>
    <w:basedOn w:val="Normal"/>
    <w:rsid w:val="00EE68DC"/>
    <w:pPr>
      <w:spacing w:before="100" w:beforeAutospacing="1" w:after="100" w:afterAutospacing="1"/>
      <w:jc w:val="left"/>
    </w:pPr>
    <w:rPr>
      <w:rFonts w:ascii="Times New Roman" w:hAnsi="Times New Roman"/>
      <w:sz w:val="24"/>
      <w:lang w:val="es-CO" w:eastAsia="es-CO"/>
    </w:rPr>
  </w:style>
  <w:style w:type="paragraph" w:customStyle="1" w:styleId="m8647733468069891078m121305218030142376gmail-msolistparagraph">
    <w:name w:val="m_8647733468069891078m_121305218030142376gmail-msolistparagraph"/>
    <w:basedOn w:val="Normal"/>
    <w:rsid w:val="00EE68DC"/>
    <w:pPr>
      <w:spacing w:before="100" w:beforeAutospacing="1" w:after="100" w:afterAutospacing="1"/>
      <w:jc w:val="left"/>
    </w:pPr>
    <w:rPr>
      <w:rFonts w:ascii="Times New Roman" w:hAnsi="Times New Roman"/>
      <w:sz w:val="24"/>
      <w:lang w:val="es-CO" w:eastAsia="es-CO"/>
    </w:rPr>
  </w:style>
  <w:style w:type="character" w:customStyle="1" w:styleId="oeformcharcontent">
    <w:name w:val="oe_form_char_content"/>
    <w:basedOn w:val="Fuentedeprrafopredeter"/>
    <w:rsid w:val="00EE68DC"/>
  </w:style>
  <w:style w:type="paragraph" w:customStyle="1" w:styleId="Contenidodelatabla">
    <w:name w:val="Contenido de la tabla"/>
    <w:basedOn w:val="Normal"/>
    <w:qFormat/>
    <w:rsid w:val="0032263E"/>
    <w:pPr>
      <w:suppressLineNumbers/>
      <w:spacing w:before="0"/>
      <w:jc w:val="left"/>
    </w:pPr>
    <w:rPr>
      <w:rFonts w:ascii="Liberation Serif" w:eastAsia="SimSun" w:hAnsi="Liberation Serif" w:cs="Mangal"/>
      <w:sz w:val="24"/>
      <w:lang w:val="es-CO" w:eastAsia="zh-CN" w:bidi="hi-IN"/>
    </w:rPr>
  </w:style>
  <w:style w:type="paragraph" w:customStyle="1" w:styleId="Cuerpo">
    <w:name w:val="Cuerpo"/>
    <w:rsid w:val="0024547C"/>
    <w:pPr>
      <w:pBdr>
        <w:top w:val="nil"/>
        <w:left w:val="nil"/>
        <w:bottom w:val="nil"/>
        <w:right w:val="nil"/>
        <w:between w:val="nil"/>
        <w:bar w:val="nil"/>
      </w:pBdr>
      <w:spacing w:line="276" w:lineRule="auto"/>
    </w:pPr>
    <w:rPr>
      <w:rFonts w:ascii="Arial" w:eastAsia="Arial Unicode MS" w:hAnsi="Arial" w:cs="Arial Unicode MS"/>
      <w:color w:val="000000"/>
      <w:sz w:val="22"/>
      <w:szCs w:val="22"/>
      <w:u w:color="000000"/>
      <w:bdr w:val="nil"/>
      <w:lang w:val="en-US" w:eastAsia="es-CO"/>
    </w:rPr>
  </w:style>
  <w:style w:type="character" w:customStyle="1" w:styleId="Ninguno">
    <w:name w:val="Ninguno"/>
    <w:rsid w:val="0024547C"/>
    <w:rPr>
      <w:lang w:val="en-US"/>
    </w:rPr>
  </w:style>
  <w:style w:type="paragraph" w:customStyle="1" w:styleId="Ttulo-3">
    <w:name w:val="Título - 3"/>
    <w:basedOn w:val="Normal"/>
    <w:link w:val="Ttulo-3Car"/>
    <w:qFormat/>
    <w:rsid w:val="00853E0B"/>
    <w:pPr>
      <w:numPr>
        <w:numId w:val="53"/>
      </w:numPr>
      <w:spacing w:before="240" w:after="240"/>
      <w:ind w:left="357" w:hanging="357"/>
      <w:jc w:val="left"/>
    </w:pPr>
    <w:rPr>
      <w:rFonts w:cs="Arial"/>
      <w:b/>
      <w:sz w:val="24"/>
    </w:rPr>
  </w:style>
  <w:style w:type="character" w:customStyle="1" w:styleId="Ttulo-3Car">
    <w:name w:val="Título - 3 Car"/>
    <w:basedOn w:val="Fuentedeprrafopredeter"/>
    <w:link w:val="Ttulo-3"/>
    <w:rsid w:val="00853E0B"/>
    <w:rPr>
      <w:rFonts w:ascii="Arial" w:hAnsi="Arial" w:cs="Arial"/>
      <w:b/>
      <w:sz w:val="24"/>
      <w:szCs w:val="24"/>
      <w:lang w:eastAsia="es-ES"/>
    </w:rPr>
  </w:style>
  <w:style w:type="paragraph" w:customStyle="1" w:styleId="Car21">
    <w:name w:val="Car21"/>
    <w:basedOn w:val="Normal"/>
    <w:semiHidden/>
    <w:rsid w:val="004524F6"/>
    <w:pPr>
      <w:spacing w:before="0" w:after="160" w:line="240" w:lineRule="exact"/>
      <w:jc w:val="left"/>
    </w:pPr>
    <w:rPr>
      <w:rFonts w:ascii="Verdana" w:hAnsi="Verdana"/>
      <w:sz w:val="20"/>
      <w:szCs w:val="20"/>
      <w:lang w:val="en-US" w:eastAsia="en-US"/>
    </w:rPr>
  </w:style>
  <w:style w:type="character" w:customStyle="1" w:styleId="leidos">
    <w:name w:val="leidos"/>
    <w:basedOn w:val="Fuentedeprrafopredeter"/>
    <w:rsid w:val="004524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04657">
      <w:bodyDiv w:val="1"/>
      <w:marLeft w:val="0"/>
      <w:marRight w:val="0"/>
      <w:marTop w:val="0"/>
      <w:marBottom w:val="0"/>
      <w:divBdr>
        <w:top w:val="none" w:sz="0" w:space="0" w:color="auto"/>
        <w:left w:val="none" w:sz="0" w:space="0" w:color="auto"/>
        <w:bottom w:val="none" w:sz="0" w:space="0" w:color="auto"/>
        <w:right w:val="none" w:sz="0" w:space="0" w:color="auto"/>
      </w:divBdr>
    </w:div>
    <w:div w:id="20323028">
      <w:bodyDiv w:val="1"/>
      <w:marLeft w:val="0"/>
      <w:marRight w:val="0"/>
      <w:marTop w:val="0"/>
      <w:marBottom w:val="0"/>
      <w:divBdr>
        <w:top w:val="none" w:sz="0" w:space="0" w:color="auto"/>
        <w:left w:val="none" w:sz="0" w:space="0" w:color="auto"/>
        <w:bottom w:val="none" w:sz="0" w:space="0" w:color="auto"/>
        <w:right w:val="none" w:sz="0" w:space="0" w:color="auto"/>
      </w:divBdr>
    </w:div>
    <w:div w:id="22904477">
      <w:bodyDiv w:val="1"/>
      <w:marLeft w:val="0"/>
      <w:marRight w:val="0"/>
      <w:marTop w:val="0"/>
      <w:marBottom w:val="0"/>
      <w:divBdr>
        <w:top w:val="none" w:sz="0" w:space="0" w:color="auto"/>
        <w:left w:val="none" w:sz="0" w:space="0" w:color="auto"/>
        <w:bottom w:val="none" w:sz="0" w:space="0" w:color="auto"/>
        <w:right w:val="none" w:sz="0" w:space="0" w:color="auto"/>
      </w:divBdr>
    </w:div>
    <w:div w:id="40717491">
      <w:bodyDiv w:val="1"/>
      <w:marLeft w:val="0"/>
      <w:marRight w:val="0"/>
      <w:marTop w:val="0"/>
      <w:marBottom w:val="0"/>
      <w:divBdr>
        <w:top w:val="none" w:sz="0" w:space="0" w:color="auto"/>
        <w:left w:val="none" w:sz="0" w:space="0" w:color="auto"/>
        <w:bottom w:val="none" w:sz="0" w:space="0" w:color="auto"/>
        <w:right w:val="none" w:sz="0" w:space="0" w:color="auto"/>
      </w:divBdr>
    </w:div>
    <w:div w:id="43137998">
      <w:bodyDiv w:val="1"/>
      <w:marLeft w:val="0"/>
      <w:marRight w:val="0"/>
      <w:marTop w:val="0"/>
      <w:marBottom w:val="0"/>
      <w:divBdr>
        <w:top w:val="none" w:sz="0" w:space="0" w:color="auto"/>
        <w:left w:val="none" w:sz="0" w:space="0" w:color="auto"/>
        <w:bottom w:val="none" w:sz="0" w:space="0" w:color="auto"/>
        <w:right w:val="none" w:sz="0" w:space="0" w:color="auto"/>
      </w:divBdr>
    </w:div>
    <w:div w:id="52319816">
      <w:bodyDiv w:val="1"/>
      <w:marLeft w:val="0"/>
      <w:marRight w:val="0"/>
      <w:marTop w:val="0"/>
      <w:marBottom w:val="0"/>
      <w:divBdr>
        <w:top w:val="none" w:sz="0" w:space="0" w:color="auto"/>
        <w:left w:val="none" w:sz="0" w:space="0" w:color="auto"/>
        <w:bottom w:val="none" w:sz="0" w:space="0" w:color="auto"/>
        <w:right w:val="none" w:sz="0" w:space="0" w:color="auto"/>
      </w:divBdr>
      <w:divsChild>
        <w:div w:id="1407649135">
          <w:marLeft w:val="0"/>
          <w:marRight w:val="0"/>
          <w:marTop w:val="0"/>
          <w:marBottom w:val="0"/>
          <w:divBdr>
            <w:top w:val="none" w:sz="0" w:space="0" w:color="auto"/>
            <w:left w:val="none" w:sz="0" w:space="0" w:color="auto"/>
            <w:bottom w:val="none" w:sz="0" w:space="0" w:color="auto"/>
            <w:right w:val="none" w:sz="0" w:space="0" w:color="auto"/>
          </w:divBdr>
          <w:divsChild>
            <w:div w:id="418916516">
              <w:marLeft w:val="0"/>
              <w:marRight w:val="0"/>
              <w:marTop w:val="0"/>
              <w:marBottom w:val="0"/>
              <w:divBdr>
                <w:top w:val="none" w:sz="0" w:space="0" w:color="auto"/>
                <w:left w:val="none" w:sz="0" w:space="0" w:color="auto"/>
                <w:bottom w:val="none" w:sz="0" w:space="0" w:color="auto"/>
                <w:right w:val="none" w:sz="0" w:space="0" w:color="auto"/>
              </w:divBdr>
            </w:div>
            <w:div w:id="1079786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42131">
      <w:bodyDiv w:val="1"/>
      <w:marLeft w:val="0"/>
      <w:marRight w:val="0"/>
      <w:marTop w:val="0"/>
      <w:marBottom w:val="0"/>
      <w:divBdr>
        <w:top w:val="none" w:sz="0" w:space="0" w:color="auto"/>
        <w:left w:val="none" w:sz="0" w:space="0" w:color="auto"/>
        <w:bottom w:val="none" w:sz="0" w:space="0" w:color="auto"/>
        <w:right w:val="none" w:sz="0" w:space="0" w:color="auto"/>
      </w:divBdr>
    </w:div>
    <w:div w:id="59401690">
      <w:bodyDiv w:val="1"/>
      <w:marLeft w:val="0"/>
      <w:marRight w:val="0"/>
      <w:marTop w:val="0"/>
      <w:marBottom w:val="0"/>
      <w:divBdr>
        <w:top w:val="none" w:sz="0" w:space="0" w:color="auto"/>
        <w:left w:val="none" w:sz="0" w:space="0" w:color="auto"/>
        <w:bottom w:val="none" w:sz="0" w:space="0" w:color="auto"/>
        <w:right w:val="none" w:sz="0" w:space="0" w:color="auto"/>
      </w:divBdr>
    </w:div>
    <w:div w:id="68963867">
      <w:bodyDiv w:val="1"/>
      <w:marLeft w:val="0"/>
      <w:marRight w:val="0"/>
      <w:marTop w:val="0"/>
      <w:marBottom w:val="0"/>
      <w:divBdr>
        <w:top w:val="none" w:sz="0" w:space="0" w:color="auto"/>
        <w:left w:val="none" w:sz="0" w:space="0" w:color="auto"/>
        <w:bottom w:val="none" w:sz="0" w:space="0" w:color="auto"/>
        <w:right w:val="none" w:sz="0" w:space="0" w:color="auto"/>
      </w:divBdr>
    </w:div>
    <w:div w:id="73823660">
      <w:bodyDiv w:val="1"/>
      <w:marLeft w:val="0"/>
      <w:marRight w:val="0"/>
      <w:marTop w:val="0"/>
      <w:marBottom w:val="0"/>
      <w:divBdr>
        <w:top w:val="none" w:sz="0" w:space="0" w:color="auto"/>
        <w:left w:val="none" w:sz="0" w:space="0" w:color="auto"/>
        <w:bottom w:val="none" w:sz="0" w:space="0" w:color="auto"/>
        <w:right w:val="none" w:sz="0" w:space="0" w:color="auto"/>
      </w:divBdr>
    </w:div>
    <w:div w:id="75901355">
      <w:bodyDiv w:val="1"/>
      <w:marLeft w:val="0"/>
      <w:marRight w:val="0"/>
      <w:marTop w:val="0"/>
      <w:marBottom w:val="0"/>
      <w:divBdr>
        <w:top w:val="none" w:sz="0" w:space="0" w:color="auto"/>
        <w:left w:val="none" w:sz="0" w:space="0" w:color="auto"/>
        <w:bottom w:val="none" w:sz="0" w:space="0" w:color="auto"/>
        <w:right w:val="none" w:sz="0" w:space="0" w:color="auto"/>
      </w:divBdr>
    </w:div>
    <w:div w:id="78210126">
      <w:bodyDiv w:val="1"/>
      <w:marLeft w:val="0"/>
      <w:marRight w:val="0"/>
      <w:marTop w:val="0"/>
      <w:marBottom w:val="0"/>
      <w:divBdr>
        <w:top w:val="none" w:sz="0" w:space="0" w:color="auto"/>
        <w:left w:val="none" w:sz="0" w:space="0" w:color="auto"/>
        <w:bottom w:val="none" w:sz="0" w:space="0" w:color="auto"/>
        <w:right w:val="none" w:sz="0" w:space="0" w:color="auto"/>
      </w:divBdr>
    </w:div>
    <w:div w:id="94904039">
      <w:bodyDiv w:val="1"/>
      <w:marLeft w:val="0"/>
      <w:marRight w:val="0"/>
      <w:marTop w:val="0"/>
      <w:marBottom w:val="0"/>
      <w:divBdr>
        <w:top w:val="none" w:sz="0" w:space="0" w:color="auto"/>
        <w:left w:val="none" w:sz="0" w:space="0" w:color="auto"/>
        <w:bottom w:val="none" w:sz="0" w:space="0" w:color="auto"/>
        <w:right w:val="none" w:sz="0" w:space="0" w:color="auto"/>
      </w:divBdr>
    </w:div>
    <w:div w:id="94912515">
      <w:bodyDiv w:val="1"/>
      <w:marLeft w:val="0"/>
      <w:marRight w:val="0"/>
      <w:marTop w:val="0"/>
      <w:marBottom w:val="0"/>
      <w:divBdr>
        <w:top w:val="none" w:sz="0" w:space="0" w:color="auto"/>
        <w:left w:val="none" w:sz="0" w:space="0" w:color="auto"/>
        <w:bottom w:val="none" w:sz="0" w:space="0" w:color="auto"/>
        <w:right w:val="none" w:sz="0" w:space="0" w:color="auto"/>
      </w:divBdr>
    </w:div>
    <w:div w:id="101339745">
      <w:bodyDiv w:val="1"/>
      <w:marLeft w:val="0"/>
      <w:marRight w:val="0"/>
      <w:marTop w:val="0"/>
      <w:marBottom w:val="0"/>
      <w:divBdr>
        <w:top w:val="none" w:sz="0" w:space="0" w:color="auto"/>
        <w:left w:val="none" w:sz="0" w:space="0" w:color="auto"/>
        <w:bottom w:val="none" w:sz="0" w:space="0" w:color="auto"/>
        <w:right w:val="none" w:sz="0" w:space="0" w:color="auto"/>
      </w:divBdr>
    </w:div>
    <w:div w:id="140119749">
      <w:bodyDiv w:val="1"/>
      <w:marLeft w:val="0"/>
      <w:marRight w:val="0"/>
      <w:marTop w:val="0"/>
      <w:marBottom w:val="0"/>
      <w:divBdr>
        <w:top w:val="none" w:sz="0" w:space="0" w:color="auto"/>
        <w:left w:val="none" w:sz="0" w:space="0" w:color="auto"/>
        <w:bottom w:val="none" w:sz="0" w:space="0" w:color="auto"/>
        <w:right w:val="none" w:sz="0" w:space="0" w:color="auto"/>
      </w:divBdr>
    </w:div>
    <w:div w:id="144974462">
      <w:bodyDiv w:val="1"/>
      <w:marLeft w:val="0"/>
      <w:marRight w:val="0"/>
      <w:marTop w:val="0"/>
      <w:marBottom w:val="0"/>
      <w:divBdr>
        <w:top w:val="none" w:sz="0" w:space="0" w:color="auto"/>
        <w:left w:val="none" w:sz="0" w:space="0" w:color="auto"/>
        <w:bottom w:val="none" w:sz="0" w:space="0" w:color="auto"/>
        <w:right w:val="none" w:sz="0" w:space="0" w:color="auto"/>
      </w:divBdr>
    </w:div>
    <w:div w:id="147213900">
      <w:bodyDiv w:val="1"/>
      <w:marLeft w:val="0"/>
      <w:marRight w:val="0"/>
      <w:marTop w:val="0"/>
      <w:marBottom w:val="0"/>
      <w:divBdr>
        <w:top w:val="none" w:sz="0" w:space="0" w:color="auto"/>
        <w:left w:val="none" w:sz="0" w:space="0" w:color="auto"/>
        <w:bottom w:val="none" w:sz="0" w:space="0" w:color="auto"/>
        <w:right w:val="none" w:sz="0" w:space="0" w:color="auto"/>
      </w:divBdr>
    </w:div>
    <w:div w:id="150366981">
      <w:bodyDiv w:val="1"/>
      <w:marLeft w:val="0"/>
      <w:marRight w:val="0"/>
      <w:marTop w:val="0"/>
      <w:marBottom w:val="0"/>
      <w:divBdr>
        <w:top w:val="none" w:sz="0" w:space="0" w:color="auto"/>
        <w:left w:val="none" w:sz="0" w:space="0" w:color="auto"/>
        <w:bottom w:val="none" w:sz="0" w:space="0" w:color="auto"/>
        <w:right w:val="none" w:sz="0" w:space="0" w:color="auto"/>
      </w:divBdr>
    </w:div>
    <w:div w:id="152261878">
      <w:bodyDiv w:val="1"/>
      <w:marLeft w:val="0"/>
      <w:marRight w:val="0"/>
      <w:marTop w:val="0"/>
      <w:marBottom w:val="0"/>
      <w:divBdr>
        <w:top w:val="none" w:sz="0" w:space="0" w:color="auto"/>
        <w:left w:val="none" w:sz="0" w:space="0" w:color="auto"/>
        <w:bottom w:val="none" w:sz="0" w:space="0" w:color="auto"/>
        <w:right w:val="none" w:sz="0" w:space="0" w:color="auto"/>
      </w:divBdr>
    </w:div>
    <w:div w:id="159782126">
      <w:bodyDiv w:val="1"/>
      <w:marLeft w:val="0"/>
      <w:marRight w:val="0"/>
      <w:marTop w:val="0"/>
      <w:marBottom w:val="0"/>
      <w:divBdr>
        <w:top w:val="none" w:sz="0" w:space="0" w:color="auto"/>
        <w:left w:val="none" w:sz="0" w:space="0" w:color="auto"/>
        <w:bottom w:val="none" w:sz="0" w:space="0" w:color="auto"/>
        <w:right w:val="none" w:sz="0" w:space="0" w:color="auto"/>
      </w:divBdr>
    </w:div>
    <w:div w:id="191840627">
      <w:bodyDiv w:val="1"/>
      <w:marLeft w:val="0"/>
      <w:marRight w:val="0"/>
      <w:marTop w:val="0"/>
      <w:marBottom w:val="0"/>
      <w:divBdr>
        <w:top w:val="none" w:sz="0" w:space="0" w:color="auto"/>
        <w:left w:val="none" w:sz="0" w:space="0" w:color="auto"/>
        <w:bottom w:val="none" w:sz="0" w:space="0" w:color="auto"/>
        <w:right w:val="none" w:sz="0" w:space="0" w:color="auto"/>
      </w:divBdr>
    </w:div>
    <w:div w:id="197861572">
      <w:bodyDiv w:val="1"/>
      <w:marLeft w:val="0"/>
      <w:marRight w:val="0"/>
      <w:marTop w:val="0"/>
      <w:marBottom w:val="0"/>
      <w:divBdr>
        <w:top w:val="none" w:sz="0" w:space="0" w:color="auto"/>
        <w:left w:val="none" w:sz="0" w:space="0" w:color="auto"/>
        <w:bottom w:val="none" w:sz="0" w:space="0" w:color="auto"/>
        <w:right w:val="none" w:sz="0" w:space="0" w:color="auto"/>
      </w:divBdr>
    </w:div>
    <w:div w:id="205800085">
      <w:bodyDiv w:val="1"/>
      <w:marLeft w:val="0"/>
      <w:marRight w:val="0"/>
      <w:marTop w:val="0"/>
      <w:marBottom w:val="0"/>
      <w:divBdr>
        <w:top w:val="none" w:sz="0" w:space="0" w:color="auto"/>
        <w:left w:val="none" w:sz="0" w:space="0" w:color="auto"/>
        <w:bottom w:val="none" w:sz="0" w:space="0" w:color="auto"/>
        <w:right w:val="none" w:sz="0" w:space="0" w:color="auto"/>
      </w:divBdr>
    </w:div>
    <w:div w:id="213975330">
      <w:bodyDiv w:val="1"/>
      <w:marLeft w:val="0"/>
      <w:marRight w:val="0"/>
      <w:marTop w:val="0"/>
      <w:marBottom w:val="0"/>
      <w:divBdr>
        <w:top w:val="none" w:sz="0" w:space="0" w:color="auto"/>
        <w:left w:val="none" w:sz="0" w:space="0" w:color="auto"/>
        <w:bottom w:val="none" w:sz="0" w:space="0" w:color="auto"/>
        <w:right w:val="none" w:sz="0" w:space="0" w:color="auto"/>
      </w:divBdr>
    </w:div>
    <w:div w:id="222369733">
      <w:bodyDiv w:val="1"/>
      <w:marLeft w:val="0"/>
      <w:marRight w:val="0"/>
      <w:marTop w:val="0"/>
      <w:marBottom w:val="0"/>
      <w:divBdr>
        <w:top w:val="none" w:sz="0" w:space="0" w:color="auto"/>
        <w:left w:val="none" w:sz="0" w:space="0" w:color="auto"/>
        <w:bottom w:val="none" w:sz="0" w:space="0" w:color="auto"/>
        <w:right w:val="none" w:sz="0" w:space="0" w:color="auto"/>
      </w:divBdr>
    </w:div>
    <w:div w:id="258833697">
      <w:bodyDiv w:val="1"/>
      <w:marLeft w:val="0"/>
      <w:marRight w:val="0"/>
      <w:marTop w:val="0"/>
      <w:marBottom w:val="0"/>
      <w:divBdr>
        <w:top w:val="none" w:sz="0" w:space="0" w:color="auto"/>
        <w:left w:val="none" w:sz="0" w:space="0" w:color="auto"/>
        <w:bottom w:val="none" w:sz="0" w:space="0" w:color="auto"/>
        <w:right w:val="none" w:sz="0" w:space="0" w:color="auto"/>
      </w:divBdr>
    </w:div>
    <w:div w:id="273905923">
      <w:bodyDiv w:val="1"/>
      <w:marLeft w:val="0"/>
      <w:marRight w:val="0"/>
      <w:marTop w:val="0"/>
      <w:marBottom w:val="0"/>
      <w:divBdr>
        <w:top w:val="none" w:sz="0" w:space="0" w:color="auto"/>
        <w:left w:val="none" w:sz="0" w:space="0" w:color="auto"/>
        <w:bottom w:val="none" w:sz="0" w:space="0" w:color="auto"/>
        <w:right w:val="none" w:sz="0" w:space="0" w:color="auto"/>
      </w:divBdr>
    </w:div>
    <w:div w:id="276103764">
      <w:bodyDiv w:val="1"/>
      <w:marLeft w:val="0"/>
      <w:marRight w:val="0"/>
      <w:marTop w:val="0"/>
      <w:marBottom w:val="0"/>
      <w:divBdr>
        <w:top w:val="none" w:sz="0" w:space="0" w:color="auto"/>
        <w:left w:val="none" w:sz="0" w:space="0" w:color="auto"/>
        <w:bottom w:val="none" w:sz="0" w:space="0" w:color="auto"/>
        <w:right w:val="none" w:sz="0" w:space="0" w:color="auto"/>
      </w:divBdr>
    </w:div>
    <w:div w:id="281352682">
      <w:bodyDiv w:val="1"/>
      <w:marLeft w:val="0"/>
      <w:marRight w:val="0"/>
      <w:marTop w:val="0"/>
      <w:marBottom w:val="0"/>
      <w:divBdr>
        <w:top w:val="none" w:sz="0" w:space="0" w:color="auto"/>
        <w:left w:val="none" w:sz="0" w:space="0" w:color="auto"/>
        <w:bottom w:val="none" w:sz="0" w:space="0" w:color="auto"/>
        <w:right w:val="none" w:sz="0" w:space="0" w:color="auto"/>
      </w:divBdr>
    </w:div>
    <w:div w:id="284241336">
      <w:bodyDiv w:val="1"/>
      <w:marLeft w:val="0"/>
      <w:marRight w:val="0"/>
      <w:marTop w:val="0"/>
      <w:marBottom w:val="0"/>
      <w:divBdr>
        <w:top w:val="none" w:sz="0" w:space="0" w:color="auto"/>
        <w:left w:val="none" w:sz="0" w:space="0" w:color="auto"/>
        <w:bottom w:val="none" w:sz="0" w:space="0" w:color="auto"/>
        <w:right w:val="none" w:sz="0" w:space="0" w:color="auto"/>
      </w:divBdr>
    </w:div>
    <w:div w:id="287586745">
      <w:bodyDiv w:val="1"/>
      <w:marLeft w:val="0"/>
      <w:marRight w:val="0"/>
      <w:marTop w:val="0"/>
      <w:marBottom w:val="0"/>
      <w:divBdr>
        <w:top w:val="none" w:sz="0" w:space="0" w:color="auto"/>
        <w:left w:val="none" w:sz="0" w:space="0" w:color="auto"/>
        <w:bottom w:val="none" w:sz="0" w:space="0" w:color="auto"/>
        <w:right w:val="none" w:sz="0" w:space="0" w:color="auto"/>
      </w:divBdr>
    </w:div>
    <w:div w:id="293558433">
      <w:bodyDiv w:val="1"/>
      <w:marLeft w:val="0"/>
      <w:marRight w:val="0"/>
      <w:marTop w:val="0"/>
      <w:marBottom w:val="0"/>
      <w:divBdr>
        <w:top w:val="none" w:sz="0" w:space="0" w:color="auto"/>
        <w:left w:val="none" w:sz="0" w:space="0" w:color="auto"/>
        <w:bottom w:val="none" w:sz="0" w:space="0" w:color="auto"/>
        <w:right w:val="none" w:sz="0" w:space="0" w:color="auto"/>
      </w:divBdr>
    </w:div>
    <w:div w:id="295188289">
      <w:bodyDiv w:val="1"/>
      <w:marLeft w:val="0"/>
      <w:marRight w:val="0"/>
      <w:marTop w:val="0"/>
      <w:marBottom w:val="0"/>
      <w:divBdr>
        <w:top w:val="none" w:sz="0" w:space="0" w:color="auto"/>
        <w:left w:val="none" w:sz="0" w:space="0" w:color="auto"/>
        <w:bottom w:val="none" w:sz="0" w:space="0" w:color="auto"/>
        <w:right w:val="none" w:sz="0" w:space="0" w:color="auto"/>
      </w:divBdr>
    </w:div>
    <w:div w:id="297223990">
      <w:bodyDiv w:val="1"/>
      <w:marLeft w:val="0"/>
      <w:marRight w:val="0"/>
      <w:marTop w:val="0"/>
      <w:marBottom w:val="0"/>
      <w:divBdr>
        <w:top w:val="none" w:sz="0" w:space="0" w:color="auto"/>
        <w:left w:val="none" w:sz="0" w:space="0" w:color="auto"/>
        <w:bottom w:val="none" w:sz="0" w:space="0" w:color="auto"/>
        <w:right w:val="none" w:sz="0" w:space="0" w:color="auto"/>
      </w:divBdr>
    </w:div>
    <w:div w:id="300499520">
      <w:bodyDiv w:val="1"/>
      <w:marLeft w:val="0"/>
      <w:marRight w:val="0"/>
      <w:marTop w:val="0"/>
      <w:marBottom w:val="0"/>
      <w:divBdr>
        <w:top w:val="none" w:sz="0" w:space="0" w:color="auto"/>
        <w:left w:val="none" w:sz="0" w:space="0" w:color="auto"/>
        <w:bottom w:val="none" w:sz="0" w:space="0" w:color="auto"/>
        <w:right w:val="none" w:sz="0" w:space="0" w:color="auto"/>
      </w:divBdr>
    </w:div>
    <w:div w:id="303242952">
      <w:bodyDiv w:val="1"/>
      <w:marLeft w:val="0"/>
      <w:marRight w:val="0"/>
      <w:marTop w:val="0"/>
      <w:marBottom w:val="0"/>
      <w:divBdr>
        <w:top w:val="none" w:sz="0" w:space="0" w:color="auto"/>
        <w:left w:val="none" w:sz="0" w:space="0" w:color="auto"/>
        <w:bottom w:val="none" w:sz="0" w:space="0" w:color="auto"/>
        <w:right w:val="none" w:sz="0" w:space="0" w:color="auto"/>
      </w:divBdr>
    </w:div>
    <w:div w:id="304622196">
      <w:bodyDiv w:val="1"/>
      <w:marLeft w:val="0"/>
      <w:marRight w:val="0"/>
      <w:marTop w:val="0"/>
      <w:marBottom w:val="0"/>
      <w:divBdr>
        <w:top w:val="none" w:sz="0" w:space="0" w:color="auto"/>
        <w:left w:val="none" w:sz="0" w:space="0" w:color="auto"/>
        <w:bottom w:val="none" w:sz="0" w:space="0" w:color="auto"/>
        <w:right w:val="none" w:sz="0" w:space="0" w:color="auto"/>
      </w:divBdr>
    </w:div>
    <w:div w:id="326638650">
      <w:bodyDiv w:val="1"/>
      <w:marLeft w:val="0"/>
      <w:marRight w:val="0"/>
      <w:marTop w:val="0"/>
      <w:marBottom w:val="0"/>
      <w:divBdr>
        <w:top w:val="none" w:sz="0" w:space="0" w:color="auto"/>
        <w:left w:val="none" w:sz="0" w:space="0" w:color="auto"/>
        <w:bottom w:val="none" w:sz="0" w:space="0" w:color="auto"/>
        <w:right w:val="none" w:sz="0" w:space="0" w:color="auto"/>
      </w:divBdr>
    </w:div>
    <w:div w:id="332419914">
      <w:bodyDiv w:val="1"/>
      <w:marLeft w:val="0"/>
      <w:marRight w:val="0"/>
      <w:marTop w:val="0"/>
      <w:marBottom w:val="0"/>
      <w:divBdr>
        <w:top w:val="none" w:sz="0" w:space="0" w:color="auto"/>
        <w:left w:val="none" w:sz="0" w:space="0" w:color="auto"/>
        <w:bottom w:val="none" w:sz="0" w:space="0" w:color="auto"/>
        <w:right w:val="none" w:sz="0" w:space="0" w:color="auto"/>
      </w:divBdr>
    </w:div>
    <w:div w:id="335347830">
      <w:bodyDiv w:val="1"/>
      <w:marLeft w:val="0"/>
      <w:marRight w:val="0"/>
      <w:marTop w:val="0"/>
      <w:marBottom w:val="0"/>
      <w:divBdr>
        <w:top w:val="none" w:sz="0" w:space="0" w:color="auto"/>
        <w:left w:val="none" w:sz="0" w:space="0" w:color="auto"/>
        <w:bottom w:val="none" w:sz="0" w:space="0" w:color="auto"/>
        <w:right w:val="none" w:sz="0" w:space="0" w:color="auto"/>
      </w:divBdr>
      <w:divsChild>
        <w:div w:id="900754790">
          <w:marLeft w:val="446"/>
          <w:marRight w:val="0"/>
          <w:marTop w:val="0"/>
          <w:marBottom w:val="0"/>
          <w:divBdr>
            <w:top w:val="none" w:sz="0" w:space="0" w:color="auto"/>
            <w:left w:val="none" w:sz="0" w:space="0" w:color="auto"/>
            <w:bottom w:val="none" w:sz="0" w:space="0" w:color="auto"/>
            <w:right w:val="none" w:sz="0" w:space="0" w:color="auto"/>
          </w:divBdr>
        </w:div>
        <w:div w:id="1928924817">
          <w:marLeft w:val="446"/>
          <w:marRight w:val="0"/>
          <w:marTop w:val="0"/>
          <w:marBottom w:val="0"/>
          <w:divBdr>
            <w:top w:val="none" w:sz="0" w:space="0" w:color="auto"/>
            <w:left w:val="none" w:sz="0" w:space="0" w:color="auto"/>
            <w:bottom w:val="none" w:sz="0" w:space="0" w:color="auto"/>
            <w:right w:val="none" w:sz="0" w:space="0" w:color="auto"/>
          </w:divBdr>
        </w:div>
        <w:div w:id="1936480604">
          <w:marLeft w:val="446"/>
          <w:marRight w:val="0"/>
          <w:marTop w:val="0"/>
          <w:marBottom w:val="0"/>
          <w:divBdr>
            <w:top w:val="none" w:sz="0" w:space="0" w:color="auto"/>
            <w:left w:val="none" w:sz="0" w:space="0" w:color="auto"/>
            <w:bottom w:val="none" w:sz="0" w:space="0" w:color="auto"/>
            <w:right w:val="none" w:sz="0" w:space="0" w:color="auto"/>
          </w:divBdr>
        </w:div>
        <w:div w:id="1963338005">
          <w:marLeft w:val="446"/>
          <w:marRight w:val="0"/>
          <w:marTop w:val="0"/>
          <w:marBottom w:val="0"/>
          <w:divBdr>
            <w:top w:val="none" w:sz="0" w:space="0" w:color="auto"/>
            <w:left w:val="none" w:sz="0" w:space="0" w:color="auto"/>
            <w:bottom w:val="none" w:sz="0" w:space="0" w:color="auto"/>
            <w:right w:val="none" w:sz="0" w:space="0" w:color="auto"/>
          </w:divBdr>
        </w:div>
        <w:div w:id="2013481503">
          <w:marLeft w:val="446"/>
          <w:marRight w:val="0"/>
          <w:marTop w:val="0"/>
          <w:marBottom w:val="0"/>
          <w:divBdr>
            <w:top w:val="none" w:sz="0" w:space="0" w:color="auto"/>
            <w:left w:val="none" w:sz="0" w:space="0" w:color="auto"/>
            <w:bottom w:val="none" w:sz="0" w:space="0" w:color="auto"/>
            <w:right w:val="none" w:sz="0" w:space="0" w:color="auto"/>
          </w:divBdr>
        </w:div>
      </w:divsChild>
    </w:div>
    <w:div w:id="336466275">
      <w:bodyDiv w:val="1"/>
      <w:marLeft w:val="0"/>
      <w:marRight w:val="0"/>
      <w:marTop w:val="0"/>
      <w:marBottom w:val="0"/>
      <w:divBdr>
        <w:top w:val="none" w:sz="0" w:space="0" w:color="auto"/>
        <w:left w:val="none" w:sz="0" w:space="0" w:color="auto"/>
        <w:bottom w:val="none" w:sz="0" w:space="0" w:color="auto"/>
        <w:right w:val="none" w:sz="0" w:space="0" w:color="auto"/>
      </w:divBdr>
    </w:div>
    <w:div w:id="338630004">
      <w:bodyDiv w:val="1"/>
      <w:marLeft w:val="0"/>
      <w:marRight w:val="0"/>
      <w:marTop w:val="0"/>
      <w:marBottom w:val="0"/>
      <w:divBdr>
        <w:top w:val="none" w:sz="0" w:space="0" w:color="auto"/>
        <w:left w:val="none" w:sz="0" w:space="0" w:color="auto"/>
        <w:bottom w:val="none" w:sz="0" w:space="0" w:color="auto"/>
        <w:right w:val="none" w:sz="0" w:space="0" w:color="auto"/>
      </w:divBdr>
    </w:div>
    <w:div w:id="349793248">
      <w:bodyDiv w:val="1"/>
      <w:marLeft w:val="0"/>
      <w:marRight w:val="0"/>
      <w:marTop w:val="0"/>
      <w:marBottom w:val="0"/>
      <w:divBdr>
        <w:top w:val="none" w:sz="0" w:space="0" w:color="auto"/>
        <w:left w:val="none" w:sz="0" w:space="0" w:color="auto"/>
        <w:bottom w:val="none" w:sz="0" w:space="0" w:color="auto"/>
        <w:right w:val="none" w:sz="0" w:space="0" w:color="auto"/>
      </w:divBdr>
    </w:div>
    <w:div w:id="366301134">
      <w:bodyDiv w:val="1"/>
      <w:marLeft w:val="0"/>
      <w:marRight w:val="0"/>
      <w:marTop w:val="0"/>
      <w:marBottom w:val="0"/>
      <w:divBdr>
        <w:top w:val="none" w:sz="0" w:space="0" w:color="auto"/>
        <w:left w:val="none" w:sz="0" w:space="0" w:color="auto"/>
        <w:bottom w:val="none" w:sz="0" w:space="0" w:color="auto"/>
        <w:right w:val="none" w:sz="0" w:space="0" w:color="auto"/>
      </w:divBdr>
    </w:div>
    <w:div w:id="384986136">
      <w:bodyDiv w:val="1"/>
      <w:marLeft w:val="0"/>
      <w:marRight w:val="0"/>
      <w:marTop w:val="0"/>
      <w:marBottom w:val="0"/>
      <w:divBdr>
        <w:top w:val="none" w:sz="0" w:space="0" w:color="auto"/>
        <w:left w:val="none" w:sz="0" w:space="0" w:color="auto"/>
        <w:bottom w:val="none" w:sz="0" w:space="0" w:color="auto"/>
        <w:right w:val="none" w:sz="0" w:space="0" w:color="auto"/>
      </w:divBdr>
    </w:div>
    <w:div w:id="385571276">
      <w:bodyDiv w:val="1"/>
      <w:marLeft w:val="0"/>
      <w:marRight w:val="0"/>
      <w:marTop w:val="0"/>
      <w:marBottom w:val="0"/>
      <w:divBdr>
        <w:top w:val="none" w:sz="0" w:space="0" w:color="auto"/>
        <w:left w:val="none" w:sz="0" w:space="0" w:color="auto"/>
        <w:bottom w:val="none" w:sz="0" w:space="0" w:color="auto"/>
        <w:right w:val="none" w:sz="0" w:space="0" w:color="auto"/>
      </w:divBdr>
    </w:div>
    <w:div w:id="395054823">
      <w:bodyDiv w:val="1"/>
      <w:marLeft w:val="0"/>
      <w:marRight w:val="0"/>
      <w:marTop w:val="0"/>
      <w:marBottom w:val="0"/>
      <w:divBdr>
        <w:top w:val="none" w:sz="0" w:space="0" w:color="auto"/>
        <w:left w:val="none" w:sz="0" w:space="0" w:color="auto"/>
        <w:bottom w:val="none" w:sz="0" w:space="0" w:color="auto"/>
        <w:right w:val="none" w:sz="0" w:space="0" w:color="auto"/>
      </w:divBdr>
    </w:div>
    <w:div w:id="412747418">
      <w:bodyDiv w:val="1"/>
      <w:marLeft w:val="0"/>
      <w:marRight w:val="0"/>
      <w:marTop w:val="0"/>
      <w:marBottom w:val="0"/>
      <w:divBdr>
        <w:top w:val="none" w:sz="0" w:space="0" w:color="auto"/>
        <w:left w:val="none" w:sz="0" w:space="0" w:color="auto"/>
        <w:bottom w:val="none" w:sz="0" w:space="0" w:color="auto"/>
        <w:right w:val="none" w:sz="0" w:space="0" w:color="auto"/>
      </w:divBdr>
    </w:div>
    <w:div w:id="413358231">
      <w:bodyDiv w:val="1"/>
      <w:marLeft w:val="0"/>
      <w:marRight w:val="0"/>
      <w:marTop w:val="0"/>
      <w:marBottom w:val="0"/>
      <w:divBdr>
        <w:top w:val="none" w:sz="0" w:space="0" w:color="auto"/>
        <w:left w:val="none" w:sz="0" w:space="0" w:color="auto"/>
        <w:bottom w:val="none" w:sz="0" w:space="0" w:color="auto"/>
        <w:right w:val="none" w:sz="0" w:space="0" w:color="auto"/>
      </w:divBdr>
    </w:div>
    <w:div w:id="415983796">
      <w:bodyDiv w:val="1"/>
      <w:marLeft w:val="0"/>
      <w:marRight w:val="0"/>
      <w:marTop w:val="0"/>
      <w:marBottom w:val="0"/>
      <w:divBdr>
        <w:top w:val="none" w:sz="0" w:space="0" w:color="auto"/>
        <w:left w:val="none" w:sz="0" w:space="0" w:color="auto"/>
        <w:bottom w:val="none" w:sz="0" w:space="0" w:color="auto"/>
        <w:right w:val="none" w:sz="0" w:space="0" w:color="auto"/>
      </w:divBdr>
    </w:div>
    <w:div w:id="435097449">
      <w:bodyDiv w:val="1"/>
      <w:marLeft w:val="0"/>
      <w:marRight w:val="0"/>
      <w:marTop w:val="0"/>
      <w:marBottom w:val="0"/>
      <w:divBdr>
        <w:top w:val="none" w:sz="0" w:space="0" w:color="auto"/>
        <w:left w:val="none" w:sz="0" w:space="0" w:color="auto"/>
        <w:bottom w:val="none" w:sz="0" w:space="0" w:color="auto"/>
        <w:right w:val="none" w:sz="0" w:space="0" w:color="auto"/>
      </w:divBdr>
    </w:div>
    <w:div w:id="446050083">
      <w:bodyDiv w:val="1"/>
      <w:marLeft w:val="0"/>
      <w:marRight w:val="0"/>
      <w:marTop w:val="0"/>
      <w:marBottom w:val="0"/>
      <w:divBdr>
        <w:top w:val="none" w:sz="0" w:space="0" w:color="auto"/>
        <w:left w:val="none" w:sz="0" w:space="0" w:color="auto"/>
        <w:bottom w:val="none" w:sz="0" w:space="0" w:color="auto"/>
        <w:right w:val="none" w:sz="0" w:space="0" w:color="auto"/>
      </w:divBdr>
    </w:div>
    <w:div w:id="446587376">
      <w:bodyDiv w:val="1"/>
      <w:marLeft w:val="0"/>
      <w:marRight w:val="0"/>
      <w:marTop w:val="0"/>
      <w:marBottom w:val="0"/>
      <w:divBdr>
        <w:top w:val="none" w:sz="0" w:space="0" w:color="auto"/>
        <w:left w:val="none" w:sz="0" w:space="0" w:color="auto"/>
        <w:bottom w:val="none" w:sz="0" w:space="0" w:color="auto"/>
        <w:right w:val="none" w:sz="0" w:space="0" w:color="auto"/>
      </w:divBdr>
    </w:div>
    <w:div w:id="451247112">
      <w:bodyDiv w:val="1"/>
      <w:marLeft w:val="0"/>
      <w:marRight w:val="0"/>
      <w:marTop w:val="0"/>
      <w:marBottom w:val="0"/>
      <w:divBdr>
        <w:top w:val="none" w:sz="0" w:space="0" w:color="auto"/>
        <w:left w:val="none" w:sz="0" w:space="0" w:color="auto"/>
        <w:bottom w:val="none" w:sz="0" w:space="0" w:color="auto"/>
        <w:right w:val="none" w:sz="0" w:space="0" w:color="auto"/>
      </w:divBdr>
    </w:div>
    <w:div w:id="481115575">
      <w:bodyDiv w:val="1"/>
      <w:marLeft w:val="0"/>
      <w:marRight w:val="0"/>
      <w:marTop w:val="0"/>
      <w:marBottom w:val="0"/>
      <w:divBdr>
        <w:top w:val="none" w:sz="0" w:space="0" w:color="auto"/>
        <w:left w:val="none" w:sz="0" w:space="0" w:color="auto"/>
        <w:bottom w:val="none" w:sz="0" w:space="0" w:color="auto"/>
        <w:right w:val="none" w:sz="0" w:space="0" w:color="auto"/>
      </w:divBdr>
    </w:div>
    <w:div w:id="512305843">
      <w:bodyDiv w:val="1"/>
      <w:marLeft w:val="0"/>
      <w:marRight w:val="0"/>
      <w:marTop w:val="0"/>
      <w:marBottom w:val="0"/>
      <w:divBdr>
        <w:top w:val="none" w:sz="0" w:space="0" w:color="auto"/>
        <w:left w:val="none" w:sz="0" w:space="0" w:color="auto"/>
        <w:bottom w:val="none" w:sz="0" w:space="0" w:color="auto"/>
        <w:right w:val="none" w:sz="0" w:space="0" w:color="auto"/>
      </w:divBdr>
    </w:div>
    <w:div w:id="527448715">
      <w:bodyDiv w:val="1"/>
      <w:marLeft w:val="0"/>
      <w:marRight w:val="0"/>
      <w:marTop w:val="0"/>
      <w:marBottom w:val="0"/>
      <w:divBdr>
        <w:top w:val="none" w:sz="0" w:space="0" w:color="auto"/>
        <w:left w:val="none" w:sz="0" w:space="0" w:color="auto"/>
        <w:bottom w:val="none" w:sz="0" w:space="0" w:color="auto"/>
        <w:right w:val="none" w:sz="0" w:space="0" w:color="auto"/>
      </w:divBdr>
    </w:div>
    <w:div w:id="529496463">
      <w:bodyDiv w:val="1"/>
      <w:marLeft w:val="0"/>
      <w:marRight w:val="0"/>
      <w:marTop w:val="0"/>
      <w:marBottom w:val="0"/>
      <w:divBdr>
        <w:top w:val="none" w:sz="0" w:space="0" w:color="auto"/>
        <w:left w:val="none" w:sz="0" w:space="0" w:color="auto"/>
        <w:bottom w:val="none" w:sz="0" w:space="0" w:color="auto"/>
        <w:right w:val="none" w:sz="0" w:space="0" w:color="auto"/>
      </w:divBdr>
    </w:div>
    <w:div w:id="529685319">
      <w:bodyDiv w:val="1"/>
      <w:marLeft w:val="0"/>
      <w:marRight w:val="0"/>
      <w:marTop w:val="0"/>
      <w:marBottom w:val="0"/>
      <w:divBdr>
        <w:top w:val="none" w:sz="0" w:space="0" w:color="auto"/>
        <w:left w:val="none" w:sz="0" w:space="0" w:color="auto"/>
        <w:bottom w:val="none" w:sz="0" w:space="0" w:color="auto"/>
        <w:right w:val="none" w:sz="0" w:space="0" w:color="auto"/>
      </w:divBdr>
    </w:div>
    <w:div w:id="536697240">
      <w:bodyDiv w:val="1"/>
      <w:marLeft w:val="0"/>
      <w:marRight w:val="0"/>
      <w:marTop w:val="0"/>
      <w:marBottom w:val="0"/>
      <w:divBdr>
        <w:top w:val="none" w:sz="0" w:space="0" w:color="auto"/>
        <w:left w:val="none" w:sz="0" w:space="0" w:color="auto"/>
        <w:bottom w:val="none" w:sz="0" w:space="0" w:color="auto"/>
        <w:right w:val="none" w:sz="0" w:space="0" w:color="auto"/>
      </w:divBdr>
    </w:div>
    <w:div w:id="567765652">
      <w:bodyDiv w:val="1"/>
      <w:marLeft w:val="0"/>
      <w:marRight w:val="0"/>
      <w:marTop w:val="0"/>
      <w:marBottom w:val="0"/>
      <w:divBdr>
        <w:top w:val="none" w:sz="0" w:space="0" w:color="auto"/>
        <w:left w:val="none" w:sz="0" w:space="0" w:color="auto"/>
        <w:bottom w:val="none" w:sz="0" w:space="0" w:color="auto"/>
        <w:right w:val="none" w:sz="0" w:space="0" w:color="auto"/>
      </w:divBdr>
    </w:div>
    <w:div w:id="586614360">
      <w:bodyDiv w:val="1"/>
      <w:marLeft w:val="0"/>
      <w:marRight w:val="0"/>
      <w:marTop w:val="0"/>
      <w:marBottom w:val="0"/>
      <w:divBdr>
        <w:top w:val="none" w:sz="0" w:space="0" w:color="auto"/>
        <w:left w:val="none" w:sz="0" w:space="0" w:color="auto"/>
        <w:bottom w:val="none" w:sz="0" w:space="0" w:color="auto"/>
        <w:right w:val="none" w:sz="0" w:space="0" w:color="auto"/>
      </w:divBdr>
    </w:div>
    <w:div w:id="602149057">
      <w:bodyDiv w:val="1"/>
      <w:marLeft w:val="0"/>
      <w:marRight w:val="0"/>
      <w:marTop w:val="0"/>
      <w:marBottom w:val="0"/>
      <w:divBdr>
        <w:top w:val="none" w:sz="0" w:space="0" w:color="auto"/>
        <w:left w:val="none" w:sz="0" w:space="0" w:color="auto"/>
        <w:bottom w:val="none" w:sz="0" w:space="0" w:color="auto"/>
        <w:right w:val="none" w:sz="0" w:space="0" w:color="auto"/>
      </w:divBdr>
    </w:div>
    <w:div w:id="604729563">
      <w:bodyDiv w:val="1"/>
      <w:marLeft w:val="0"/>
      <w:marRight w:val="0"/>
      <w:marTop w:val="0"/>
      <w:marBottom w:val="0"/>
      <w:divBdr>
        <w:top w:val="none" w:sz="0" w:space="0" w:color="auto"/>
        <w:left w:val="none" w:sz="0" w:space="0" w:color="auto"/>
        <w:bottom w:val="none" w:sz="0" w:space="0" w:color="auto"/>
        <w:right w:val="none" w:sz="0" w:space="0" w:color="auto"/>
      </w:divBdr>
    </w:div>
    <w:div w:id="607660551">
      <w:bodyDiv w:val="1"/>
      <w:marLeft w:val="0"/>
      <w:marRight w:val="0"/>
      <w:marTop w:val="0"/>
      <w:marBottom w:val="0"/>
      <w:divBdr>
        <w:top w:val="none" w:sz="0" w:space="0" w:color="auto"/>
        <w:left w:val="none" w:sz="0" w:space="0" w:color="auto"/>
        <w:bottom w:val="none" w:sz="0" w:space="0" w:color="auto"/>
        <w:right w:val="none" w:sz="0" w:space="0" w:color="auto"/>
      </w:divBdr>
    </w:div>
    <w:div w:id="609704455">
      <w:bodyDiv w:val="1"/>
      <w:marLeft w:val="0"/>
      <w:marRight w:val="0"/>
      <w:marTop w:val="0"/>
      <w:marBottom w:val="0"/>
      <w:divBdr>
        <w:top w:val="none" w:sz="0" w:space="0" w:color="auto"/>
        <w:left w:val="none" w:sz="0" w:space="0" w:color="auto"/>
        <w:bottom w:val="none" w:sz="0" w:space="0" w:color="auto"/>
        <w:right w:val="none" w:sz="0" w:space="0" w:color="auto"/>
      </w:divBdr>
    </w:div>
    <w:div w:id="610013977">
      <w:bodyDiv w:val="1"/>
      <w:marLeft w:val="0"/>
      <w:marRight w:val="0"/>
      <w:marTop w:val="0"/>
      <w:marBottom w:val="0"/>
      <w:divBdr>
        <w:top w:val="none" w:sz="0" w:space="0" w:color="auto"/>
        <w:left w:val="none" w:sz="0" w:space="0" w:color="auto"/>
        <w:bottom w:val="none" w:sz="0" w:space="0" w:color="auto"/>
        <w:right w:val="none" w:sz="0" w:space="0" w:color="auto"/>
      </w:divBdr>
    </w:div>
    <w:div w:id="615789569">
      <w:bodyDiv w:val="1"/>
      <w:marLeft w:val="0"/>
      <w:marRight w:val="0"/>
      <w:marTop w:val="0"/>
      <w:marBottom w:val="0"/>
      <w:divBdr>
        <w:top w:val="none" w:sz="0" w:space="0" w:color="auto"/>
        <w:left w:val="none" w:sz="0" w:space="0" w:color="auto"/>
        <w:bottom w:val="none" w:sz="0" w:space="0" w:color="auto"/>
        <w:right w:val="none" w:sz="0" w:space="0" w:color="auto"/>
      </w:divBdr>
    </w:div>
    <w:div w:id="623733750">
      <w:bodyDiv w:val="1"/>
      <w:marLeft w:val="0"/>
      <w:marRight w:val="0"/>
      <w:marTop w:val="0"/>
      <w:marBottom w:val="0"/>
      <w:divBdr>
        <w:top w:val="none" w:sz="0" w:space="0" w:color="auto"/>
        <w:left w:val="none" w:sz="0" w:space="0" w:color="auto"/>
        <w:bottom w:val="none" w:sz="0" w:space="0" w:color="auto"/>
        <w:right w:val="none" w:sz="0" w:space="0" w:color="auto"/>
      </w:divBdr>
    </w:div>
    <w:div w:id="624165630">
      <w:bodyDiv w:val="1"/>
      <w:marLeft w:val="0"/>
      <w:marRight w:val="0"/>
      <w:marTop w:val="0"/>
      <w:marBottom w:val="0"/>
      <w:divBdr>
        <w:top w:val="none" w:sz="0" w:space="0" w:color="auto"/>
        <w:left w:val="none" w:sz="0" w:space="0" w:color="auto"/>
        <w:bottom w:val="none" w:sz="0" w:space="0" w:color="auto"/>
        <w:right w:val="none" w:sz="0" w:space="0" w:color="auto"/>
      </w:divBdr>
    </w:div>
    <w:div w:id="630139037">
      <w:bodyDiv w:val="1"/>
      <w:marLeft w:val="0"/>
      <w:marRight w:val="0"/>
      <w:marTop w:val="0"/>
      <w:marBottom w:val="0"/>
      <w:divBdr>
        <w:top w:val="none" w:sz="0" w:space="0" w:color="auto"/>
        <w:left w:val="none" w:sz="0" w:space="0" w:color="auto"/>
        <w:bottom w:val="none" w:sz="0" w:space="0" w:color="auto"/>
        <w:right w:val="none" w:sz="0" w:space="0" w:color="auto"/>
      </w:divBdr>
    </w:div>
    <w:div w:id="640231689">
      <w:bodyDiv w:val="1"/>
      <w:marLeft w:val="0"/>
      <w:marRight w:val="0"/>
      <w:marTop w:val="0"/>
      <w:marBottom w:val="0"/>
      <w:divBdr>
        <w:top w:val="none" w:sz="0" w:space="0" w:color="auto"/>
        <w:left w:val="none" w:sz="0" w:space="0" w:color="auto"/>
        <w:bottom w:val="none" w:sz="0" w:space="0" w:color="auto"/>
        <w:right w:val="none" w:sz="0" w:space="0" w:color="auto"/>
      </w:divBdr>
    </w:div>
    <w:div w:id="641925252">
      <w:bodyDiv w:val="1"/>
      <w:marLeft w:val="0"/>
      <w:marRight w:val="0"/>
      <w:marTop w:val="0"/>
      <w:marBottom w:val="0"/>
      <w:divBdr>
        <w:top w:val="none" w:sz="0" w:space="0" w:color="auto"/>
        <w:left w:val="none" w:sz="0" w:space="0" w:color="auto"/>
        <w:bottom w:val="none" w:sz="0" w:space="0" w:color="auto"/>
        <w:right w:val="none" w:sz="0" w:space="0" w:color="auto"/>
      </w:divBdr>
    </w:div>
    <w:div w:id="647855842">
      <w:bodyDiv w:val="1"/>
      <w:marLeft w:val="0"/>
      <w:marRight w:val="0"/>
      <w:marTop w:val="0"/>
      <w:marBottom w:val="0"/>
      <w:divBdr>
        <w:top w:val="none" w:sz="0" w:space="0" w:color="auto"/>
        <w:left w:val="none" w:sz="0" w:space="0" w:color="auto"/>
        <w:bottom w:val="none" w:sz="0" w:space="0" w:color="auto"/>
        <w:right w:val="none" w:sz="0" w:space="0" w:color="auto"/>
      </w:divBdr>
      <w:divsChild>
        <w:div w:id="1578519778">
          <w:marLeft w:val="0"/>
          <w:marRight w:val="0"/>
          <w:marTop w:val="0"/>
          <w:marBottom w:val="0"/>
          <w:divBdr>
            <w:top w:val="none" w:sz="0" w:space="0" w:color="auto"/>
            <w:left w:val="none" w:sz="0" w:space="0" w:color="auto"/>
            <w:bottom w:val="none" w:sz="0" w:space="0" w:color="auto"/>
            <w:right w:val="none" w:sz="0" w:space="0" w:color="auto"/>
          </w:divBdr>
        </w:div>
        <w:div w:id="1689941183">
          <w:marLeft w:val="0"/>
          <w:marRight w:val="0"/>
          <w:marTop w:val="0"/>
          <w:marBottom w:val="0"/>
          <w:divBdr>
            <w:top w:val="none" w:sz="0" w:space="0" w:color="auto"/>
            <w:left w:val="none" w:sz="0" w:space="0" w:color="auto"/>
            <w:bottom w:val="none" w:sz="0" w:space="0" w:color="auto"/>
            <w:right w:val="none" w:sz="0" w:space="0" w:color="auto"/>
          </w:divBdr>
        </w:div>
      </w:divsChild>
    </w:div>
    <w:div w:id="661663608">
      <w:bodyDiv w:val="1"/>
      <w:marLeft w:val="0"/>
      <w:marRight w:val="0"/>
      <w:marTop w:val="0"/>
      <w:marBottom w:val="0"/>
      <w:divBdr>
        <w:top w:val="none" w:sz="0" w:space="0" w:color="auto"/>
        <w:left w:val="none" w:sz="0" w:space="0" w:color="auto"/>
        <w:bottom w:val="none" w:sz="0" w:space="0" w:color="auto"/>
        <w:right w:val="none" w:sz="0" w:space="0" w:color="auto"/>
      </w:divBdr>
    </w:div>
    <w:div w:id="680163569">
      <w:bodyDiv w:val="1"/>
      <w:marLeft w:val="0"/>
      <w:marRight w:val="0"/>
      <w:marTop w:val="0"/>
      <w:marBottom w:val="0"/>
      <w:divBdr>
        <w:top w:val="none" w:sz="0" w:space="0" w:color="auto"/>
        <w:left w:val="none" w:sz="0" w:space="0" w:color="auto"/>
        <w:bottom w:val="none" w:sz="0" w:space="0" w:color="auto"/>
        <w:right w:val="none" w:sz="0" w:space="0" w:color="auto"/>
      </w:divBdr>
    </w:div>
    <w:div w:id="680744281">
      <w:bodyDiv w:val="1"/>
      <w:marLeft w:val="0"/>
      <w:marRight w:val="0"/>
      <w:marTop w:val="0"/>
      <w:marBottom w:val="0"/>
      <w:divBdr>
        <w:top w:val="none" w:sz="0" w:space="0" w:color="auto"/>
        <w:left w:val="none" w:sz="0" w:space="0" w:color="auto"/>
        <w:bottom w:val="none" w:sz="0" w:space="0" w:color="auto"/>
        <w:right w:val="none" w:sz="0" w:space="0" w:color="auto"/>
      </w:divBdr>
    </w:div>
    <w:div w:id="688992609">
      <w:bodyDiv w:val="1"/>
      <w:marLeft w:val="0"/>
      <w:marRight w:val="0"/>
      <w:marTop w:val="0"/>
      <w:marBottom w:val="0"/>
      <w:divBdr>
        <w:top w:val="none" w:sz="0" w:space="0" w:color="auto"/>
        <w:left w:val="none" w:sz="0" w:space="0" w:color="auto"/>
        <w:bottom w:val="none" w:sz="0" w:space="0" w:color="auto"/>
        <w:right w:val="none" w:sz="0" w:space="0" w:color="auto"/>
      </w:divBdr>
    </w:div>
    <w:div w:id="721447379">
      <w:bodyDiv w:val="1"/>
      <w:marLeft w:val="0"/>
      <w:marRight w:val="0"/>
      <w:marTop w:val="0"/>
      <w:marBottom w:val="0"/>
      <w:divBdr>
        <w:top w:val="none" w:sz="0" w:space="0" w:color="auto"/>
        <w:left w:val="none" w:sz="0" w:space="0" w:color="auto"/>
        <w:bottom w:val="none" w:sz="0" w:space="0" w:color="auto"/>
        <w:right w:val="none" w:sz="0" w:space="0" w:color="auto"/>
      </w:divBdr>
    </w:div>
    <w:div w:id="731077677">
      <w:bodyDiv w:val="1"/>
      <w:marLeft w:val="0"/>
      <w:marRight w:val="0"/>
      <w:marTop w:val="0"/>
      <w:marBottom w:val="0"/>
      <w:divBdr>
        <w:top w:val="none" w:sz="0" w:space="0" w:color="auto"/>
        <w:left w:val="none" w:sz="0" w:space="0" w:color="auto"/>
        <w:bottom w:val="none" w:sz="0" w:space="0" w:color="auto"/>
        <w:right w:val="none" w:sz="0" w:space="0" w:color="auto"/>
      </w:divBdr>
    </w:div>
    <w:div w:id="735929982">
      <w:bodyDiv w:val="1"/>
      <w:marLeft w:val="0"/>
      <w:marRight w:val="0"/>
      <w:marTop w:val="0"/>
      <w:marBottom w:val="0"/>
      <w:divBdr>
        <w:top w:val="none" w:sz="0" w:space="0" w:color="auto"/>
        <w:left w:val="none" w:sz="0" w:space="0" w:color="auto"/>
        <w:bottom w:val="none" w:sz="0" w:space="0" w:color="auto"/>
        <w:right w:val="none" w:sz="0" w:space="0" w:color="auto"/>
      </w:divBdr>
    </w:div>
    <w:div w:id="741753231">
      <w:bodyDiv w:val="1"/>
      <w:marLeft w:val="0"/>
      <w:marRight w:val="0"/>
      <w:marTop w:val="0"/>
      <w:marBottom w:val="0"/>
      <w:divBdr>
        <w:top w:val="none" w:sz="0" w:space="0" w:color="auto"/>
        <w:left w:val="none" w:sz="0" w:space="0" w:color="auto"/>
        <w:bottom w:val="none" w:sz="0" w:space="0" w:color="auto"/>
        <w:right w:val="none" w:sz="0" w:space="0" w:color="auto"/>
      </w:divBdr>
    </w:div>
    <w:div w:id="749500195">
      <w:bodyDiv w:val="1"/>
      <w:marLeft w:val="0"/>
      <w:marRight w:val="0"/>
      <w:marTop w:val="0"/>
      <w:marBottom w:val="0"/>
      <w:divBdr>
        <w:top w:val="none" w:sz="0" w:space="0" w:color="auto"/>
        <w:left w:val="none" w:sz="0" w:space="0" w:color="auto"/>
        <w:bottom w:val="none" w:sz="0" w:space="0" w:color="auto"/>
        <w:right w:val="none" w:sz="0" w:space="0" w:color="auto"/>
      </w:divBdr>
      <w:divsChild>
        <w:div w:id="562298938">
          <w:marLeft w:val="0"/>
          <w:marRight w:val="0"/>
          <w:marTop w:val="0"/>
          <w:marBottom w:val="0"/>
          <w:divBdr>
            <w:top w:val="none" w:sz="0" w:space="0" w:color="auto"/>
            <w:left w:val="none" w:sz="0" w:space="0" w:color="auto"/>
            <w:bottom w:val="none" w:sz="0" w:space="0" w:color="auto"/>
            <w:right w:val="none" w:sz="0" w:space="0" w:color="auto"/>
          </w:divBdr>
        </w:div>
        <w:div w:id="1470898075">
          <w:marLeft w:val="0"/>
          <w:marRight w:val="0"/>
          <w:marTop w:val="0"/>
          <w:marBottom w:val="0"/>
          <w:divBdr>
            <w:top w:val="none" w:sz="0" w:space="0" w:color="auto"/>
            <w:left w:val="none" w:sz="0" w:space="0" w:color="auto"/>
            <w:bottom w:val="none" w:sz="0" w:space="0" w:color="auto"/>
            <w:right w:val="none" w:sz="0" w:space="0" w:color="auto"/>
          </w:divBdr>
        </w:div>
      </w:divsChild>
    </w:div>
    <w:div w:id="758217621">
      <w:bodyDiv w:val="1"/>
      <w:marLeft w:val="0"/>
      <w:marRight w:val="0"/>
      <w:marTop w:val="0"/>
      <w:marBottom w:val="0"/>
      <w:divBdr>
        <w:top w:val="none" w:sz="0" w:space="0" w:color="auto"/>
        <w:left w:val="none" w:sz="0" w:space="0" w:color="auto"/>
        <w:bottom w:val="none" w:sz="0" w:space="0" w:color="auto"/>
        <w:right w:val="none" w:sz="0" w:space="0" w:color="auto"/>
      </w:divBdr>
    </w:div>
    <w:div w:id="770049018">
      <w:bodyDiv w:val="1"/>
      <w:marLeft w:val="0"/>
      <w:marRight w:val="0"/>
      <w:marTop w:val="0"/>
      <w:marBottom w:val="0"/>
      <w:divBdr>
        <w:top w:val="none" w:sz="0" w:space="0" w:color="auto"/>
        <w:left w:val="none" w:sz="0" w:space="0" w:color="auto"/>
        <w:bottom w:val="none" w:sz="0" w:space="0" w:color="auto"/>
        <w:right w:val="none" w:sz="0" w:space="0" w:color="auto"/>
      </w:divBdr>
    </w:div>
    <w:div w:id="790249445">
      <w:bodyDiv w:val="1"/>
      <w:marLeft w:val="0"/>
      <w:marRight w:val="0"/>
      <w:marTop w:val="0"/>
      <w:marBottom w:val="0"/>
      <w:divBdr>
        <w:top w:val="none" w:sz="0" w:space="0" w:color="auto"/>
        <w:left w:val="none" w:sz="0" w:space="0" w:color="auto"/>
        <w:bottom w:val="none" w:sz="0" w:space="0" w:color="auto"/>
        <w:right w:val="none" w:sz="0" w:space="0" w:color="auto"/>
      </w:divBdr>
    </w:div>
    <w:div w:id="792212057">
      <w:bodyDiv w:val="1"/>
      <w:marLeft w:val="0"/>
      <w:marRight w:val="0"/>
      <w:marTop w:val="0"/>
      <w:marBottom w:val="0"/>
      <w:divBdr>
        <w:top w:val="none" w:sz="0" w:space="0" w:color="auto"/>
        <w:left w:val="none" w:sz="0" w:space="0" w:color="auto"/>
        <w:bottom w:val="none" w:sz="0" w:space="0" w:color="auto"/>
        <w:right w:val="none" w:sz="0" w:space="0" w:color="auto"/>
      </w:divBdr>
    </w:div>
    <w:div w:id="800462538">
      <w:bodyDiv w:val="1"/>
      <w:marLeft w:val="0"/>
      <w:marRight w:val="0"/>
      <w:marTop w:val="0"/>
      <w:marBottom w:val="0"/>
      <w:divBdr>
        <w:top w:val="none" w:sz="0" w:space="0" w:color="auto"/>
        <w:left w:val="none" w:sz="0" w:space="0" w:color="auto"/>
        <w:bottom w:val="none" w:sz="0" w:space="0" w:color="auto"/>
        <w:right w:val="none" w:sz="0" w:space="0" w:color="auto"/>
      </w:divBdr>
    </w:div>
    <w:div w:id="820578263">
      <w:bodyDiv w:val="1"/>
      <w:marLeft w:val="0"/>
      <w:marRight w:val="0"/>
      <w:marTop w:val="0"/>
      <w:marBottom w:val="0"/>
      <w:divBdr>
        <w:top w:val="none" w:sz="0" w:space="0" w:color="auto"/>
        <w:left w:val="none" w:sz="0" w:space="0" w:color="auto"/>
        <w:bottom w:val="none" w:sz="0" w:space="0" w:color="auto"/>
        <w:right w:val="none" w:sz="0" w:space="0" w:color="auto"/>
      </w:divBdr>
    </w:div>
    <w:div w:id="831143495">
      <w:bodyDiv w:val="1"/>
      <w:marLeft w:val="0"/>
      <w:marRight w:val="0"/>
      <w:marTop w:val="0"/>
      <w:marBottom w:val="0"/>
      <w:divBdr>
        <w:top w:val="none" w:sz="0" w:space="0" w:color="auto"/>
        <w:left w:val="none" w:sz="0" w:space="0" w:color="auto"/>
        <w:bottom w:val="none" w:sz="0" w:space="0" w:color="auto"/>
        <w:right w:val="none" w:sz="0" w:space="0" w:color="auto"/>
      </w:divBdr>
    </w:div>
    <w:div w:id="839320401">
      <w:bodyDiv w:val="1"/>
      <w:marLeft w:val="0"/>
      <w:marRight w:val="0"/>
      <w:marTop w:val="0"/>
      <w:marBottom w:val="0"/>
      <w:divBdr>
        <w:top w:val="none" w:sz="0" w:space="0" w:color="auto"/>
        <w:left w:val="none" w:sz="0" w:space="0" w:color="auto"/>
        <w:bottom w:val="none" w:sz="0" w:space="0" w:color="auto"/>
        <w:right w:val="none" w:sz="0" w:space="0" w:color="auto"/>
      </w:divBdr>
    </w:div>
    <w:div w:id="844366337">
      <w:bodyDiv w:val="1"/>
      <w:marLeft w:val="0"/>
      <w:marRight w:val="0"/>
      <w:marTop w:val="0"/>
      <w:marBottom w:val="0"/>
      <w:divBdr>
        <w:top w:val="none" w:sz="0" w:space="0" w:color="auto"/>
        <w:left w:val="none" w:sz="0" w:space="0" w:color="auto"/>
        <w:bottom w:val="none" w:sz="0" w:space="0" w:color="auto"/>
        <w:right w:val="none" w:sz="0" w:space="0" w:color="auto"/>
      </w:divBdr>
    </w:div>
    <w:div w:id="851072965">
      <w:bodyDiv w:val="1"/>
      <w:marLeft w:val="0"/>
      <w:marRight w:val="0"/>
      <w:marTop w:val="0"/>
      <w:marBottom w:val="0"/>
      <w:divBdr>
        <w:top w:val="none" w:sz="0" w:space="0" w:color="auto"/>
        <w:left w:val="none" w:sz="0" w:space="0" w:color="auto"/>
        <w:bottom w:val="none" w:sz="0" w:space="0" w:color="auto"/>
        <w:right w:val="none" w:sz="0" w:space="0" w:color="auto"/>
      </w:divBdr>
    </w:div>
    <w:div w:id="851912462">
      <w:bodyDiv w:val="1"/>
      <w:marLeft w:val="0"/>
      <w:marRight w:val="0"/>
      <w:marTop w:val="0"/>
      <w:marBottom w:val="0"/>
      <w:divBdr>
        <w:top w:val="none" w:sz="0" w:space="0" w:color="auto"/>
        <w:left w:val="none" w:sz="0" w:space="0" w:color="auto"/>
        <w:bottom w:val="none" w:sz="0" w:space="0" w:color="auto"/>
        <w:right w:val="none" w:sz="0" w:space="0" w:color="auto"/>
      </w:divBdr>
    </w:div>
    <w:div w:id="862479511">
      <w:bodyDiv w:val="1"/>
      <w:marLeft w:val="0"/>
      <w:marRight w:val="0"/>
      <w:marTop w:val="0"/>
      <w:marBottom w:val="0"/>
      <w:divBdr>
        <w:top w:val="none" w:sz="0" w:space="0" w:color="auto"/>
        <w:left w:val="none" w:sz="0" w:space="0" w:color="auto"/>
        <w:bottom w:val="none" w:sz="0" w:space="0" w:color="auto"/>
        <w:right w:val="none" w:sz="0" w:space="0" w:color="auto"/>
      </w:divBdr>
    </w:div>
    <w:div w:id="863639528">
      <w:bodyDiv w:val="1"/>
      <w:marLeft w:val="0"/>
      <w:marRight w:val="0"/>
      <w:marTop w:val="0"/>
      <w:marBottom w:val="0"/>
      <w:divBdr>
        <w:top w:val="none" w:sz="0" w:space="0" w:color="auto"/>
        <w:left w:val="none" w:sz="0" w:space="0" w:color="auto"/>
        <w:bottom w:val="none" w:sz="0" w:space="0" w:color="auto"/>
        <w:right w:val="none" w:sz="0" w:space="0" w:color="auto"/>
      </w:divBdr>
    </w:div>
    <w:div w:id="873154854">
      <w:bodyDiv w:val="1"/>
      <w:marLeft w:val="0"/>
      <w:marRight w:val="0"/>
      <w:marTop w:val="0"/>
      <w:marBottom w:val="0"/>
      <w:divBdr>
        <w:top w:val="none" w:sz="0" w:space="0" w:color="auto"/>
        <w:left w:val="none" w:sz="0" w:space="0" w:color="auto"/>
        <w:bottom w:val="none" w:sz="0" w:space="0" w:color="auto"/>
        <w:right w:val="none" w:sz="0" w:space="0" w:color="auto"/>
      </w:divBdr>
    </w:div>
    <w:div w:id="884832793">
      <w:bodyDiv w:val="1"/>
      <w:marLeft w:val="0"/>
      <w:marRight w:val="0"/>
      <w:marTop w:val="0"/>
      <w:marBottom w:val="0"/>
      <w:divBdr>
        <w:top w:val="none" w:sz="0" w:space="0" w:color="auto"/>
        <w:left w:val="none" w:sz="0" w:space="0" w:color="auto"/>
        <w:bottom w:val="none" w:sz="0" w:space="0" w:color="auto"/>
        <w:right w:val="none" w:sz="0" w:space="0" w:color="auto"/>
      </w:divBdr>
    </w:div>
    <w:div w:id="896741675">
      <w:bodyDiv w:val="1"/>
      <w:marLeft w:val="0"/>
      <w:marRight w:val="0"/>
      <w:marTop w:val="0"/>
      <w:marBottom w:val="0"/>
      <w:divBdr>
        <w:top w:val="none" w:sz="0" w:space="0" w:color="auto"/>
        <w:left w:val="none" w:sz="0" w:space="0" w:color="auto"/>
        <w:bottom w:val="none" w:sz="0" w:space="0" w:color="auto"/>
        <w:right w:val="none" w:sz="0" w:space="0" w:color="auto"/>
      </w:divBdr>
    </w:div>
    <w:div w:id="900481947">
      <w:bodyDiv w:val="1"/>
      <w:marLeft w:val="0"/>
      <w:marRight w:val="0"/>
      <w:marTop w:val="0"/>
      <w:marBottom w:val="0"/>
      <w:divBdr>
        <w:top w:val="none" w:sz="0" w:space="0" w:color="auto"/>
        <w:left w:val="none" w:sz="0" w:space="0" w:color="auto"/>
        <w:bottom w:val="none" w:sz="0" w:space="0" w:color="auto"/>
        <w:right w:val="none" w:sz="0" w:space="0" w:color="auto"/>
      </w:divBdr>
    </w:div>
    <w:div w:id="904298222">
      <w:bodyDiv w:val="1"/>
      <w:marLeft w:val="0"/>
      <w:marRight w:val="0"/>
      <w:marTop w:val="0"/>
      <w:marBottom w:val="0"/>
      <w:divBdr>
        <w:top w:val="none" w:sz="0" w:space="0" w:color="auto"/>
        <w:left w:val="none" w:sz="0" w:space="0" w:color="auto"/>
        <w:bottom w:val="none" w:sz="0" w:space="0" w:color="auto"/>
        <w:right w:val="none" w:sz="0" w:space="0" w:color="auto"/>
      </w:divBdr>
    </w:div>
    <w:div w:id="904417918">
      <w:bodyDiv w:val="1"/>
      <w:marLeft w:val="0"/>
      <w:marRight w:val="0"/>
      <w:marTop w:val="0"/>
      <w:marBottom w:val="0"/>
      <w:divBdr>
        <w:top w:val="none" w:sz="0" w:space="0" w:color="auto"/>
        <w:left w:val="none" w:sz="0" w:space="0" w:color="auto"/>
        <w:bottom w:val="none" w:sz="0" w:space="0" w:color="auto"/>
        <w:right w:val="none" w:sz="0" w:space="0" w:color="auto"/>
      </w:divBdr>
    </w:div>
    <w:div w:id="955218583">
      <w:bodyDiv w:val="1"/>
      <w:marLeft w:val="0"/>
      <w:marRight w:val="0"/>
      <w:marTop w:val="0"/>
      <w:marBottom w:val="0"/>
      <w:divBdr>
        <w:top w:val="none" w:sz="0" w:space="0" w:color="auto"/>
        <w:left w:val="none" w:sz="0" w:space="0" w:color="auto"/>
        <w:bottom w:val="none" w:sz="0" w:space="0" w:color="auto"/>
        <w:right w:val="none" w:sz="0" w:space="0" w:color="auto"/>
      </w:divBdr>
    </w:div>
    <w:div w:id="967586357">
      <w:bodyDiv w:val="1"/>
      <w:marLeft w:val="0"/>
      <w:marRight w:val="0"/>
      <w:marTop w:val="0"/>
      <w:marBottom w:val="0"/>
      <w:divBdr>
        <w:top w:val="none" w:sz="0" w:space="0" w:color="auto"/>
        <w:left w:val="none" w:sz="0" w:space="0" w:color="auto"/>
        <w:bottom w:val="none" w:sz="0" w:space="0" w:color="auto"/>
        <w:right w:val="none" w:sz="0" w:space="0" w:color="auto"/>
      </w:divBdr>
    </w:div>
    <w:div w:id="968316132">
      <w:bodyDiv w:val="1"/>
      <w:marLeft w:val="0"/>
      <w:marRight w:val="0"/>
      <w:marTop w:val="0"/>
      <w:marBottom w:val="0"/>
      <w:divBdr>
        <w:top w:val="none" w:sz="0" w:space="0" w:color="auto"/>
        <w:left w:val="none" w:sz="0" w:space="0" w:color="auto"/>
        <w:bottom w:val="none" w:sz="0" w:space="0" w:color="auto"/>
        <w:right w:val="none" w:sz="0" w:space="0" w:color="auto"/>
      </w:divBdr>
    </w:div>
    <w:div w:id="976187122">
      <w:bodyDiv w:val="1"/>
      <w:marLeft w:val="0"/>
      <w:marRight w:val="0"/>
      <w:marTop w:val="0"/>
      <w:marBottom w:val="0"/>
      <w:divBdr>
        <w:top w:val="none" w:sz="0" w:space="0" w:color="auto"/>
        <w:left w:val="none" w:sz="0" w:space="0" w:color="auto"/>
        <w:bottom w:val="none" w:sz="0" w:space="0" w:color="auto"/>
        <w:right w:val="none" w:sz="0" w:space="0" w:color="auto"/>
      </w:divBdr>
    </w:div>
    <w:div w:id="984091138">
      <w:bodyDiv w:val="1"/>
      <w:marLeft w:val="0"/>
      <w:marRight w:val="0"/>
      <w:marTop w:val="0"/>
      <w:marBottom w:val="0"/>
      <w:divBdr>
        <w:top w:val="none" w:sz="0" w:space="0" w:color="auto"/>
        <w:left w:val="none" w:sz="0" w:space="0" w:color="auto"/>
        <w:bottom w:val="none" w:sz="0" w:space="0" w:color="auto"/>
        <w:right w:val="none" w:sz="0" w:space="0" w:color="auto"/>
      </w:divBdr>
    </w:div>
    <w:div w:id="984898571">
      <w:bodyDiv w:val="1"/>
      <w:marLeft w:val="0"/>
      <w:marRight w:val="0"/>
      <w:marTop w:val="0"/>
      <w:marBottom w:val="0"/>
      <w:divBdr>
        <w:top w:val="none" w:sz="0" w:space="0" w:color="auto"/>
        <w:left w:val="none" w:sz="0" w:space="0" w:color="auto"/>
        <w:bottom w:val="none" w:sz="0" w:space="0" w:color="auto"/>
        <w:right w:val="none" w:sz="0" w:space="0" w:color="auto"/>
      </w:divBdr>
    </w:div>
    <w:div w:id="994141681">
      <w:bodyDiv w:val="1"/>
      <w:marLeft w:val="0"/>
      <w:marRight w:val="0"/>
      <w:marTop w:val="0"/>
      <w:marBottom w:val="0"/>
      <w:divBdr>
        <w:top w:val="none" w:sz="0" w:space="0" w:color="auto"/>
        <w:left w:val="none" w:sz="0" w:space="0" w:color="auto"/>
        <w:bottom w:val="none" w:sz="0" w:space="0" w:color="auto"/>
        <w:right w:val="none" w:sz="0" w:space="0" w:color="auto"/>
      </w:divBdr>
    </w:div>
    <w:div w:id="994803040">
      <w:bodyDiv w:val="1"/>
      <w:marLeft w:val="0"/>
      <w:marRight w:val="0"/>
      <w:marTop w:val="0"/>
      <w:marBottom w:val="0"/>
      <w:divBdr>
        <w:top w:val="none" w:sz="0" w:space="0" w:color="auto"/>
        <w:left w:val="none" w:sz="0" w:space="0" w:color="auto"/>
        <w:bottom w:val="none" w:sz="0" w:space="0" w:color="auto"/>
        <w:right w:val="none" w:sz="0" w:space="0" w:color="auto"/>
      </w:divBdr>
    </w:div>
    <w:div w:id="1006251672">
      <w:bodyDiv w:val="1"/>
      <w:marLeft w:val="0"/>
      <w:marRight w:val="0"/>
      <w:marTop w:val="0"/>
      <w:marBottom w:val="0"/>
      <w:divBdr>
        <w:top w:val="none" w:sz="0" w:space="0" w:color="auto"/>
        <w:left w:val="none" w:sz="0" w:space="0" w:color="auto"/>
        <w:bottom w:val="none" w:sz="0" w:space="0" w:color="auto"/>
        <w:right w:val="none" w:sz="0" w:space="0" w:color="auto"/>
      </w:divBdr>
    </w:div>
    <w:div w:id="1007291177">
      <w:bodyDiv w:val="1"/>
      <w:marLeft w:val="0"/>
      <w:marRight w:val="0"/>
      <w:marTop w:val="0"/>
      <w:marBottom w:val="0"/>
      <w:divBdr>
        <w:top w:val="none" w:sz="0" w:space="0" w:color="auto"/>
        <w:left w:val="none" w:sz="0" w:space="0" w:color="auto"/>
        <w:bottom w:val="none" w:sz="0" w:space="0" w:color="auto"/>
        <w:right w:val="none" w:sz="0" w:space="0" w:color="auto"/>
      </w:divBdr>
    </w:div>
    <w:div w:id="1011446269">
      <w:bodyDiv w:val="1"/>
      <w:marLeft w:val="0"/>
      <w:marRight w:val="0"/>
      <w:marTop w:val="0"/>
      <w:marBottom w:val="0"/>
      <w:divBdr>
        <w:top w:val="none" w:sz="0" w:space="0" w:color="auto"/>
        <w:left w:val="none" w:sz="0" w:space="0" w:color="auto"/>
        <w:bottom w:val="none" w:sz="0" w:space="0" w:color="auto"/>
        <w:right w:val="none" w:sz="0" w:space="0" w:color="auto"/>
      </w:divBdr>
    </w:div>
    <w:div w:id="1012804120">
      <w:bodyDiv w:val="1"/>
      <w:marLeft w:val="0"/>
      <w:marRight w:val="0"/>
      <w:marTop w:val="0"/>
      <w:marBottom w:val="0"/>
      <w:divBdr>
        <w:top w:val="none" w:sz="0" w:space="0" w:color="auto"/>
        <w:left w:val="none" w:sz="0" w:space="0" w:color="auto"/>
        <w:bottom w:val="none" w:sz="0" w:space="0" w:color="auto"/>
        <w:right w:val="none" w:sz="0" w:space="0" w:color="auto"/>
      </w:divBdr>
    </w:div>
    <w:div w:id="1051926565">
      <w:bodyDiv w:val="1"/>
      <w:marLeft w:val="0"/>
      <w:marRight w:val="0"/>
      <w:marTop w:val="0"/>
      <w:marBottom w:val="0"/>
      <w:divBdr>
        <w:top w:val="none" w:sz="0" w:space="0" w:color="auto"/>
        <w:left w:val="none" w:sz="0" w:space="0" w:color="auto"/>
        <w:bottom w:val="none" w:sz="0" w:space="0" w:color="auto"/>
        <w:right w:val="none" w:sz="0" w:space="0" w:color="auto"/>
      </w:divBdr>
    </w:div>
    <w:div w:id="1057581822">
      <w:bodyDiv w:val="1"/>
      <w:marLeft w:val="0"/>
      <w:marRight w:val="0"/>
      <w:marTop w:val="0"/>
      <w:marBottom w:val="0"/>
      <w:divBdr>
        <w:top w:val="none" w:sz="0" w:space="0" w:color="auto"/>
        <w:left w:val="none" w:sz="0" w:space="0" w:color="auto"/>
        <w:bottom w:val="none" w:sz="0" w:space="0" w:color="auto"/>
        <w:right w:val="none" w:sz="0" w:space="0" w:color="auto"/>
      </w:divBdr>
    </w:div>
    <w:div w:id="1070351629">
      <w:bodyDiv w:val="1"/>
      <w:marLeft w:val="0"/>
      <w:marRight w:val="0"/>
      <w:marTop w:val="0"/>
      <w:marBottom w:val="0"/>
      <w:divBdr>
        <w:top w:val="none" w:sz="0" w:space="0" w:color="auto"/>
        <w:left w:val="none" w:sz="0" w:space="0" w:color="auto"/>
        <w:bottom w:val="none" w:sz="0" w:space="0" w:color="auto"/>
        <w:right w:val="none" w:sz="0" w:space="0" w:color="auto"/>
      </w:divBdr>
    </w:div>
    <w:div w:id="1089043110">
      <w:bodyDiv w:val="1"/>
      <w:marLeft w:val="0"/>
      <w:marRight w:val="0"/>
      <w:marTop w:val="0"/>
      <w:marBottom w:val="0"/>
      <w:divBdr>
        <w:top w:val="none" w:sz="0" w:space="0" w:color="auto"/>
        <w:left w:val="none" w:sz="0" w:space="0" w:color="auto"/>
        <w:bottom w:val="none" w:sz="0" w:space="0" w:color="auto"/>
        <w:right w:val="none" w:sz="0" w:space="0" w:color="auto"/>
      </w:divBdr>
      <w:divsChild>
        <w:div w:id="1103190129">
          <w:marLeft w:val="274"/>
          <w:marRight w:val="0"/>
          <w:marTop w:val="0"/>
          <w:marBottom w:val="0"/>
          <w:divBdr>
            <w:top w:val="none" w:sz="0" w:space="0" w:color="auto"/>
            <w:left w:val="none" w:sz="0" w:space="0" w:color="auto"/>
            <w:bottom w:val="none" w:sz="0" w:space="0" w:color="auto"/>
            <w:right w:val="none" w:sz="0" w:space="0" w:color="auto"/>
          </w:divBdr>
        </w:div>
        <w:div w:id="1204706746">
          <w:marLeft w:val="274"/>
          <w:marRight w:val="0"/>
          <w:marTop w:val="0"/>
          <w:marBottom w:val="0"/>
          <w:divBdr>
            <w:top w:val="none" w:sz="0" w:space="0" w:color="auto"/>
            <w:left w:val="none" w:sz="0" w:space="0" w:color="auto"/>
            <w:bottom w:val="none" w:sz="0" w:space="0" w:color="auto"/>
            <w:right w:val="none" w:sz="0" w:space="0" w:color="auto"/>
          </w:divBdr>
        </w:div>
      </w:divsChild>
    </w:div>
    <w:div w:id="1089160445">
      <w:bodyDiv w:val="1"/>
      <w:marLeft w:val="0"/>
      <w:marRight w:val="0"/>
      <w:marTop w:val="0"/>
      <w:marBottom w:val="0"/>
      <w:divBdr>
        <w:top w:val="none" w:sz="0" w:space="0" w:color="auto"/>
        <w:left w:val="none" w:sz="0" w:space="0" w:color="auto"/>
        <w:bottom w:val="none" w:sz="0" w:space="0" w:color="auto"/>
        <w:right w:val="none" w:sz="0" w:space="0" w:color="auto"/>
      </w:divBdr>
    </w:div>
    <w:div w:id="1106736484">
      <w:bodyDiv w:val="1"/>
      <w:marLeft w:val="0"/>
      <w:marRight w:val="0"/>
      <w:marTop w:val="0"/>
      <w:marBottom w:val="0"/>
      <w:divBdr>
        <w:top w:val="none" w:sz="0" w:space="0" w:color="auto"/>
        <w:left w:val="none" w:sz="0" w:space="0" w:color="auto"/>
        <w:bottom w:val="none" w:sz="0" w:space="0" w:color="auto"/>
        <w:right w:val="none" w:sz="0" w:space="0" w:color="auto"/>
      </w:divBdr>
    </w:div>
    <w:div w:id="1110009602">
      <w:bodyDiv w:val="1"/>
      <w:marLeft w:val="0"/>
      <w:marRight w:val="0"/>
      <w:marTop w:val="0"/>
      <w:marBottom w:val="0"/>
      <w:divBdr>
        <w:top w:val="none" w:sz="0" w:space="0" w:color="auto"/>
        <w:left w:val="none" w:sz="0" w:space="0" w:color="auto"/>
        <w:bottom w:val="none" w:sz="0" w:space="0" w:color="auto"/>
        <w:right w:val="none" w:sz="0" w:space="0" w:color="auto"/>
      </w:divBdr>
    </w:div>
    <w:div w:id="1123888729">
      <w:bodyDiv w:val="1"/>
      <w:marLeft w:val="0"/>
      <w:marRight w:val="0"/>
      <w:marTop w:val="0"/>
      <w:marBottom w:val="0"/>
      <w:divBdr>
        <w:top w:val="none" w:sz="0" w:space="0" w:color="auto"/>
        <w:left w:val="none" w:sz="0" w:space="0" w:color="auto"/>
        <w:bottom w:val="none" w:sz="0" w:space="0" w:color="auto"/>
        <w:right w:val="none" w:sz="0" w:space="0" w:color="auto"/>
      </w:divBdr>
    </w:div>
    <w:div w:id="1133983481">
      <w:bodyDiv w:val="1"/>
      <w:marLeft w:val="0"/>
      <w:marRight w:val="0"/>
      <w:marTop w:val="0"/>
      <w:marBottom w:val="0"/>
      <w:divBdr>
        <w:top w:val="none" w:sz="0" w:space="0" w:color="auto"/>
        <w:left w:val="none" w:sz="0" w:space="0" w:color="auto"/>
        <w:bottom w:val="none" w:sz="0" w:space="0" w:color="auto"/>
        <w:right w:val="none" w:sz="0" w:space="0" w:color="auto"/>
      </w:divBdr>
    </w:div>
    <w:div w:id="1150949519">
      <w:bodyDiv w:val="1"/>
      <w:marLeft w:val="0"/>
      <w:marRight w:val="0"/>
      <w:marTop w:val="0"/>
      <w:marBottom w:val="0"/>
      <w:divBdr>
        <w:top w:val="none" w:sz="0" w:space="0" w:color="auto"/>
        <w:left w:val="none" w:sz="0" w:space="0" w:color="auto"/>
        <w:bottom w:val="none" w:sz="0" w:space="0" w:color="auto"/>
        <w:right w:val="none" w:sz="0" w:space="0" w:color="auto"/>
      </w:divBdr>
    </w:div>
    <w:div w:id="1172065689">
      <w:bodyDiv w:val="1"/>
      <w:marLeft w:val="0"/>
      <w:marRight w:val="0"/>
      <w:marTop w:val="0"/>
      <w:marBottom w:val="0"/>
      <w:divBdr>
        <w:top w:val="none" w:sz="0" w:space="0" w:color="auto"/>
        <w:left w:val="none" w:sz="0" w:space="0" w:color="auto"/>
        <w:bottom w:val="none" w:sz="0" w:space="0" w:color="auto"/>
        <w:right w:val="none" w:sz="0" w:space="0" w:color="auto"/>
      </w:divBdr>
    </w:div>
    <w:div w:id="1175808245">
      <w:bodyDiv w:val="1"/>
      <w:marLeft w:val="0"/>
      <w:marRight w:val="0"/>
      <w:marTop w:val="0"/>
      <w:marBottom w:val="0"/>
      <w:divBdr>
        <w:top w:val="none" w:sz="0" w:space="0" w:color="auto"/>
        <w:left w:val="none" w:sz="0" w:space="0" w:color="auto"/>
        <w:bottom w:val="none" w:sz="0" w:space="0" w:color="auto"/>
        <w:right w:val="none" w:sz="0" w:space="0" w:color="auto"/>
      </w:divBdr>
    </w:div>
    <w:div w:id="1184632216">
      <w:bodyDiv w:val="1"/>
      <w:marLeft w:val="0"/>
      <w:marRight w:val="0"/>
      <w:marTop w:val="0"/>
      <w:marBottom w:val="0"/>
      <w:divBdr>
        <w:top w:val="none" w:sz="0" w:space="0" w:color="auto"/>
        <w:left w:val="none" w:sz="0" w:space="0" w:color="auto"/>
        <w:bottom w:val="none" w:sz="0" w:space="0" w:color="auto"/>
        <w:right w:val="none" w:sz="0" w:space="0" w:color="auto"/>
      </w:divBdr>
    </w:div>
    <w:div w:id="1208178049">
      <w:bodyDiv w:val="1"/>
      <w:marLeft w:val="0"/>
      <w:marRight w:val="0"/>
      <w:marTop w:val="0"/>
      <w:marBottom w:val="0"/>
      <w:divBdr>
        <w:top w:val="none" w:sz="0" w:space="0" w:color="auto"/>
        <w:left w:val="none" w:sz="0" w:space="0" w:color="auto"/>
        <w:bottom w:val="none" w:sz="0" w:space="0" w:color="auto"/>
        <w:right w:val="none" w:sz="0" w:space="0" w:color="auto"/>
      </w:divBdr>
    </w:div>
    <w:div w:id="1222868362">
      <w:bodyDiv w:val="1"/>
      <w:marLeft w:val="0"/>
      <w:marRight w:val="0"/>
      <w:marTop w:val="0"/>
      <w:marBottom w:val="0"/>
      <w:divBdr>
        <w:top w:val="none" w:sz="0" w:space="0" w:color="auto"/>
        <w:left w:val="none" w:sz="0" w:space="0" w:color="auto"/>
        <w:bottom w:val="none" w:sz="0" w:space="0" w:color="auto"/>
        <w:right w:val="none" w:sz="0" w:space="0" w:color="auto"/>
      </w:divBdr>
    </w:div>
    <w:div w:id="1224951315">
      <w:bodyDiv w:val="1"/>
      <w:marLeft w:val="0"/>
      <w:marRight w:val="0"/>
      <w:marTop w:val="0"/>
      <w:marBottom w:val="0"/>
      <w:divBdr>
        <w:top w:val="none" w:sz="0" w:space="0" w:color="auto"/>
        <w:left w:val="none" w:sz="0" w:space="0" w:color="auto"/>
        <w:bottom w:val="none" w:sz="0" w:space="0" w:color="auto"/>
        <w:right w:val="none" w:sz="0" w:space="0" w:color="auto"/>
      </w:divBdr>
    </w:div>
    <w:div w:id="1231692382">
      <w:bodyDiv w:val="1"/>
      <w:marLeft w:val="0"/>
      <w:marRight w:val="0"/>
      <w:marTop w:val="0"/>
      <w:marBottom w:val="0"/>
      <w:divBdr>
        <w:top w:val="none" w:sz="0" w:space="0" w:color="auto"/>
        <w:left w:val="none" w:sz="0" w:space="0" w:color="auto"/>
        <w:bottom w:val="none" w:sz="0" w:space="0" w:color="auto"/>
        <w:right w:val="none" w:sz="0" w:space="0" w:color="auto"/>
      </w:divBdr>
    </w:div>
    <w:div w:id="1239243948">
      <w:bodyDiv w:val="1"/>
      <w:marLeft w:val="0"/>
      <w:marRight w:val="0"/>
      <w:marTop w:val="0"/>
      <w:marBottom w:val="0"/>
      <w:divBdr>
        <w:top w:val="none" w:sz="0" w:space="0" w:color="auto"/>
        <w:left w:val="none" w:sz="0" w:space="0" w:color="auto"/>
        <w:bottom w:val="none" w:sz="0" w:space="0" w:color="auto"/>
        <w:right w:val="none" w:sz="0" w:space="0" w:color="auto"/>
      </w:divBdr>
    </w:div>
    <w:div w:id="1243225746">
      <w:bodyDiv w:val="1"/>
      <w:marLeft w:val="0"/>
      <w:marRight w:val="0"/>
      <w:marTop w:val="0"/>
      <w:marBottom w:val="0"/>
      <w:divBdr>
        <w:top w:val="none" w:sz="0" w:space="0" w:color="auto"/>
        <w:left w:val="none" w:sz="0" w:space="0" w:color="auto"/>
        <w:bottom w:val="none" w:sz="0" w:space="0" w:color="auto"/>
        <w:right w:val="none" w:sz="0" w:space="0" w:color="auto"/>
      </w:divBdr>
    </w:div>
    <w:div w:id="1254440713">
      <w:bodyDiv w:val="1"/>
      <w:marLeft w:val="0"/>
      <w:marRight w:val="0"/>
      <w:marTop w:val="0"/>
      <w:marBottom w:val="0"/>
      <w:divBdr>
        <w:top w:val="none" w:sz="0" w:space="0" w:color="auto"/>
        <w:left w:val="none" w:sz="0" w:space="0" w:color="auto"/>
        <w:bottom w:val="none" w:sz="0" w:space="0" w:color="auto"/>
        <w:right w:val="none" w:sz="0" w:space="0" w:color="auto"/>
      </w:divBdr>
    </w:div>
    <w:div w:id="1271282557">
      <w:bodyDiv w:val="1"/>
      <w:marLeft w:val="0"/>
      <w:marRight w:val="0"/>
      <w:marTop w:val="0"/>
      <w:marBottom w:val="0"/>
      <w:divBdr>
        <w:top w:val="none" w:sz="0" w:space="0" w:color="auto"/>
        <w:left w:val="none" w:sz="0" w:space="0" w:color="auto"/>
        <w:bottom w:val="none" w:sz="0" w:space="0" w:color="auto"/>
        <w:right w:val="none" w:sz="0" w:space="0" w:color="auto"/>
      </w:divBdr>
    </w:div>
    <w:div w:id="1271819000">
      <w:bodyDiv w:val="1"/>
      <w:marLeft w:val="0"/>
      <w:marRight w:val="0"/>
      <w:marTop w:val="0"/>
      <w:marBottom w:val="0"/>
      <w:divBdr>
        <w:top w:val="none" w:sz="0" w:space="0" w:color="auto"/>
        <w:left w:val="none" w:sz="0" w:space="0" w:color="auto"/>
        <w:bottom w:val="none" w:sz="0" w:space="0" w:color="auto"/>
        <w:right w:val="none" w:sz="0" w:space="0" w:color="auto"/>
      </w:divBdr>
    </w:div>
    <w:div w:id="1274437759">
      <w:bodyDiv w:val="1"/>
      <w:marLeft w:val="0"/>
      <w:marRight w:val="0"/>
      <w:marTop w:val="0"/>
      <w:marBottom w:val="0"/>
      <w:divBdr>
        <w:top w:val="none" w:sz="0" w:space="0" w:color="auto"/>
        <w:left w:val="none" w:sz="0" w:space="0" w:color="auto"/>
        <w:bottom w:val="none" w:sz="0" w:space="0" w:color="auto"/>
        <w:right w:val="none" w:sz="0" w:space="0" w:color="auto"/>
      </w:divBdr>
    </w:div>
    <w:div w:id="1289702765">
      <w:bodyDiv w:val="1"/>
      <w:marLeft w:val="0"/>
      <w:marRight w:val="0"/>
      <w:marTop w:val="0"/>
      <w:marBottom w:val="0"/>
      <w:divBdr>
        <w:top w:val="none" w:sz="0" w:space="0" w:color="auto"/>
        <w:left w:val="none" w:sz="0" w:space="0" w:color="auto"/>
        <w:bottom w:val="none" w:sz="0" w:space="0" w:color="auto"/>
        <w:right w:val="none" w:sz="0" w:space="0" w:color="auto"/>
      </w:divBdr>
    </w:div>
    <w:div w:id="1294825809">
      <w:bodyDiv w:val="1"/>
      <w:marLeft w:val="0"/>
      <w:marRight w:val="0"/>
      <w:marTop w:val="0"/>
      <w:marBottom w:val="0"/>
      <w:divBdr>
        <w:top w:val="none" w:sz="0" w:space="0" w:color="auto"/>
        <w:left w:val="none" w:sz="0" w:space="0" w:color="auto"/>
        <w:bottom w:val="none" w:sz="0" w:space="0" w:color="auto"/>
        <w:right w:val="none" w:sz="0" w:space="0" w:color="auto"/>
      </w:divBdr>
    </w:div>
    <w:div w:id="1294946338">
      <w:bodyDiv w:val="1"/>
      <w:marLeft w:val="0"/>
      <w:marRight w:val="0"/>
      <w:marTop w:val="0"/>
      <w:marBottom w:val="0"/>
      <w:divBdr>
        <w:top w:val="none" w:sz="0" w:space="0" w:color="auto"/>
        <w:left w:val="none" w:sz="0" w:space="0" w:color="auto"/>
        <w:bottom w:val="none" w:sz="0" w:space="0" w:color="auto"/>
        <w:right w:val="none" w:sz="0" w:space="0" w:color="auto"/>
      </w:divBdr>
    </w:div>
    <w:div w:id="1302157280">
      <w:bodyDiv w:val="1"/>
      <w:marLeft w:val="0"/>
      <w:marRight w:val="0"/>
      <w:marTop w:val="0"/>
      <w:marBottom w:val="0"/>
      <w:divBdr>
        <w:top w:val="none" w:sz="0" w:space="0" w:color="auto"/>
        <w:left w:val="none" w:sz="0" w:space="0" w:color="auto"/>
        <w:bottom w:val="none" w:sz="0" w:space="0" w:color="auto"/>
        <w:right w:val="none" w:sz="0" w:space="0" w:color="auto"/>
      </w:divBdr>
    </w:div>
    <w:div w:id="1302419263">
      <w:bodyDiv w:val="1"/>
      <w:marLeft w:val="0"/>
      <w:marRight w:val="0"/>
      <w:marTop w:val="0"/>
      <w:marBottom w:val="0"/>
      <w:divBdr>
        <w:top w:val="none" w:sz="0" w:space="0" w:color="auto"/>
        <w:left w:val="none" w:sz="0" w:space="0" w:color="auto"/>
        <w:bottom w:val="none" w:sz="0" w:space="0" w:color="auto"/>
        <w:right w:val="none" w:sz="0" w:space="0" w:color="auto"/>
      </w:divBdr>
    </w:div>
    <w:div w:id="1304239121">
      <w:bodyDiv w:val="1"/>
      <w:marLeft w:val="0"/>
      <w:marRight w:val="0"/>
      <w:marTop w:val="0"/>
      <w:marBottom w:val="0"/>
      <w:divBdr>
        <w:top w:val="none" w:sz="0" w:space="0" w:color="auto"/>
        <w:left w:val="none" w:sz="0" w:space="0" w:color="auto"/>
        <w:bottom w:val="none" w:sz="0" w:space="0" w:color="auto"/>
        <w:right w:val="none" w:sz="0" w:space="0" w:color="auto"/>
      </w:divBdr>
    </w:div>
    <w:div w:id="1315649104">
      <w:bodyDiv w:val="1"/>
      <w:marLeft w:val="0"/>
      <w:marRight w:val="0"/>
      <w:marTop w:val="0"/>
      <w:marBottom w:val="0"/>
      <w:divBdr>
        <w:top w:val="none" w:sz="0" w:space="0" w:color="auto"/>
        <w:left w:val="none" w:sz="0" w:space="0" w:color="auto"/>
        <w:bottom w:val="none" w:sz="0" w:space="0" w:color="auto"/>
        <w:right w:val="none" w:sz="0" w:space="0" w:color="auto"/>
      </w:divBdr>
    </w:div>
    <w:div w:id="1318145509">
      <w:bodyDiv w:val="1"/>
      <w:marLeft w:val="0"/>
      <w:marRight w:val="0"/>
      <w:marTop w:val="0"/>
      <w:marBottom w:val="0"/>
      <w:divBdr>
        <w:top w:val="none" w:sz="0" w:space="0" w:color="auto"/>
        <w:left w:val="none" w:sz="0" w:space="0" w:color="auto"/>
        <w:bottom w:val="none" w:sz="0" w:space="0" w:color="auto"/>
        <w:right w:val="none" w:sz="0" w:space="0" w:color="auto"/>
      </w:divBdr>
    </w:div>
    <w:div w:id="1326082079">
      <w:bodyDiv w:val="1"/>
      <w:marLeft w:val="0"/>
      <w:marRight w:val="0"/>
      <w:marTop w:val="0"/>
      <w:marBottom w:val="0"/>
      <w:divBdr>
        <w:top w:val="none" w:sz="0" w:space="0" w:color="auto"/>
        <w:left w:val="none" w:sz="0" w:space="0" w:color="auto"/>
        <w:bottom w:val="none" w:sz="0" w:space="0" w:color="auto"/>
        <w:right w:val="none" w:sz="0" w:space="0" w:color="auto"/>
      </w:divBdr>
    </w:div>
    <w:div w:id="1337683342">
      <w:bodyDiv w:val="1"/>
      <w:marLeft w:val="0"/>
      <w:marRight w:val="0"/>
      <w:marTop w:val="0"/>
      <w:marBottom w:val="0"/>
      <w:divBdr>
        <w:top w:val="none" w:sz="0" w:space="0" w:color="auto"/>
        <w:left w:val="none" w:sz="0" w:space="0" w:color="auto"/>
        <w:bottom w:val="none" w:sz="0" w:space="0" w:color="auto"/>
        <w:right w:val="none" w:sz="0" w:space="0" w:color="auto"/>
      </w:divBdr>
    </w:div>
    <w:div w:id="1344631346">
      <w:bodyDiv w:val="1"/>
      <w:marLeft w:val="0"/>
      <w:marRight w:val="0"/>
      <w:marTop w:val="0"/>
      <w:marBottom w:val="0"/>
      <w:divBdr>
        <w:top w:val="none" w:sz="0" w:space="0" w:color="auto"/>
        <w:left w:val="none" w:sz="0" w:space="0" w:color="auto"/>
        <w:bottom w:val="none" w:sz="0" w:space="0" w:color="auto"/>
        <w:right w:val="none" w:sz="0" w:space="0" w:color="auto"/>
      </w:divBdr>
    </w:div>
    <w:div w:id="1354110419">
      <w:bodyDiv w:val="1"/>
      <w:marLeft w:val="0"/>
      <w:marRight w:val="0"/>
      <w:marTop w:val="0"/>
      <w:marBottom w:val="0"/>
      <w:divBdr>
        <w:top w:val="none" w:sz="0" w:space="0" w:color="auto"/>
        <w:left w:val="none" w:sz="0" w:space="0" w:color="auto"/>
        <w:bottom w:val="none" w:sz="0" w:space="0" w:color="auto"/>
        <w:right w:val="none" w:sz="0" w:space="0" w:color="auto"/>
      </w:divBdr>
    </w:div>
    <w:div w:id="1361272870">
      <w:bodyDiv w:val="1"/>
      <w:marLeft w:val="0"/>
      <w:marRight w:val="0"/>
      <w:marTop w:val="0"/>
      <w:marBottom w:val="0"/>
      <w:divBdr>
        <w:top w:val="none" w:sz="0" w:space="0" w:color="auto"/>
        <w:left w:val="none" w:sz="0" w:space="0" w:color="auto"/>
        <w:bottom w:val="none" w:sz="0" w:space="0" w:color="auto"/>
        <w:right w:val="none" w:sz="0" w:space="0" w:color="auto"/>
      </w:divBdr>
    </w:div>
    <w:div w:id="1369254889">
      <w:bodyDiv w:val="1"/>
      <w:marLeft w:val="0"/>
      <w:marRight w:val="0"/>
      <w:marTop w:val="0"/>
      <w:marBottom w:val="0"/>
      <w:divBdr>
        <w:top w:val="none" w:sz="0" w:space="0" w:color="auto"/>
        <w:left w:val="none" w:sz="0" w:space="0" w:color="auto"/>
        <w:bottom w:val="none" w:sz="0" w:space="0" w:color="auto"/>
        <w:right w:val="none" w:sz="0" w:space="0" w:color="auto"/>
      </w:divBdr>
    </w:div>
    <w:div w:id="1373766522">
      <w:bodyDiv w:val="1"/>
      <w:marLeft w:val="0"/>
      <w:marRight w:val="0"/>
      <w:marTop w:val="0"/>
      <w:marBottom w:val="0"/>
      <w:divBdr>
        <w:top w:val="none" w:sz="0" w:space="0" w:color="auto"/>
        <w:left w:val="none" w:sz="0" w:space="0" w:color="auto"/>
        <w:bottom w:val="none" w:sz="0" w:space="0" w:color="auto"/>
        <w:right w:val="none" w:sz="0" w:space="0" w:color="auto"/>
      </w:divBdr>
    </w:div>
    <w:div w:id="1388333682">
      <w:bodyDiv w:val="1"/>
      <w:marLeft w:val="0"/>
      <w:marRight w:val="0"/>
      <w:marTop w:val="0"/>
      <w:marBottom w:val="0"/>
      <w:divBdr>
        <w:top w:val="none" w:sz="0" w:space="0" w:color="auto"/>
        <w:left w:val="none" w:sz="0" w:space="0" w:color="auto"/>
        <w:bottom w:val="none" w:sz="0" w:space="0" w:color="auto"/>
        <w:right w:val="none" w:sz="0" w:space="0" w:color="auto"/>
      </w:divBdr>
    </w:div>
    <w:div w:id="1392079089">
      <w:bodyDiv w:val="1"/>
      <w:marLeft w:val="0"/>
      <w:marRight w:val="0"/>
      <w:marTop w:val="0"/>
      <w:marBottom w:val="0"/>
      <w:divBdr>
        <w:top w:val="none" w:sz="0" w:space="0" w:color="auto"/>
        <w:left w:val="none" w:sz="0" w:space="0" w:color="auto"/>
        <w:bottom w:val="none" w:sz="0" w:space="0" w:color="auto"/>
        <w:right w:val="none" w:sz="0" w:space="0" w:color="auto"/>
      </w:divBdr>
    </w:div>
    <w:div w:id="1400517681">
      <w:bodyDiv w:val="1"/>
      <w:marLeft w:val="0"/>
      <w:marRight w:val="0"/>
      <w:marTop w:val="0"/>
      <w:marBottom w:val="0"/>
      <w:divBdr>
        <w:top w:val="none" w:sz="0" w:space="0" w:color="auto"/>
        <w:left w:val="none" w:sz="0" w:space="0" w:color="auto"/>
        <w:bottom w:val="none" w:sz="0" w:space="0" w:color="auto"/>
        <w:right w:val="none" w:sz="0" w:space="0" w:color="auto"/>
      </w:divBdr>
    </w:div>
    <w:div w:id="1431467791">
      <w:bodyDiv w:val="1"/>
      <w:marLeft w:val="0"/>
      <w:marRight w:val="0"/>
      <w:marTop w:val="0"/>
      <w:marBottom w:val="0"/>
      <w:divBdr>
        <w:top w:val="none" w:sz="0" w:space="0" w:color="auto"/>
        <w:left w:val="none" w:sz="0" w:space="0" w:color="auto"/>
        <w:bottom w:val="none" w:sz="0" w:space="0" w:color="auto"/>
        <w:right w:val="none" w:sz="0" w:space="0" w:color="auto"/>
      </w:divBdr>
    </w:div>
    <w:div w:id="1435712790">
      <w:bodyDiv w:val="1"/>
      <w:marLeft w:val="0"/>
      <w:marRight w:val="0"/>
      <w:marTop w:val="0"/>
      <w:marBottom w:val="0"/>
      <w:divBdr>
        <w:top w:val="none" w:sz="0" w:space="0" w:color="auto"/>
        <w:left w:val="none" w:sz="0" w:space="0" w:color="auto"/>
        <w:bottom w:val="none" w:sz="0" w:space="0" w:color="auto"/>
        <w:right w:val="none" w:sz="0" w:space="0" w:color="auto"/>
      </w:divBdr>
    </w:div>
    <w:div w:id="1439373711">
      <w:bodyDiv w:val="1"/>
      <w:marLeft w:val="0"/>
      <w:marRight w:val="0"/>
      <w:marTop w:val="0"/>
      <w:marBottom w:val="0"/>
      <w:divBdr>
        <w:top w:val="none" w:sz="0" w:space="0" w:color="auto"/>
        <w:left w:val="none" w:sz="0" w:space="0" w:color="auto"/>
        <w:bottom w:val="none" w:sz="0" w:space="0" w:color="auto"/>
        <w:right w:val="none" w:sz="0" w:space="0" w:color="auto"/>
      </w:divBdr>
    </w:div>
    <w:div w:id="1440105679">
      <w:bodyDiv w:val="1"/>
      <w:marLeft w:val="0"/>
      <w:marRight w:val="0"/>
      <w:marTop w:val="0"/>
      <w:marBottom w:val="0"/>
      <w:divBdr>
        <w:top w:val="none" w:sz="0" w:space="0" w:color="auto"/>
        <w:left w:val="none" w:sz="0" w:space="0" w:color="auto"/>
        <w:bottom w:val="none" w:sz="0" w:space="0" w:color="auto"/>
        <w:right w:val="none" w:sz="0" w:space="0" w:color="auto"/>
      </w:divBdr>
    </w:div>
    <w:div w:id="1460878349">
      <w:bodyDiv w:val="1"/>
      <w:marLeft w:val="0"/>
      <w:marRight w:val="0"/>
      <w:marTop w:val="0"/>
      <w:marBottom w:val="0"/>
      <w:divBdr>
        <w:top w:val="none" w:sz="0" w:space="0" w:color="auto"/>
        <w:left w:val="none" w:sz="0" w:space="0" w:color="auto"/>
        <w:bottom w:val="none" w:sz="0" w:space="0" w:color="auto"/>
        <w:right w:val="none" w:sz="0" w:space="0" w:color="auto"/>
      </w:divBdr>
    </w:div>
    <w:div w:id="1479883571">
      <w:bodyDiv w:val="1"/>
      <w:marLeft w:val="0"/>
      <w:marRight w:val="0"/>
      <w:marTop w:val="0"/>
      <w:marBottom w:val="0"/>
      <w:divBdr>
        <w:top w:val="none" w:sz="0" w:space="0" w:color="auto"/>
        <w:left w:val="none" w:sz="0" w:space="0" w:color="auto"/>
        <w:bottom w:val="none" w:sz="0" w:space="0" w:color="auto"/>
        <w:right w:val="none" w:sz="0" w:space="0" w:color="auto"/>
      </w:divBdr>
    </w:div>
    <w:div w:id="1482426709">
      <w:bodyDiv w:val="1"/>
      <w:marLeft w:val="0"/>
      <w:marRight w:val="0"/>
      <w:marTop w:val="0"/>
      <w:marBottom w:val="0"/>
      <w:divBdr>
        <w:top w:val="none" w:sz="0" w:space="0" w:color="auto"/>
        <w:left w:val="none" w:sz="0" w:space="0" w:color="auto"/>
        <w:bottom w:val="none" w:sz="0" w:space="0" w:color="auto"/>
        <w:right w:val="none" w:sz="0" w:space="0" w:color="auto"/>
      </w:divBdr>
    </w:div>
    <w:div w:id="1499536900">
      <w:bodyDiv w:val="1"/>
      <w:marLeft w:val="0"/>
      <w:marRight w:val="0"/>
      <w:marTop w:val="0"/>
      <w:marBottom w:val="0"/>
      <w:divBdr>
        <w:top w:val="none" w:sz="0" w:space="0" w:color="auto"/>
        <w:left w:val="none" w:sz="0" w:space="0" w:color="auto"/>
        <w:bottom w:val="none" w:sz="0" w:space="0" w:color="auto"/>
        <w:right w:val="none" w:sz="0" w:space="0" w:color="auto"/>
      </w:divBdr>
      <w:divsChild>
        <w:div w:id="1564561339">
          <w:marLeft w:val="0"/>
          <w:marRight w:val="0"/>
          <w:marTop w:val="0"/>
          <w:marBottom w:val="0"/>
          <w:divBdr>
            <w:top w:val="none" w:sz="0" w:space="0" w:color="auto"/>
            <w:left w:val="none" w:sz="0" w:space="0" w:color="auto"/>
            <w:bottom w:val="none" w:sz="0" w:space="0" w:color="auto"/>
            <w:right w:val="none" w:sz="0" w:space="0" w:color="auto"/>
          </w:divBdr>
        </w:div>
      </w:divsChild>
    </w:div>
    <w:div w:id="1501698214">
      <w:bodyDiv w:val="1"/>
      <w:marLeft w:val="0"/>
      <w:marRight w:val="0"/>
      <w:marTop w:val="0"/>
      <w:marBottom w:val="0"/>
      <w:divBdr>
        <w:top w:val="none" w:sz="0" w:space="0" w:color="auto"/>
        <w:left w:val="none" w:sz="0" w:space="0" w:color="auto"/>
        <w:bottom w:val="none" w:sz="0" w:space="0" w:color="auto"/>
        <w:right w:val="none" w:sz="0" w:space="0" w:color="auto"/>
      </w:divBdr>
    </w:div>
    <w:div w:id="1516115258">
      <w:bodyDiv w:val="1"/>
      <w:marLeft w:val="0"/>
      <w:marRight w:val="0"/>
      <w:marTop w:val="0"/>
      <w:marBottom w:val="0"/>
      <w:divBdr>
        <w:top w:val="none" w:sz="0" w:space="0" w:color="auto"/>
        <w:left w:val="none" w:sz="0" w:space="0" w:color="auto"/>
        <w:bottom w:val="none" w:sz="0" w:space="0" w:color="auto"/>
        <w:right w:val="none" w:sz="0" w:space="0" w:color="auto"/>
      </w:divBdr>
    </w:div>
    <w:div w:id="1518077294">
      <w:bodyDiv w:val="1"/>
      <w:marLeft w:val="0"/>
      <w:marRight w:val="0"/>
      <w:marTop w:val="0"/>
      <w:marBottom w:val="0"/>
      <w:divBdr>
        <w:top w:val="none" w:sz="0" w:space="0" w:color="auto"/>
        <w:left w:val="none" w:sz="0" w:space="0" w:color="auto"/>
        <w:bottom w:val="none" w:sz="0" w:space="0" w:color="auto"/>
        <w:right w:val="none" w:sz="0" w:space="0" w:color="auto"/>
      </w:divBdr>
    </w:div>
    <w:div w:id="1526138849">
      <w:bodyDiv w:val="1"/>
      <w:marLeft w:val="0"/>
      <w:marRight w:val="0"/>
      <w:marTop w:val="0"/>
      <w:marBottom w:val="0"/>
      <w:divBdr>
        <w:top w:val="none" w:sz="0" w:space="0" w:color="auto"/>
        <w:left w:val="none" w:sz="0" w:space="0" w:color="auto"/>
        <w:bottom w:val="none" w:sz="0" w:space="0" w:color="auto"/>
        <w:right w:val="none" w:sz="0" w:space="0" w:color="auto"/>
      </w:divBdr>
    </w:div>
    <w:div w:id="1539008053">
      <w:bodyDiv w:val="1"/>
      <w:marLeft w:val="0"/>
      <w:marRight w:val="0"/>
      <w:marTop w:val="0"/>
      <w:marBottom w:val="0"/>
      <w:divBdr>
        <w:top w:val="none" w:sz="0" w:space="0" w:color="auto"/>
        <w:left w:val="none" w:sz="0" w:space="0" w:color="auto"/>
        <w:bottom w:val="none" w:sz="0" w:space="0" w:color="auto"/>
        <w:right w:val="none" w:sz="0" w:space="0" w:color="auto"/>
      </w:divBdr>
    </w:div>
    <w:div w:id="1564900865">
      <w:bodyDiv w:val="1"/>
      <w:marLeft w:val="0"/>
      <w:marRight w:val="0"/>
      <w:marTop w:val="0"/>
      <w:marBottom w:val="0"/>
      <w:divBdr>
        <w:top w:val="none" w:sz="0" w:space="0" w:color="auto"/>
        <w:left w:val="none" w:sz="0" w:space="0" w:color="auto"/>
        <w:bottom w:val="none" w:sz="0" w:space="0" w:color="auto"/>
        <w:right w:val="none" w:sz="0" w:space="0" w:color="auto"/>
      </w:divBdr>
    </w:div>
    <w:div w:id="1584298044">
      <w:bodyDiv w:val="1"/>
      <w:marLeft w:val="0"/>
      <w:marRight w:val="0"/>
      <w:marTop w:val="0"/>
      <w:marBottom w:val="0"/>
      <w:divBdr>
        <w:top w:val="none" w:sz="0" w:space="0" w:color="auto"/>
        <w:left w:val="none" w:sz="0" w:space="0" w:color="auto"/>
        <w:bottom w:val="none" w:sz="0" w:space="0" w:color="auto"/>
        <w:right w:val="none" w:sz="0" w:space="0" w:color="auto"/>
      </w:divBdr>
    </w:div>
    <w:div w:id="1604798164">
      <w:bodyDiv w:val="1"/>
      <w:marLeft w:val="0"/>
      <w:marRight w:val="0"/>
      <w:marTop w:val="0"/>
      <w:marBottom w:val="0"/>
      <w:divBdr>
        <w:top w:val="none" w:sz="0" w:space="0" w:color="auto"/>
        <w:left w:val="none" w:sz="0" w:space="0" w:color="auto"/>
        <w:bottom w:val="none" w:sz="0" w:space="0" w:color="auto"/>
        <w:right w:val="none" w:sz="0" w:space="0" w:color="auto"/>
      </w:divBdr>
    </w:div>
    <w:div w:id="1607227650">
      <w:bodyDiv w:val="1"/>
      <w:marLeft w:val="0"/>
      <w:marRight w:val="0"/>
      <w:marTop w:val="0"/>
      <w:marBottom w:val="0"/>
      <w:divBdr>
        <w:top w:val="none" w:sz="0" w:space="0" w:color="auto"/>
        <w:left w:val="none" w:sz="0" w:space="0" w:color="auto"/>
        <w:bottom w:val="none" w:sz="0" w:space="0" w:color="auto"/>
        <w:right w:val="none" w:sz="0" w:space="0" w:color="auto"/>
      </w:divBdr>
    </w:div>
    <w:div w:id="1616909185">
      <w:bodyDiv w:val="1"/>
      <w:marLeft w:val="0"/>
      <w:marRight w:val="0"/>
      <w:marTop w:val="0"/>
      <w:marBottom w:val="0"/>
      <w:divBdr>
        <w:top w:val="none" w:sz="0" w:space="0" w:color="auto"/>
        <w:left w:val="none" w:sz="0" w:space="0" w:color="auto"/>
        <w:bottom w:val="none" w:sz="0" w:space="0" w:color="auto"/>
        <w:right w:val="none" w:sz="0" w:space="0" w:color="auto"/>
      </w:divBdr>
    </w:div>
    <w:div w:id="1640913281">
      <w:bodyDiv w:val="1"/>
      <w:marLeft w:val="0"/>
      <w:marRight w:val="0"/>
      <w:marTop w:val="0"/>
      <w:marBottom w:val="0"/>
      <w:divBdr>
        <w:top w:val="none" w:sz="0" w:space="0" w:color="auto"/>
        <w:left w:val="none" w:sz="0" w:space="0" w:color="auto"/>
        <w:bottom w:val="none" w:sz="0" w:space="0" w:color="auto"/>
        <w:right w:val="none" w:sz="0" w:space="0" w:color="auto"/>
      </w:divBdr>
    </w:div>
    <w:div w:id="1655917002">
      <w:bodyDiv w:val="1"/>
      <w:marLeft w:val="0"/>
      <w:marRight w:val="0"/>
      <w:marTop w:val="0"/>
      <w:marBottom w:val="0"/>
      <w:divBdr>
        <w:top w:val="none" w:sz="0" w:space="0" w:color="auto"/>
        <w:left w:val="none" w:sz="0" w:space="0" w:color="auto"/>
        <w:bottom w:val="none" w:sz="0" w:space="0" w:color="auto"/>
        <w:right w:val="none" w:sz="0" w:space="0" w:color="auto"/>
      </w:divBdr>
    </w:div>
    <w:div w:id="1662077872">
      <w:bodyDiv w:val="1"/>
      <w:marLeft w:val="0"/>
      <w:marRight w:val="0"/>
      <w:marTop w:val="0"/>
      <w:marBottom w:val="0"/>
      <w:divBdr>
        <w:top w:val="none" w:sz="0" w:space="0" w:color="auto"/>
        <w:left w:val="none" w:sz="0" w:space="0" w:color="auto"/>
        <w:bottom w:val="none" w:sz="0" w:space="0" w:color="auto"/>
        <w:right w:val="none" w:sz="0" w:space="0" w:color="auto"/>
      </w:divBdr>
    </w:div>
    <w:div w:id="1662924636">
      <w:bodyDiv w:val="1"/>
      <w:marLeft w:val="0"/>
      <w:marRight w:val="0"/>
      <w:marTop w:val="0"/>
      <w:marBottom w:val="0"/>
      <w:divBdr>
        <w:top w:val="none" w:sz="0" w:space="0" w:color="auto"/>
        <w:left w:val="none" w:sz="0" w:space="0" w:color="auto"/>
        <w:bottom w:val="none" w:sz="0" w:space="0" w:color="auto"/>
        <w:right w:val="none" w:sz="0" w:space="0" w:color="auto"/>
      </w:divBdr>
    </w:div>
    <w:div w:id="1681925620">
      <w:bodyDiv w:val="1"/>
      <w:marLeft w:val="0"/>
      <w:marRight w:val="0"/>
      <w:marTop w:val="0"/>
      <w:marBottom w:val="0"/>
      <w:divBdr>
        <w:top w:val="none" w:sz="0" w:space="0" w:color="auto"/>
        <w:left w:val="none" w:sz="0" w:space="0" w:color="auto"/>
        <w:bottom w:val="none" w:sz="0" w:space="0" w:color="auto"/>
        <w:right w:val="none" w:sz="0" w:space="0" w:color="auto"/>
      </w:divBdr>
    </w:div>
    <w:div w:id="1686900882">
      <w:bodyDiv w:val="1"/>
      <w:marLeft w:val="0"/>
      <w:marRight w:val="0"/>
      <w:marTop w:val="0"/>
      <w:marBottom w:val="0"/>
      <w:divBdr>
        <w:top w:val="none" w:sz="0" w:space="0" w:color="auto"/>
        <w:left w:val="none" w:sz="0" w:space="0" w:color="auto"/>
        <w:bottom w:val="none" w:sz="0" w:space="0" w:color="auto"/>
        <w:right w:val="none" w:sz="0" w:space="0" w:color="auto"/>
      </w:divBdr>
    </w:div>
    <w:div w:id="1703437045">
      <w:bodyDiv w:val="1"/>
      <w:marLeft w:val="0"/>
      <w:marRight w:val="0"/>
      <w:marTop w:val="0"/>
      <w:marBottom w:val="0"/>
      <w:divBdr>
        <w:top w:val="none" w:sz="0" w:space="0" w:color="auto"/>
        <w:left w:val="none" w:sz="0" w:space="0" w:color="auto"/>
        <w:bottom w:val="none" w:sz="0" w:space="0" w:color="auto"/>
        <w:right w:val="none" w:sz="0" w:space="0" w:color="auto"/>
      </w:divBdr>
    </w:div>
    <w:div w:id="1704935832">
      <w:bodyDiv w:val="1"/>
      <w:marLeft w:val="0"/>
      <w:marRight w:val="0"/>
      <w:marTop w:val="0"/>
      <w:marBottom w:val="0"/>
      <w:divBdr>
        <w:top w:val="none" w:sz="0" w:space="0" w:color="auto"/>
        <w:left w:val="none" w:sz="0" w:space="0" w:color="auto"/>
        <w:bottom w:val="none" w:sz="0" w:space="0" w:color="auto"/>
        <w:right w:val="none" w:sz="0" w:space="0" w:color="auto"/>
      </w:divBdr>
    </w:div>
    <w:div w:id="1725640831">
      <w:bodyDiv w:val="1"/>
      <w:marLeft w:val="0"/>
      <w:marRight w:val="0"/>
      <w:marTop w:val="0"/>
      <w:marBottom w:val="0"/>
      <w:divBdr>
        <w:top w:val="none" w:sz="0" w:space="0" w:color="auto"/>
        <w:left w:val="none" w:sz="0" w:space="0" w:color="auto"/>
        <w:bottom w:val="none" w:sz="0" w:space="0" w:color="auto"/>
        <w:right w:val="none" w:sz="0" w:space="0" w:color="auto"/>
      </w:divBdr>
    </w:div>
    <w:div w:id="1728259008">
      <w:bodyDiv w:val="1"/>
      <w:marLeft w:val="0"/>
      <w:marRight w:val="0"/>
      <w:marTop w:val="0"/>
      <w:marBottom w:val="0"/>
      <w:divBdr>
        <w:top w:val="none" w:sz="0" w:space="0" w:color="auto"/>
        <w:left w:val="none" w:sz="0" w:space="0" w:color="auto"/>
        <w:bottom w:val="none" w:sz="0" w:space="0" w:color="auto"/>
        <w:right w:val="none" w:sz="0" w:space="0" w:color="auto"/>
      </w:divBdr>
    </w:div>
    <w:div w:id="1740011126">
      <w:bodyDiv w:val="1"/>
      <w:marLeft w:val="0"/>
      <w:marRight w:val="0"/>
      <w:marTop w:val="0"/>
      <w:marBottom w:val="0"/>
      <w:divBdr>
        <w:top w:val="none" w:sz="0" w:space="0" w:color="auto"/>
        <w:left w:val="none" w:sz="0" w:space="0" w:color="auto"/>
        <w:bottom w:val="none" w:sz="0" w:space="0" w:color="auto"/>
        <w:right w:val="none" w:sz="0" w:space="0" w:color="auto"/>
      </w:divBdr>
    </w:div>
    <w:div w:id="1744137020">
      <w:bodyDiv w:val="1"/>
      <w:marLeft w:val="0"/>
      <w:marRight w:val="0"/>
      <w:marTop w:val="0"/>
      <w:marBottom w:val="0"/>
      <w:divBdr>
        <w:top w:val="none" w:sz="0" w:space="0" w:color="auto"/>
        <w:left w:val="none" w:sz="0" w:space="0" w:color="auto"/>
        <w:bottom w:val="none" w:sz="0" w:space="0" w:color="auto"/>
        <w:right w:val="none" w:sz="0" w:space="0" w:color="auto"/>
      </w:divBdr>
    </w:div>
    <w:div w:id="1757744455">
      <w:bodyDiv w:val="1"/>
      <w:marLeft w:val="0"/>
      <w:marRight w:val="0"/>
      <w:marTop w:val="0"/>
      <w:marBottom w:val="0"/>
      <w:divBdr>
        <w:top w:val="none" w:sz="0" w:space="0" w:color="auto"/>
        <w:left w:val="none" w:sz="0" w:space="0" w:color="auto"/>
        <w:bottom w:val="none" w:sz="0" w:space="0" w:color="auto"/>
        <w:right w:val="none" w:sz="0" w:space="0" w:color="auto"/>
      </w:divBdr>
    </w:div>
    <w:div w:id="1767843239">
      <w:bodyDiv w:val="1"/>
      <w:marLeft w:val="0"/>
      <w:marRight w:val="0"/>
      <w:marTop w:val="0"/>
      <w:marBottom w:val="0"/>
      <w:divBdr>
        <w:top w:val="none" w:sz="0" w:space="0" w:color="auto"/>
        <w:left w:val="none" w:sz="0" w:space="0" w:color="auto"/>
        <w:bottom w:val="none" w:sz="0" w:space="0" w:color="auto"/>
        <w:right w:val="none" w:sz="0" w:space="0" w:color="auto"/>
      </w:divBdr>
    </w:div>
    <w:div w:id="1783693838">
      <w:bodyDiv w:val="1"/>
      <w:marLeft w:val="0"/>
      <w:marRight w:val="0"/>
      <w:marTop w:val="0"/>
      <w:marBottom w:val="0"/>
      <w:divBdr>
        <w:top w:val="none" w:sz="0" w:space="0" w:color="auto"/>
        <w:left w:val="none" w:sz="0" w:space="0" w:color="auto"/>
        <w:bottom w:val="none" w:sz="0" w:space="0" w:color="auto"/>
        <w:right w:val="none" w:sz="0" w:space="0" w:color="auto"/>
      </w:divBdr>
    </w:div>
    <w:div w:id="1784497330">
      <w:bodyDiv w:val="1"/>
      <w:marLeft w:val="0"/>
      <w:marRight w:val="0"/>
      <w:marTop w:val="0"/>
      <w:marBottom w:val="0"/>
      <w:divBdr>
        <w:top w:val="none" w:sz="0" w:space="0" w:color="auto"/>
        <w:left w:val="none" w:sz="0" w:space="0" w:color="auto"/>
        <w:bottom w:val="none" w:sz="0" w:space="0" w:color="auto"/>
        <w:right w:val="none" w:sz="0" w:space="0" w:color="auto"/>
      </w:divBdr>
    </w:div>
    <w:div w:id="1788116025">
      <w:bodyDiv w:val="1"/>
      <w:marLeft w:val="0"/>
      <w:marRight w:val="0"/>
      <w:marTop w:val="0"/>
      <w:marBottom w:val="0"/>
      <w:divBdr>
        <w:top w:val="none" w:sz="0" w:space="0" w:color="auto"/>
        <w:left w:val="none" w:sz="0" w:space="0" w:color="auto"/>
        <w:bottom w:val="none" w:sz="0" w:space="0" w:color="auto"/>
        <w:right w:val="none" w:sz="0" w:space="0" w:color="auto"/>
      </w:divBdr>
    </w:div>
    <w:div w:id="1792624432">
      <w:bodyDiv w:val="1"/>
      <w:marLeft w:val="0"/>
      <w:marRight w:val="0"/>
      <w:marTop w:val="0"/>
      <w:marBottom w:val="0"/>
      <w:divBdr>
        <w:top w:val="none" w:sz="0" w:space="0" w:color="auto"/>
        <w:left w:val="none" w:sz="0" w:space="0" w:color="auto"/>
        <w:bottom w:val="none" w:sz="0" w:space="0" w:color="auto"/>
        <w:right w:val="none" w:sz="0" w:space="0" w:color="auto"/>
      </w:divBdr>
    </w:div>
    <w:div w:id="1801336501">
      <w:bodyDiv w:val="1"/>
      <w:marLeft w:val="0"/>
      <w:marRight w:val="0"/>
      <w:marTop w:val="0"/>
      <w:marBottom w:val="0"/>
      <w:divBdr>
        <w:top w:val="none" w:sz="0" w:space="0" w:color="auto"/>
        <w:left w:val="none" w:sz="0" w:space="0" w:color="auto"/>
        <w:bottom w:val="none" w:sz="0" w:space="0" w:color="auto"/>
        <w:right w:val="none" w:sz="0" w:space="0" w:color="auto"/>
      </w:divBdr>
    </w:div>
    <w:div w:id="1801411661">
      <w:bodyDiv w:val="1"/>
      <w:marLeft w:val="0"/>
      <w:marRight w:val="0"/>
      <w:marTop w:val="0"/>
      <w:marBottom w:val="0"/>
      <w:divBdr>
        <w:top w:val="none" w:sz="0" w:space="0" w:color="auto"/>
        <w:left w:val="none" w:sz="0" w:space="0" w:color="auto"/>
        <w:bottom w:val="none" w:sz="0" w:space="0" w:color="auto"/>
        <w:right w:val="none" w:sz="0" w:space="0" w:color="auto"/>
      </w:divBdr>
    </w:div>
    <w:div w:id="1806385468">
      <w:bodyDiv w:val="1"/>
      <w:marLeft w:val="0"/>
      <w:marRight w:val="0"/>
      <w:marTop w:val="0"/>
      <w:marBottom w:val="0"/>
      <w:divBdr>
        <w:top w:val="none" w:sz="0" w:space="0" w:color="auto"/>
        <w:left w:val="none" w:sz="0" w:space="0" w:color="auto"/>
        <w:bottom w:val="none" w:sz="0" w:space="0" w:color="auto"/>
        <w:right w:val="none" w:sz="0" w:space="0" w:color="auto"/>
      </w:divBdr>
    </w:div>
    <w:div w:id="1809589241">
      <w:bodyDiv w:val="1"/>
      <w:marLeft w:val="0"/>
      <w:marRight w:val="0"/>
      <w:marTop w:val="0"/>
      <w:marBottom w:val="0"/>
      <w:divBdr>
        <w:top w:val="none" w:sz="0" w:space="0" w:color="auto"/>
        <w:left w:val="none" w:sz="0" w:space="0" w:color="auto"/>
        <w:bottom w:val="none" w:sz="0" w:space="0" w:color="auto"/>
        <w:right w:val="none" w:sz="0" w:space="0" w:color="auto"/>
      </w:divBdr>
    </w:div>
    <w:div w:id="1847359320">
      <w:bodyDiv w:val="1"/>
      <w:marLeft w:val="0"/>
      <w:marRight w:val="0"/>
      <w:marTop w:val="0"/>
      <w:marBottom w:val="0"/>
      <w:divBdr>
        <w:top w:val="none" w:sz="0" w:space="0" w:color="auto"/>
        <w:left w:val="none" w:sz="0" w:space="0" w:color="auto"/>
        <w:bottom w:val="none" w:sz="0" w:space="0" w:color="auto"/>
        <w:right w:val="none" w:sz="0" w:space="0" w:color="auto"/>
      </w:divBdr>
    </w:div>
    <w:div w:id="1853258282">
      <w:bodyDiv w:val="1"/>
      <w:marLeft w:val="0"/>
      <w:marRight w:val="0"/>
      <w:marTop w:val="0"/>
      <w:marBottom w:val="0"/>
      <w:divBdr>
        <w:top w:val="none" w:sz="0" w:space="0" w:color="auto"/>
        <w:left w:val="none" w:sz="0" w:space="0" w:color="auto"/>
        <w:bottom w:val="none" w:sz="0" w:space="0" w:color="auto"/>
        <w:right w:val="none" w:sz="0" w:space="0" w:color="auto"/>
      </w:divBdr>
    </w:div>
    <w:div w:id="1870412630">
      <w:bodyDiv w:val="1"/>
      <w:marLeft w:val="0"/>
      <w:marRight w:val="0"/>
      <w:marTop w:val="0"/>
      <w:marBottom w:val="0"/>
      <w:divBdr>
        <w:top w:val="none" w:sz="0" w:space="0" w:color="auto"/>
        <w:left w:val="none" w:sz="0" w:space="0" w:color="auto"/>
        <w:bottom w:val="none" w:sz="0" w:space="0" w:color="auto"/>
        <w:right w:val="none" w:sz="0" w:space="0" w:color="auto"/>
      </w:divBdr>
    </w:div>
    <w:div w:id="1880849955">
      <w:bodyDiv w:val="1"/>
      <w:marLeft w:val="0"/>
      <w:marRight w:val="0"/>
      <w:marTop w:val="0"/>
      <w:marBottom w:val="0"/>
      <w:divBdr>
        <w:top w:val="none" w:sz="0" w:space="0" w:color="auto"/>
        <w:left w:val="none" w:sz="0" w:space="0" w:color="auto"/>
        <w:bottom w:val="none" w:sz="0" w:space="0" w:color="auto"/>
        <w:right w:val="none" w:sz="0" w:space="0" w:color="auto"/>
      </w:divBdr>
    </w:div>
    <w:div w:id="1890799877">
      <w:bodyDiv w:val="1"/>
      <w:marLeft w:val="0"/>
      <w:marRight w:val="0"/>
      <w:marTop w:val="0"/>
      <w:marBottom w:val="0"/>
      <w:divBdr>
        <w:top w:val="none" w:sz="0" w:space="0" w:color="auto"/>
        <w:left w:val="none" w:sz="0" w:space="0" w:color="auto"/>
        <w:bottom w:val="none" w:sz="0" w:space="0" w:color="auto"/>
        <w:right w:val="none" w:sz="0" w:space="0" w:color="auto"/>
      </w:divBdr>
    </w:div>
    <w:div w:id="1892378288">
      <w:bodyDiv w:val="1"/>
      <w:marLeft w:val="0"/>
      <w:marRight w:val="0"/>
      <w:marTop w:val="0"/>
      <w:marBottom w:val="0"/>
      <w:divBdr>
        <w:top w:val="none" w:sz="0" w:space="0" w:color="auto"/>
        <w:left w:val="none" w:sz="0" w:space="0" w:color="auto"/>
        <w:bottom w:val="none" w:sz="0" w:space="0" w:color="auto"/>
        <w:right w:val="none" w:sz="0" w:space="0" w:color="auto"/>
      </w:divBdr>
    </w:div>
    <w:div w:id="1892886519">
      <w:bodyDiv w:val="1"/>
      <w:marLeft w:val="0"/>
      <w:marRight w:val="0"/>
      <w:marTop w:val="0"/>
      <w:marBottom w:val="0"/>
      <w:divBdr>
        <w:top w:val="none" w:sz="0" w:space="0" w:color="auto"/>
        <w:left w:val="none" w:sz="0" w:space="0" w:color="auto"/>
        <w:bottom w:val="none" w:sz="0" w:space="0" w:color="auto"/>
        <w:right w:val="none" w:sz="0" w:space="0" w:color="auto"/>
      </w:divBdr>
    </w:div>
    <w:div w:id="1892961127">
      <w:bodyDiv w:val="1"/>
      <w:marLeft w:val="0"/>
      <w:marRight w:val="0"/>
      <w:marTop w:val="0"/>
      <w:marBottom w:val="0"/>
      <w:divBdr>
        <w:top w:val="none" w:sz="0" w:space="0" w:color="auto"/>
        <w:left w:val="none" w:sz="0" w:space="0" w:color="auto"/>
        <w:bottom w:val="none" w:sz="0" w:space="0" w:color="auto"/>
        <w:right w:val="none" w:sz="0" w:space="0" w:color="auto"/>
      </w:divBdr>
      <w:divsChild>
        <w:div w:id="1637447701">
          <w:marLeft w:val="0"/>
          <w:marRight w:val="0"/>
          <w:marTop w:val="0"/>
          <w:marBottom w:val="0"/>
          <w:divBdr>
            <w:top w:val="none" w:sz="0" w:space="0" w:color="auto"/>
            <w:left w:val="none" w:sz="0" w:space="0" w:color="auto"/>
            <w:bottom w:val="none" w:sz="0" w:space="0" w:color="auto"/>
            <w:right w:val="none" w:sz="0" w:space="0" w:color="auto"/>
          </w:divBdr>
        </w:div>
      </w:divsChild>
    </w:div>
    <w:div w:id="1907764806">
      <w:bodyDiv w:val="1"/>
      <w:marLeft w:val="0"/>
      <w:marRight w:val="0"/>
      <w:marTop w:val="0"/>
      <w:marBottom w:val="0"/>
      <w:divBdr>
        <w:top w:val="none" w:sz="0" w:space="0" w:color="auto"/>
        <w:left w:val="none" w:sz="0" w:space="0" w:color="auto"/>
        <w:bottom w:val="none" w:sz="0" w:space="0" w:color="auto"/>
        <w:right w:val="none" w:sz="0" w:space="0" w:color="auto"/>
      </w:divBdr>
    </w:div>
    <w:div w:id="1932201217">
      <w:bodyDiv w:val="1"/>
      <w:marLeft w:val="0"/>
      <w:marRight w:val="0"/>
      <w:marTop w:val="0"/>
      <w:marBottom w:val="0"/>
      <w:divBdr>
        <w:top w:val="none" w:sz="0" w:space="0" w:color="auto"/>
        <w:left w:val="none" w:sz="0" w:space="0" w:color="auto"/>
        <w:bottom w:val="none" w:sz="0" w:space="0" w:color="auto"/>
        <w:right w:val="none" w:sz="0" w:space="0" w:color="auto"/>
      </w:divBdr>
    </w:div>
    <w:div w:id="1939823190">
      <w:bodyDiv w:val="1"/>
      <w:marLeft w:val="0"/>
      <w:marRight w:val="0"/>
      <w:marTop w:val="0"/>
      <w:marBottom w:val="0"/>
      <w:divBdr>
        <w:top w:val="none" w:sz="0" w:space="0" w:color="auto"/>
        <w:left w:val="none" w:sz="0" w:space="0" w:color="auto"/>
        <w:bottom w:val="none" w:sz="0" w:space="0" w:color="auto"/>
        <w:right w:val="none" w:sz="0" w:space="0" w:color="auto"/>
      </w:divBdr>
    </w:div>
    <w:div w:id="1953394968">
      <w:bodyDiv w:val="1"/>
      <w:marLeft w:val="0"/>
      <w:marRight w:val="0"/>
      <w:marTop w:val="0"/>
      <w:marBottom w:val="0"/>
      <w:divBdr>
        <w:top w:val="none" w:sz="0" w:space="0" w:color="auto"/>
        <w:left w:val="none" w:sz="0" w:space="0" w:color="auto"/>
        <w:bottom w:val="none" w:sz="0" w:space="0" w:color="auto"/>
        <w:right w:val="none" w:sz="0" w:space="0" w:color="auto"/>
      </w:divBdr>
    </w:div>
    <w:div w:id="1954091950">
      <w:bodyDiv w:val="1"/>
      <w:marLeft w:val="0"/>
      <w:marRight w:val="0"/>
      <w:marTop w:val="0"/>
      <w:marBottom w:val="0"/>
      <w:divBdr>
        <w:top w:val="none" w:sz="0" w:space="0" w:color="auto"/>
        <w:left w:val="none" w:sz="0" w:space="0" w:color="auto"/>
        <w:bottom w:val="none" w:sz="0" w:space="0" w:color="auto"/>
        <w:right w:val="none" w:sz="0" w:space="0" w:color="auto"/>
      </w:divBdr>
    </w:div>
    <w:div w:id="1957908505">
      <w:bodyDiv w:val="1"/>
      <w:marLeft w:val="0"/>
      <w:marRight w:val="0"/>
      <w:marTop w:val="0"/>
      <w:marBottom w:val="0"/>
      <w:divBdr>
        <w:top w:val="none" w:sz="0" w:space="0" w:color="auto"/>
        <w:left w:val="none" w:sz="0" w:space="0" w:color="auto"/>
        <w:bottom w:val="none" w:sz="0" w:space="0" w:color="auto"/>
        <w:right w:val="none" w:sz="0" w:space="0" w:color="auto"/>
      </w:divBdr>
      <w:divsChild>
        <w:div w:id="531458506">
          <w:marLeft w:val="274"/>
          <w:marRight w:val="0"/>
          <w:marTop w:val="0"/>
          <w:marBottom w:val="0"/>
          <w:divBdr>
            <w:top w:val="none" w:sz="0" w:space="0" w:color="auto"/>
            <w:left w:val="none" w:sz="0" w:space="0" w:color="auto"/>
            <w:bottom w:val="none" w:sz="0" w:space="0" w:color="auto"/>
            <w:right w:val="none" w:sz="0" w:space="0" w:color="auto"/>
          </w:divBdr>
        </w:div>
        <w:div w:id="1994722271">
          <w:marLeft w:val="274"/>
          <w:marRight w:val="0"/>
          <w:marTop w:val="0"/>
          <w:marBottom w:val="0"/>
          <w:divBdr>
            <w:top w:val="none" w:sz="0" w:space="0" w:color="auto"/>
            <w:left w:val="none" w:sz="0" w:space="0" w:color="auto"/>
            <w:bottom w:val="none" w:sz="0" w:space="0" w:color="auto"/>
            <w:right w:val="none" w:sz="0" w:space="0" w:color="auto"/>
          </w:divBdr>
        </w:div>
      </w:divsChild>
    </w:div>
    <w:div w:id="1970091145">
      <w:bodyDiv w:val="1"/>
      <w:marLeft w:val="0"/>
      <w:marRight w:val="0"/>
      <w:marTop w:val="0"/>
      <w:marBottom w:val="0"/>
      <w:divBdr>
        <w:top w:val="none" w:sz="0" w:space="0" w:color="auto"/>
        <w:left w:val="none" w:sz="0" w:space="0" w:color="auto"/>
        <w:bottom w:val="none" w:sz="0" w:space="0" w:color="auto"/>
        <w:right w:val="none" w:sz="0" w:space="0" w:color="auto"/>
      </w:divBdr>
    </w:div>
    <w:div w:id="1973172440">
      <w:bodyDiv w:val="1"/>
      <w:marLeft w:val="0"/>
      <w:marRight w:val="0"/>
      <w:marTop w:val="0"/>
      <w:marBottom w:val="0"/>
      <w:divBdr>
        <w:top w:val="none" w:sz="0" w:space="0" w:color="auto"/>
        <w:left w:val="none" w:sz="0" w:space="0" w:color="auto"/>
        <w:bottom w:val="none" w:sz="0" w:space="0" w:color="auto"/>
        <w:right w:val="none" w:sz="0" w:space="0" w:color="auto"/>
      </w:divBdr>
    </w:div>
    <w:div w:id="1977685708">
      <w:bodyDiv w:val="1"/>
      <w:marLeft w:val="0"/>
      <w:marRight w:val="0"/>
      <w:marTop w:val="0"/>
      <w:marBottom w:val="0"/>
      <w:divBdr>
        <w:top w:val="none" w:sz="0" w:space="0" w:color="auto"/>
        <w:left w:val="none" w:sz="0" w:space="0" w:color="auto"/>
        <w:bottom w:val="none" w:sz="0" w:space="0" w:color="auto"/>
        <w:right w:val="none" w:sz="0" w:space="0" w:color="auto"/>
      </w:divBdr>
    </w:div>
    <w:div w:id="2000190378">
      <w:bodyDiv w:val="1"/>
      <w:marLeft w:val="0"/>
      <w:marRight w:val="0"/>
      <w:marTop w:val="0"/>
      <w:marBottom w:val="0"/>
      <w:divBdr>
        <w:top w:val="none" w:sz="0" w:space="0" w:color="auto"/>
        <w:left w:val="none" w:sz="0" w:space="0" w:color="auto"/>
        <w:bottom w:val="none" w:sz="0" w:space="0" w:color="auto"/>
        <w:right w:val="none" w:sz="0" w:space="0" w:color="auto"/>
      </w:divBdr>
    </w:div>
    <w:div w:id="2014795644">
      <w:bodyDiv w:val="1"/>
      <w:marLeft w:val="0"/>
      <w:marRight w:val="0"/>
      <w:marTop w:val="0"/>
      <w:marBottom w:val="0"/>
      <w:divBdr>
        <w:top w:val="none" w:sz="0" w:space="0" w:color="auto"/>
        <w:left w:val="none" w:sz="0" w:space="0" w:color="auto"/>
        <w:bottom w:val="none" w:sz="0" w:space="0" w:color="auto"/>
        <w:right w:val="none" w:sz="0" w:space="0" w:color="auto"/>
      </w:divBdr>
    </w:div>
    <w:div w:id="2024083856">
      <w:bodyDiv w:val="1"/>
      <w:marLeft w:val="0"/>
      <w:marRight w:val="0"/>
      <w:marTop w:val="0"/>
      <w:marBottom w:val="0"/>
      <w:divBdr>
        <w:top w:val="none" w:sz="0" w:space="0" w:color="auto"/>
        <w:left w:val="none" w:sz="0" w:space="0" w:color="auto"/>
        <w:bottom w:val="none" w:sz="0" w:space="0" w:color="auto"/>
        <w:right w:val="none" w:sz="0" w:space="0" w:color="auto"/>
      </w:divBdr>
    </w:div>
    <w:div w:id="2033335401">
      <w:bodyDiv w:val="1"/>
      <w:marLeft w:val="0"/>
      <w:marRight w:val="0"/>
      <w:marTop w:val="0"/>
      <w:marBottom w:val="0"/>
      <w:divBdr>
        <w:top w:val="none" w:sz="0" w:space="0" w:color="auto"/>
        <w:left w:val="none" w:sz="0" w:space="0" w:color="auto"/>
        <w:bottom w:val="none" w:sz="0" w:space="0" w:color="auto"/>
        <w:right w:val="none" w:sz="0" w:space="0" w:color="auto"/>
      </w:divBdr>
    </w:div>
    <w:div w:id="2035499955">
      <w:bodyDiv w:val="1"/>
      <w:marLeft w:val="0"/>
      <w:marRight w:val="0"/>
      <w:marTop w:val="0"/>
      <w:marBottom w:val="0"/>
      <w:divBdr>
        <w:top w:val="none" w:sz="0" w:space="0" w:color="auto"/>
        <w:left w:val="none" w:sz="0" w:space="0" w:color="auto"/>
        <w:bottom w:val="none" w:sz="0" w:space="0" w:color="auto"/>
        <w:right w:val="none" w:sz="0" w:space="0" w:color="auto"/>
      </w:divBdr>
    </w:div>
    <w:div w:id="2036420775">
      <w:bodyDiv w:val="1"/>
      <w:marLeft w:val="0"/>
      <w:marRight w:val="0"/>
      <w:marTop w:val="0"/>
      <w:marBottom w:val="0"/>
      <w:divBdr>
        <w:top w:val="none" w:sz="0" w:space="0" w:color="auto"/>
        <w:left w:val="none" w:sz="0" w:space="0" w:color="auto"/>
        <w:bottom w:val="none" w:sz="0" w:space="0" w:color="auto"/>
        <w:right w:val="none" w:sz="0" w:space="0" w:color="auto"/>
      </w:divBdr>
    </w:div>
    <w:div w:id="2038040218">
      <w:bodyDiv w:val="1"/>
      <w:marLeft w:val="0"/>
      <w:marRight w:val="0"/>
      <w:marTop w:val="0"/>
      <w:marBottom w:val="0"/>
      <w:divBdr>
        <w:top w:val="none" w:sz="0" w:space="0" w:color="auto"/>
        <w:left w:val="none" w:sz="0" w:space="0" w:color="auto"/>
        <w:bottom w:val="none" w:sz="0" w:space="0" w:color="auto"/>
        <w:right w:val="none" w:sz="0" w:space="0" w:color="auto"/>
      </w:divBdr>
    </w:div>
    <w:div w:id="2041004812">
      <w:bodyDiv w:val="1"/>
      <w:marLeft w:val="0"/>
      <w:marRight w:val="0"/>
      <w:marTop w:val="0"/>
      <w:marBottom w:val="0"/>
      <w:divBdr>
        <w:top w:val="none" w:sz="0" w:space="0" w:color="auto"/>
        <w:left w:val="none" w:sz="0" w:space="0" w:color="auto"/>
        <w:bottom w:val="none" w:sz="0" w:space="0" w:color="auto"/>
        <w:right w:val="none" w:sz="0" w:space="0" w:color="auto"/>
      </w:divBdr>
    </w:div>
    <w:div w:id="2051567671">
      <w:bodyDiv w:val="1"/>
      <w:marLeft w:val="0"/>
      <w:marRight w:val="0"/>
      <w:marTop w:val="0"/>
      <w:marBottom w:val="0"/>
      <w:divBdr>
        <w:top w:val="none" w:sz="0" w:space="0" w:color="auto"/>
        <w:left w:val="none" w:sz="0" w:space="0" w:color="auto"/>
        <w:bottom w:val="none" w:sz="0" w:space="0" w:color="auto"/>
        <w:right w:val="none" w:sz="0" w:space="0" w:color="auto"/>
      </w:divBdr>
    </w:div>
    <w:div w:id="2060323068">
      <w:bodyDiv w:val="1"/>
      <w:marLeft w:val="0"/>
      <w:marRight w:val="0"/>
      <w:marTop w:val="0"/>
      <w:marBottom w:val="0"/>
      <w:divBdr>
        <w:top w:val="none" w:sz="0" w:space="0" w:color="auto"/>
        <w:left w:val="none" w:sz="0" w:space="0" w:color="auto"/>
        <w:bottom w:val="none" w:sz="0" w:space="0" w:color="auto"/>
        <w:right w:val="none" w:sz="0" w:space="0" w:color="auto"/>
      </w:divBdr>
    </w:div>
    <w:div w:id="2076006294">
      <w:bodyDiv w:val="1"/>
      <w:marLeft w:val="0"/>
      <w:marRight w:val="0"/>
      <w:marTop w:val="0"/>
      <w:marBottom w:val="0"/>
      <w:divBdr>
        <w:top w:val="none" w:sz="0" w:space="0" w:color="auto"/>
        <w:left w:val="none" w:sz="0" w:space="0" w:color="auto"/>
        <w:bottom w:val="none" w:sz="0" w:space="0" w:color="auto"/>
        <w:right w:val="none" w:sz="0" w:space="0" w:color="auto"/>
      </w:divBdr>
    </w:div>
    <w:div w:id="2077582148">
      <w:bodyDiv w:val="1"/>
      <w:marLeft w:val="0"/>
      <w:marRight w:val="0"/>
      <w:marTop w:val="0"/>
      <w:marBottom w:val="0"/>
      <w:divBdr>
        <w:top w:val="none" w:sz="0" w:space="0" w:color="auto"/>
        <w:left w:val="none" w:sz="0" w:space="0" w:color="auto"/>
        <w:bottom w:val="none" w:sz="0" w:space="0" w:color="auto"/>
        <w:right w:val="none" w:sz="0" w:space="0" w:color="auto"/>
      </w:divBdr>
    </w:div>
    <w:div w:id="2100104081">
      <w:bodyDiv w:val="1"/>
      <w:marLeft w:val="0"/>
      <w:marRight w:val="0"/>
      <w:marTop w:val="0"/>
      <w:marBottom w:val="0"/>
      <w:divBdr>
        <w:top w:val="none" w:sz="0" w:space="0" w:color="auto"/>
        <w:left w:val="none" w:sz="0" w:space="0" w:color="auto"/>
        <w:bottom w:val="none" w:sz="0" w:space="0" w:color="auto"/>
        <w:right w:val="none" w:sz="0" w:space="0" w:color="auto"/>
      </w:divBdr>
    </w:div>
    <w:div w:id="2102331913">
      <w:bodyDiv w:val="1"/>
      <w:marLeft w:val="0"/>
      <w:marRight w:val="0"/>
      <w:marTop w:val="0"/>
      <w:marBottom w:val="0"/>
      <w:divBdr>
        <w:top w:val="none" w:sz="0" w:space="0" w:color="auto"/>
        <w:left w:val="none" w:sz="0" w:space="0" w:color="auto"/>
        <w:bottom w:val="none" w:sz="0" w:space="0" w:color="auto"/>
        <w:right w:val="none" w:sz="0" w:space="0" w:color="auto"/>
      </w:divBdr>
    </w:div>
    <w:div w:id="2115903218">
      <w:bodyDiv w:val="1"/>
      <w:marLeft w:val="0"/>
      <w:marRight w:val="0"/>
      <w:marTop w:val="0"/>
      <w:marBottom w:val="0"/>
      <w:divBdr>
        <w:top w:val="none" w:sz="0" w:space="0" w:color="auto"/>
        <w:left w:val="none" w:sz="0" w:space="0" w:color="auto"/>
        <w:bottom w:val="none" w:sz="0" w:space="0" w:color="auto"/>
        <w:right w:val="none" w:sz="0" w:space="0" w:color="auto"/>
      </w:divBdr>
    </w:div>
    <w:div w:id="2120371363">
      <w:bodyDiv w:val="1"/>
      <w:marLeft w:val="0"/>
      <w:marRight w:val="0"/>
      <w:marTop w:val="0"/>
      <w:marBottom w:val="0"/>
      <w:divBdr>
        <w:top w:val="none" w:sz="0" w:space="0" w:color="auto"/>
        <w:left w:val="none" w:sz="0" w:space="0" w:color="auto"/>
        <w:bottom w:val="none" w:sz="0" w:space="0" w:color="auto"/>
        <w:right w:val="none" w:sz="0" w:space="0" w:color="auto"/>
      </w:divBdr>
    </w:div>
    <w:div w:id="2121993770">
      <w:bodyDiv w:val="1"/>
      <w:marLeft w:val="0"/>
      <w:marRight w:val="0"/>
      <w:marTop w:val="0"/>
      <w:marBottom w:val="0"/>
      <w:divBdr>
        <w:top w:val="none" w:sz="0" w:space="0" w:color="auto"/>
        <w:left w:val="none" w:sz="0" w:space="0" w:color="auto"/>
        <w:bottom w:val="none" w:sz="0" w:space="0" w:color="auto"/>
        <w:right w:val="none" w:sz="0" w:space="0" w:color="auto"/>
      </w:divBdr>
    </w:div>
    <w:div w:id="21229914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chart" Target="charts/chart1.xml"/><Relationship Id="rId34" Type="http://schemas.openxmlformats.org/officeDocument/2006/relationships/image" Target="media/image20.emf"/><Relationship Id="rId42" Type="http://schemas.openxmlformats.org/officeDocument/2006/relationships/chart" Target="charts/chart4.xml"/><Relationship Id="rId47" Type="http://schemas.openxmlformats.org/officeDocument/2006/relationships/image" Target="media/image26.png"/><Relationship Id="rId50" Type="http://schemas.openxmlformats.org/officeDocument/2006/relationships/image" Target="media/image29.emf"/><Relationship Id="rId55" Type="http://schemas.openxmlformats.org/officeDocument/2006/relationships/image" Target="media/image34.emf"/><Relationship Id="rId63"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hyperlink" Target="http://intranet/manualProcesos/Evaluacion_y_Control/03_Procedimientos/PREC02_EJECUCION_DE_LA_SANCION_DISCIPLINARIA_V_1.0.pdf" TargetMode="External"/><Relationship Id="rId11" Type="http://schemas.openxmlformats.org/officeDocument/2006/relationships/package" Target="embeddings/Hoja_de_c_lculo_de_Microsoft_Excel.xlsx"/><Relationship Id="rId24" Type="http://schemas.openxmlformats.org/officeDocument/2006/relationships/image" Target="media/image13.jpeg"/><Relationship Id="rId32" Type="http://schemas.openxmlformats.org/officeDocument/2006/relationships/image" Target="media/image18.png"/><Relationship Id="rId37" Type="http://schemas.openxmlformats.org/officeDocument/2006/relationships/hyperlink" Target="https://www.alcaldiabogota.gov.co/sisjur/normas/Norma1.jsp?i=70604" TargetMode="External"/><Relationship Id="rId40" Type="http://schemas.openxmlformats.org/officeDocument/2006/relationships/image" Target="media/image22.emf"/><Relationship Id="rId45" Type="http://schemas.openxmlformats.org/officeDocument/2006/relationships/image" Target="media/image25.emf"/><Relationship Id="rId53" Type="http://schemas.openxmlformats.org/officeDocument/2006/relationships/image" Target="media/image32.png"/><Relationship Id="rId58" Type="http://schemas.openxmlformats.org/officeDocument/2006/relationships/hyperlink" Target="mailto:IDEC@" TargetMode="External"/><Relationship Id="rId5" Type="http://schemas.openxmlformats.org/officeDocument/2006/relationships/webSettings" Target="webSettings.xml"/><Relationship Id="rId61" Type="http://schemas.openxmlformats.org/officeDocument/2006/relationships/image" Target="media/image38.emf"/><Relationship Id="rId19" Type="http://schemas.openxmlformats.org/officeDocument/2006/relationships/image" Target="media/image9.emf"/><Relationship Id="rId14" Type="http://schemas.openxmlformats.org/officeDocument/2006/relationships/image" Target="media/image5.emf"/><Relationship Id="rId22" Type="http://schemas.openxmlformats.org/officeDocument/2006/relationships/image" Target="media/image11.emf"/><Relationship Id="rId27" Type="http://schemas.openxmlformats.org/officeDocument/2006/relationships/hyperlink" Target="mailto:solicitudesoac@idu.gov.co" TargetMode="External"/><Relationship Id="rId30" Type="http://schemas.openxmlformats.org/officeDocument/2006/relationships/hyperlink" Target="http://lntranet/web/intranet/oficina-de-control-disciplinario" TargetMode="External"/><Relationship Id="rId35" Type="http://schemas.openxmlformats.org/officeDocument/2006/relationships/image" Target="media/image21.png"/><Relationship Id="rId43" Type="http://schemas.openxmlformats.org/officeDocument/2006/relationships/image" Target="media/image23.emf"/><Relationship Id="rId48" Type="http://schemas.openxmlformats.org/officeDocument/2006/relationships/image" Target="media/image27.png"/><Relationship Id="rId56" Type="http://schemas.openxmlformats.org/officeDocument/2006/relationships/image" Target="media/image35.png"/><Relationship Id="rId64"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30.emf"/><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image" Target="media/image19.png"/><Relationship Id="rId38" Type="http://schemas.openxmlformats.org/officeDocument/2006/relationships/hyperlink" Target="https://www.alcaldiabogota.gov.co/sisjur/normas/Norma1.jsp?i=80475" TargetMode="External"/><Relationship Id="rId46" Type="http://schemas.openxmlformats.org/officeDocument/2006/relationships/chart" Target="charts/chart5.xml"/><Relationship Id="rId59" Type="http://schemas.openxmlformats.org/officeDocument/2006/relationships/hyperlink" Target="http://gesdoc.idu.gov.co:8080/orfeo/bodega/2018/526/20185261337742.tif" TargetMode="External"/><Relationship Id="rId20" Type="http://schemas.openxmlformats.org/officeDocument/2006/relationships/image" Target="media/image10.png"/><Relationship Id="rId41" Type="http://schemas.openxmlformats.org/officeDocument/2006/relationships/chart" Target="charts/chart3.xml"/><Relationship Id="rId54" Type="http://schemas.openxmlformats.org/officeDocument/2006/relationships/image" Target="media/image33.emf"/><Relationship Id="rId62" Type="http://schemas.openxmlformats.org/officeDocument/2006/relationships/hyperlink" Target="http://WWW.IDU.GOV.CO"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package" Target="embeddings/Hoja_de_c_lculo_de_Microsoft_Excel2.xlsx"/><Relationship Id="rId23" Type="http://schemas.openxmlformats.org/officeDocument/2006/relationships/image" Target="media/image12.emf"/><Relationship Id="rId28" Type="http://schemas.openxmlformats.org/officeDocument/2006/relationships/image" Target="media/image16.emf"/><Relationship Id="rId36" Type="http://schemas.openxmlformats.org/officeDocument/2006/relationships/chart" Target="charts/chart2.xml"/><Relationship Id="rId49" Type="http://schemas.openxmlformats.org/officeDocument/2006/relationships/image" Target="media/image28.emf"/><Relationship Id="rId57" Type="http://schemas.openxmlformats.org/officeDocument/2006/relationships/image" Target="media/image36.png"/><Relationship Id="rId10" Type="http://schemas.openxmlformats.org/officeDocument/2006/relationships/image" Target="media/image3.emf"/><Relationship Id="rId31" Type="http://schemas.openxmlformats.org/officeDocument/2006/relationships/image" Target="media/image17.png"/><Relationship Id="rId44" Type="http://schemas.openxmlformats.org/officeDocument/2006/relationships/image" Target="media/image24.emf"/><Relationship Id="rId52" Type="http://schemas.openxmlformats.org/officeDocument/2006/relationships/image" Target="media/image31.emf"/><Relationship Id="rId60" Type="http://schemas.openxmlformats.org/officeDocument/2006/relationships/image" Target="media/image37.png"/><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3" Type="http://schemas.openxmlformats.org/officeDocument/2006/relationships/package" Target="embeddings/Hoja_de_c_lculo_de_Microsoft_Excel1.xlsx"/><Relationship Id="rId18" Type="http://schemas.openxmlformats.org/officeDocument/2006/relationships/image" Target="media/image8.png"/><Relationship Id="rId39" Type="http://schemas.openxmlformats.org/officeDocument/2006/relationships/hyperlink" Target="http://lntranet/documents/20181/12270017/5+-+20184050120703.pdf/612a4be9-1c0f-4cd8-a1d1-c39beb886100"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9.gif"/></Relationships>
</file>

<file path=word/charts/_rels/chart1.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1" Type="http://schemas.openxmlformats.org/officeDocument/2006/relationships/package" Target="../embeddings/Hoja_de_c_lculo_de_Microsoft_Excel3.xlsx"/></Relationships>
</file>

<file path=word/charts/_rels/chart3.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2.xml"/><Relationship Id="rId1" Type="http://schemas.microsoft.com/office/2011/relationships/chartStyle" Target="style2.xml"/></Relationships>
</file>

<file path=word/charts/_rels/chart4.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3.xml"/><Relationship Id="rId1" Type="http://schemas.microsoft.com/office/2011/relationships/chartStyle" Target="style3.xml"/></Relationships>
</file>

<file path=word/charts/_rels/chart5.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s-CO"/>
              <a:t>EJECUCIÓN PRESUPUESTAL POR AREAS - VIGENCIA 2018</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s-CO"/>
        </a:p>
      </c:txPr>
    </c:title>
    <c:autoTitleDeleted val="0"/>
    <c:plotArea>
      <c:layout/>
      <c:barChart>
        <c:barDir val="col"/>
        <c:grouping val="clustered"/>
        <c:varyColors val="0"/>
        <c:ser>
          <c:idx val="0"/>
          <c:order val="0"/>
          <c:tx>
            <c:strRef>
              <c:f>'[EJECUCION PRESUPESTO DE INVERSION POR DEPENDENCIAS VIGENCIA 2018.xlsx]Hoja1'!$B$5</c:f>
              <c:strCache>
                <c:ptCount val="1"/>
                <c:pt idx="0">
                  <c:v>Presupuesto Definitivo</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'[EJECUCION PRESUPESTO DE INVERSION POR DEPENDENCIAS VIGENCIA 2018.xlsx]Hoja1'!$A$6:$A$17</c:f>
              <c:strCache>
                <c:ptCount val="12"/>
                <c:pt idx="0">
                  <c:v>DTDP</c:v>
                </c:pt>
                <c:pt idx="1">
                  <c:v>DTC</c:v>
                </c:pt>
                <c:pt idx="2">
                  <c:v>DTM</c:v>
                </c:pt>
                <c:pt idx="3">
                  <c:v>SGGC</c:v>
                </c:pt>
                <c:pt idx="4">
                  <c:v>DTP</c:v>
                </c:pt>
                <c:pt idx="5">
                  <c:v>SGJ</c:v>
                </c:pt>
                <c:pt idx="6">
                  <c:v>SGDU</c:v>
                </c:pt>
                <c:pt idx="7">
                  <c:v>OAC</c:v>
                </c:pt>
                <c:pt idx="8">
                  <c:v>DTAV</c:v>
                </c:pt>
                <c:pt idx="9">
                  <c:v>OAP</c:v>
                </c:pt>
                <c:pt idx="10">
                  <c:v>SGI</c:v>
                </c:pt>
                <c:pt idx="11">
                  <c:v>Total general</c:v>
                </c:pt>
              </c:strCache>
            </c:strRef>
          </c:cat>
          <c:val>
            <c:numRef>
              <c:f>'[EJECUCION PRESUPESTO DE INVERSION POR DEPENDENCIAS VIGENCIA 2018.xlsx]Hoja1'!$B$6:$B$17</c:f>
              <c:numCache>
                <c:formatCode>#,##0,,</c:formatCode>
                <c:ptCount val="12"/>
                <c:pt idx="0">
                  <c:v>1151038958561</c:v>
                </c:pt>
                <c:pt idx="1">
                  <c:v>502841734315</c:v>
                </c:pt>
                <c:pt idx="2">
                  <c:v>170160935531</c:v>
                </c:pt>
                <c:pt idx="3">
                  <c:v>102579004277</c:v>
                </c:pt>
                <c:pt idx="4">
                  <c:v>20680301624</c:v>
                </c:pt>
                <c:pt idx="5">
                  <c:v>9964577000</c:v>
                </c:pt>
                <c:pt idx="6">
                  <c:v>2913858000</c:v>
                </c:pt>
                <c:pt idx="7">
                  <c:v>1557257560</c:v>
                </c:pt>
                <c:pt idx="8">
                  <c:v>1063739000</c:v>
                </c:pt>
                <c:pt idx="9">
                  <c:v>88312477</c:v>
                </c:pt>
                <c:pt idx="10">
                  <c:v>0</c:v>
                </c:pt>
                <c:pt idx="11">
                  <c:v>1962888678345</c:v>
                </c:pt>
              </c:numCache>
            </c:numRef>
          </c:val>
          <c:extLst>
            <c:ext xmlns:c16="http://schemas.microsoft.com/office/drawing/2014/chart" uri="{C3380CC4-5D6E-409C-BE32-E72D297353CC}">
              <c16:uniqueId val="{00000000-11D4-4EA8-9130-0FB217253BF8}"/>
            </c:ext>
          </c:extLst>
        </c:ser>
        <c:ser>
          <c:idx val="1"/>
          <c:order val="1"/>
          <c:tx>
            <c:strRef>
              <c:f>'[EJECUCION PRESUPESTO DE INVERSION POR DEPENDENCIAS VIGENCIA 2018.xlsx]Hoja1'!$C$5</c:f>
              <c:strCache>
                <c:ptCount val="1"/>
                <c:pt idx="0">
                  <c:v>Ejecución </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'[EJECUCION PRESUPESTO DE INVERSION POR DEPENDENCIAS VIGENCIA 2018.xlsx]Hoja1'!$A$6:$A$17</c:f>
              <c:strCache>
                <c:ptCount val="12"/>
                <c:pt idx="0">
                  <c:v>DTDP</c:v>
                </c:pt>
                <c:pt idx="1">
                  <c:v>DTC</c:v>
                </c:pt>
                <c:pt idx="2">
                  <c:v>DTM</c:v>
                </c:pt>
                <c:pt idx="3">
                  <c:v>SGGC</c:v>
                </c:pt>
                <c:pt idx="4">
                  <c:v>DTP</c:v>
                </c:pt>
                <c:pt idx="5">
                  <c:v>SGJ</c:v>
                </c:pt>
                <c:pt idx="6">
                  <c:v>SGDU</c:v>
                </c:pt>
                <c:pt idx="7">
                  <c:v>OAC</c:v>
                </c:pt>
                <c:pt idx="8">
                  <c:v>DTAV</c:v>
                </c:pt>
                <c:pt idx="9">
                  <c:v>OAP</c:v>
                </c:pt>
                <c:pt idx="10">
                  <c:v>SGI</c:v>
                </c:pt>
                <c:pt idx="11">
                  <c:v>Total general</c:v>
                </c:pt>
              </c:strCache>
            </c:strRef>
          </c:cat>
          <c:val>
            <c:numRef>
              <c:f>'[EJECUCION PRESUPESTO DE INVERSION POR DEPENDENCIAS VIGENCIA 2018.xlsx]Hoja1'!$C$6:$C$17</c:f>
              <c:numCache>
                <c:formatCode>#,##0,,</c:formatCode>
                <c:ptCount val="12"/>
                <c:pt idx="0">
                  <c:v>400878603241</c:v>
                </c:pt>
                <c:pt idx="1">
                  <c:v>475829571549</c:v>
                </c:pt>
                <c:pt idx="2">
                  <c:v>169092647910</c:v>
                </c:pt>
                <c:pt idx="3">
                  <c:v>98131871240</c:v>
                </c:pt>
                <c:pt idx="4">
                  <c:v>19567181068</c:v>
                </c:pt>
                <c:pt idx="5">
                  <c:v>4061210496</c:v>
                </c:pt>
                <c:pt idx="6">
                  <c:v>2381786258</c:v>
                </c:pt>
                <c:pt idx="7">
                  <c:v>1445341000</c:v>
                </c:pt>
                <c:pt idx="8">
                  <c:v>1063739000</c:v>
                </c:pt>
                <c:pt idx="9">
                  <c:v>43322307</c:v>
                </c:pt>
                <c:pt idx="10">
                  <c:v>0</c:v>
                </c:pt>
                <c:pt idx="11">
                  <c:v>1172495274069</c:v>
                </c:pt>
              </c:numCache>
            </c:numRef>
          </c:val>
          <c:extLst>
            <c:ext xmlns:c16="http://schemas.microsoft.com/office/drawing/2014/chart" uri="{C3380CC4-5D6E-409C-BE32-E72D297353CC}">
              <c16:uniqueId val="{00000001-11D4-4EA8-9130-0FB217253BF8}"/>
            </c:ext>
          </c:extLst>
        </c:ser>
        <c:ser>
          <c:idx val="2"/>
          <c:order val="2"/>
          <c:tx>
            <c:strRef>
              <c:f>'[EJECUCION PRESUPESTO DE INVERSION POR DEPENDENCIAS VIGENCIA 2018.xlsx]Hoja1'!$D$5</c:f>
              <c:strCache>
                <c:ptCount val="1"/>
                <c:pt idx="0">
                  <c:v>% Ejec. </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'[EJECUCION PRESUPESTO DE INVERSION POR DEPENDENCIAS VIGENCIA 2018.xlsx]Hoja1'!$A$6:$A$17</c:f>
              <c:strCache>
                <c:ptCount val="12"/>
                <c:pt idx="0">
                  <c:v>DTDP</c:v>
                </c:pt>
                <c:pt idx="1">
                  <c:v>DTC</c:v>
                </c:pt>
                <c:pt idx="2">
                  <c:v>DTM</c:v>
                </c:pt>
                <c:pt idx="3">
                  <c:v>SGGC</c:v>
                </c:pt>
                <c:pt idx="4">
                  <c:v>DTP</c:v>
                </c:pt>
                <c:pt idx="5">
                  <c:v>SGJ</c:v>
                </c:pt>
                <c:pt idx="6">
                  <c:v>SGDU</c:v>
                </c:pt>
                <c:pt idx="7">
                  <c:v>OAC</c:v>
                </c:pt>
                <c:pt idx="8">
                  <c:v>DTAV</c:v>
                </c:pt>
                <c:pt idx="9">
                  <c:v>OAP</c:v>
                </c:pt>
                <c:pt idx="10">
                  <c:v>SGI</c:v>
                </c:pt>
                <c:pt idx="11">
                  <c:v>Total general</c:v>
                </c:pt>
              </c:strCache>
            </c:strRef>
          </c:cat>
          <c:val>
            <c:numRef>
              <c:f>'[EJECUCION PRESUPESTO DE INVERSION POR DEPENDENCIAS VIGENCIA 2018.xlsx]Hoja1'!$D$6:$D$17</c:f>
              <c:numCache>
                <c:formatCode>0.0%</c:formatCode>
                <c:ptCount val="12"/>
                <c:pt idx="0">
                  <c:v>0.34827544303293467</c:v>
                </c:pt>
                <c:pt idx="1">
                  <c:v>0.94628098480569134</c:v>
                </c:pt>
                <c:pt idx="2">
                  <c:v>0.99372189852114812</c:v>
                </c:pt>
                <c:pt idx="3">
                  <c:v>0.95664675175642033</c:v>
                </c:pt>
                <c:pt idx="4">
                  <c:v>0.94617483940813529</c:v>
                </c:pt>
                <c:pt idx="5">
                  <c:v>0.40756476627156374</c:v>
                </c:pt>
                <c:pt idx="6">
                  <c:v>0.81739956373989398</c:v>
                </c:pt>
                <c:pt idx="7">
                  <c:v>0.9281322737646559</c:v>
                </c:pt>
                <c:pt idx="8">
                  <c:v>1</c:v>
                </c:pt>
                <c:pt idx="9">
                  <c:v>0.49055703646496068</c:v>
                </c:pt>
                <c:pt idx="10">
                  <c:v>0</c:v>
                </c:pt>
                <c:pt idx="11">
                  <c:v>0.59733151808567342</c:v>
                </c:pt>
              </c:numCache>
            </c:numRef>
          </c:val>
          <c:extLst>
            <c:ext xmlns:c16="http://schemas.microsoft.com/office/drawing/2014/chart" uri="{C3380CC4-5D6E-409C-BE32-E72D297353CC}">
              <c16:uniqueId val="{00000002-11D4-4EA8-9130-0FB217253BF8}"/>
            </c:ext>
          </c:extLst>
        </c:ser>
        <c:dLbls>
          <c:showLegendKey val="0"/>
          <c:showVal val="0"/>
          <c:showCatName val="0"/>
          <c:showSerName val="0"/>
          <c:showPercent val="0"/>
          <c:showBubbleSize val="0"/>
        </c:dLbls>
        <c:gapWidth val="100"/>
        <c:overlap val="-24"/>
        <c:axId val="570251728"/>
        <c:axId val="570252120"/>
      </c:barChart>
      <c:catAx>
        <c:axId val="57025172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570252120"/>
        <c:crosses val="autoZero"/>
        <c:auto val="1"/>
        <c:lblAlgn val="ctr"/>
        <c:lblOffset val="100"/>
        <c:noMultiLvlLbl val="0"/>
      </c:catAx>
      <c:valAx>
        <c:axId val="570252120"/>
        <c:scaling>
          <c:orientation val="minMax"/>
          <c:max val="200000000000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570251728"/>
        <c:crosses val="autoZero"/>
        <c:crossBetween val="between"/>
        <c:minorUnit val="200000000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00" b="0" i="0" u="none" strike="noStrike" kern="1200" spc="0" baseline="0">
                <a:solidFill>
                  <a:schemeClr val="tx1">
                    <a:lumMod val="65000"/>
                    <a:lumOff val="35000"/>
                  </a:schemeClr>
                </a:solidFill>
                <a:latin typeface="+mn-lt"/>
                <a:ea typeface="+mn-ea"/>
                <a:cs typeface="+mn-cs"/>
              </a:defRPr>
            </a:pPr>
            <a:r>
              <a:rPr lang="es-CO" sz="800" b="1" i="0" u="none" strike="noStrike" baseline="0">
                <a:effectLst/>
              </a:rPr>
              <a:t>Total de encuestas realizadas por el equipo de Seguimiento y Evaluación durante el año 2018</a:t>
            </a:r>
            <a:endParaRPr lang="es-CO" sz="800"/>
          </a:p>
        </c:rich>
      </c:tx>
      <c:overlay val="0"/>
      <c:spPr>
        <a:noFill/>
        <a:ln>
          <a:noFill/>
        </a:ln>
        <a:effectLst/>
      </c:spPr>
    </c:title>
    <c:autoTitleDeleted val="0"/>
    <c:plotArea>
      <c:layout>
        <c:manualLayout>
          <c:layoutTarget val="inner"/>
          <c:xMode val="edge"/>
          <c:yMode val="edge"/>
          <c:x val="0.45689937546734"/>
          <c:y val="0.29508424253585502"/>
          <c:w val="0.46647830658207801"/>
          <c:h val="0.64216618530213698"/>
        </c:manualLayout>
      </c:layout>
      <c:barChart>
        <c:barDir val="bar"/>
        <c:grouping val="clustered"/>
        <c:varyColors val="0"/>
        <c:ser>
          <c:idx val="0"/>
          <c:order val="0"/>
          <c:tx>
            <c:strRef>
              <c:f>Hoja1!$E$1</c:f>
              <c:strCache>
                <c:ptCount val="1"/>
                <c:pt idx="0">
                  <c:v>Total encuestas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Hoja1!$D$2:$D$6</c:f>
              <c:strCache>
                <c:ptCount val="5"/>
                <c:pt idx="0">
                  <c:v>Expectativa ciudadana con proyectos en etapa de factibilidad y/o estudios y diseños</c:v>
                </c:pt>
                <c:pt idx="1">
                  <c:v>Expectativa ciudadana con proyectos en etapa Exante</c:v>
                </c:pt>
                <c:pt idx="2">
                  <c:v>Percepción cudadana con proyectos en etapa Durante</c:v>
                </c:pt>
                <c:pt idx="3">
                  <c:v>Satisfacción ciudadana con proyectos en etapa Expost</c:v>
                </c:pt>
                <c:pt idx="4">
                  <c:v>Satisfacción ciudadana con los diferentes servicios de atención ofrecidos por la entidad</c:v>
                </c:pt>
              </c:strCache>
            </c:strRef>
          </c:cat>
          <c:val>
            <c:numRef>
              <c:f>Hoja1!$E$2:$E$6</c:f>
              <c:numCache>
                <c:formatCode>#,##0</c:formatCode>
                <c:ptCount val="5"/>
                <c:pt idx="0">
                  <c:v>6663</c:v>
                </c:pt>
                <c:pt idx="1">
                  <c:v>581</c:v>
                </c:pt>
                <c:pt idx="2">
                  <c:v>445</c:v>
                </c:pt>
                <c:pt idx="3">
                  <c:v>1230</c:v>
                </c:pt>
                <c:pt idx="4">
                  <c:v>4489</c:v>
                </c:pt>
              </c:numCache>
            </c:numRef>
          </c:val>
          <c:extLst>
            <c:ext xmlns:c16="http://schemas.microsoft.com/office/drawing/2014/chart" uri="{C3380CC4-5D6E-409C-BE32-E72D297353CC}">
              <c16:uniqueId val="{00000000-1876-4C03-8F8B-7466A6D21B96}"/>
            </c:ext>
          </c:extLst>
        </c:ser>
        <c:dLbls>
          <c:showLegendKey val="0"/>
          <c:showVal val="0"/>
          <c:showCatName val="0"/>
          <c:showSerName val="0"/>
          <c:showPercent val="0"/>
          <c:showBubbleSize val="0"/>
        </c:dLbls>
        <c:gapWidth val="150"/>
        <c:axId val="572087888"/>
        <c:axId val="572088280"/>
      </c:barChart>
      <c:catAx>
        <c:axId val="57208788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s-CO"/>
          </a:p>
        </c:txPr>
        <c:crossAx val="572088280"/>
        <c:crosses val="autoZero"/>
        <c:auto val="1"/>
        <c:lblAlgn val="ctr"/>
        <c:lblOffset val="100"/>
        <c:noMultiLvlLbl val="0"/>
      </c:catAx>
      <c:valAx>
        <c:axId val="572088280"/>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572087888"/>
        <c:crosses val="autoZero"/>
        <c:crossBetween val="between"/>
      </c:valAx>
      <c:spPr>
        <a:noFill/>
        <a:ln w="6350">
          <a:noFill/>
        </a:ln>
        <a:effectLst/>
      </c:spPr>
    </c:plotArea>
    <c:plotVisOnly val="1"/>
    <c:dispBlanksAs val="gap"/>
    <c:showDLblsOverMax val="0"/>
  </c:chart>
  <c:spPr>
    <a:solidFill>
      <a:schemeClr val="bg1"/>
    </a:solidFill>
    <a:ln w="6350" cap="flat" cmpd="sng" algn="ctr">
      <a:solidFill>
        <a:schemeClr val="tx2"/>
      </a:solidFill>
      <a:round/>
    </a:ln>
    <a:effectLst/>
  </c:spPr>
  <c:txPr>
    <a:bodyPr/>
    <a:lstStyle/>
    <a:p>
      <a:pPr>
        <a:defRPr/>
      </a:pPr>
      <a:endParaRPr lang="es-CO"/>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[Libro1]Hoja2!Tabla dinámica5</c:name>
    <c:fmtId val="-1"/>
  </c:pivotSource>
  <c:chart>
    <c:autoTitleDeleted val="0"/>
    <c:pivotFmts>
      <c:pivotFmt>
        <c:idx val="0"/>
        <c:spPr>
          <a:solidFill>
            <a:schemeClr val="accent1"/>
          </a:solidFill>
          <a:ln>
            <a:noFill/>
          </a:ln>
          <a:effectLst/>
        </c:spPr>
        <c:marker>
          <c:symbol val="none"/>
        </c:marker>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extLst>
            <c:ext xmlns:c15="http://schemas.microsoft.com/office/drawing/2012/chart" uri="{CE6537A1-D6FC-4f65-9D91-7224C49458BB}"/>
          </c:extLst>
        </c:dLbl>
      </c:pivotFmt>
      <c:pivotFmt>
        <c:idx val="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extLst>
            <c:ext xmlns:c15="http://schemas.microsoft.com/office/drawing/2012/chart" uri="{CE6537A1-D6FC-4f65-9D91-7224C49458BB}"/>
          </c:extLst>
        </c:dLbl>
      </c:pivotFmt>
      <c:pivotFmt>
        <c:idx val="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extLst>
            <c:ext xmlns:c15="http://schemas.microsoft.com/office/drawing/2012/chart" uri="{CE6537A1-D6FC-4f65-9D91-7224C49458BB}"/>
          </c:extLst>
        </c:dLbl>
      </c:pivotFmt>
      <c:pivotFmt>
        <c:idx val="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extLst>
            <c:ext xmlns:c15="http://schemas.microsoft.com/office/drawing/2012/chart" uri="{CE6537A1-D6FC-4f65-9D91-7224C49458BB}"/>
          </c:extLst>
        </c:dLbl>
      </c:pivotFmt>
      <c:pivotFmt>
        <c:idx val="6"/>
        <c:spPr>
          <a:solidFill>
            <a:schemeClr val="accent1"/>
          </a:solidFill>
          <a:ln>
            <a:noFill/>
          </a:ln>
          <a:effectLst/>
        </c:spPr>
        <c:marker>
          <c:symbol val="none"/>
        </c:marker>
      </c:pivotFmt>
      <c:pivotFmt>
        <c:idx val="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extLst>
            <c:ext xmlns:c15="http://schemas.microsoft.com/office/drawing/2012/chart" uri="{CE6537A1-D6FC-4f65-9D91-7224C49458BB}"/>
          </c:extLst>
        </c:dLbl>
      </c:pivotFmt>
      <c:pivotFmt>
        <c:idx val="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extLst>
            <c:ext xmlns:c15="http://schemas.microsoft.com/office/drawing/2012/chart" uri="{CE6537A1-D6FC-4f65-9D91-7224C49458BB}"/>
          </c:extLst>
        </c:dLbl>
      </c:pivotFmt>
      <c:pivotFmt>
        <c:idx val="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extLst>
            <c:ext xmlns:c15="http://schemas.microsoft.com/office/drawing/2012/chart" uri="{CE6537A1-D6FC-4f65-9D91-7224C49458BB}"/>
          </c:extLst>
        </c:dLbl>
      </c:pivotFmt>
      <c:pivotFmt>
        <c:idx val="1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extLst>
            <c:ext xmlns:c15="http://schemas.microsoft.com/office/drawing/2012/chart" uri="{CE6537A1-D6FC-4f65-9D91-7224C49458BB}"/>
          </c:extLst>
        </c:dLbl>
      </c:pivotFmt>
      <c:pivotFmt>
        <c:idx val="1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extLst>
            <c:ext xmlns:c15="http://schemas.microsoft.com/office/drawing/2012/chart" uri="{CE6537A1-D6FC-4f65-9D91-7224C49458BB}"/>
          </c:extLst>
        </c:dLbl>
      </c:pivotFmt>
      <c:pivotFmt>
        <c:idx val="12"/>
        <c:spPr>
          <a:solidFill>
            <a:schemeClr val="accent1"/>
          </a:solidFill>
          <a:ln>
            <a:noFill/>
          </a:ln>
          <a:effectLst/>
        </c:spPr>
        <c:marker>
          <c:symbol val="none"/>
        </c:marker>
      </c:pivotFmt>
      <c:pivotFmt>
        <c:idx val="1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extLst>
            <c:ext xmlns:c15="http://schemas.microsoft.com/office/drawing/2012/chart" uri="{CE6537A1-D6FC-4f65-9D91-7224C49458BB}"/>
          </c:extLst>
        </c:dLbl>
      </c:pivotFmt>
      <c:pivotFmt>
        <c:idx val="1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extLst>
            <c:ext xmlns:c15="http://schemas.microsoft.com/office/drawing/2012/chart" uri="{CE6537A1-D6FC-4f65-9D91-7224C49458BB}"/>
          </c:extLst>
        </c:dLbl>
      </c:pivotFmt>
      <c:pivotFmt>
        <c:idx val="1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extLst>
            <c:ext xmlns:c15="http://schemas.microsoft.com/office/drawing/2012/chart" uri="{CE6537A1-D6FC-4f65-9D91-7224C49458BB}"/>
          </c:extLst>
        </c:dLbl>
      </c:pivotFmt>
      <c:pivotFmt>
        <c:idx val="1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extLst>
            <c:ext xmlns:c15="http://schemas.microsoft.com/office/drawing/2012/chart" uri="{CE6537A1-D6FC-4f65-9D91-7224C49458BB}"/>
          </c:extLst>
        </c:dLbl>
      </c:pivotFmt>
      <c:pivotFmt>
        <c:idx val="1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Hoja2!$B$1:$B$2</c:f>
              <c:strCache>
                <c:ptCount val="1"/>
                <c:pt idx="0">
                  <c:v>290995640</c:v>
                </c:pt>
              </c:strCache>
            </c:strRef>
          </c:tx>
          <c:spPr>
            <a:solidFill>
              <a:schemeClr val="accent1"/>
            </a:solidFill>
            <a:ln>
              <a:noFill/>
            </a:ln>
            <a:effectLst/>
          </c:spPr>
          <c:invertIfNegative val="0"/>
          <c:cat>
            <c:strRef>
              <c:f>Hoja2!$A$3:$A$11</c:f>
              <c:strCache>
                <c:ptCount val="8"/>
                <c:pt idx="0">
                  <c:v>ACCIÓN DE CUMPLIMIENTO</c:v>
                </c:pt>
                <c:pt idx="1">
                  <c:v>ACCIÓN DE TUTELA</c:v>
                </c:pt>
                <c:pt idx="2">
                  <c:v>ACCIÓN POPULAR</c:v>
                </c:pt>
                <c:pt idx="3">
                  <c:v>CONCILIACIÓN EXTRAJUDICIAL</c:v>
                </c:pt>
                <c:pt idx="4">
                  <c:v>CONTRACTUAL</c:v>
                </c:pt>
                <c:pt idx="5">
                  <c:v>EJECUTIVO</c:v>
                </c:pt>
                <c:pt idx="6">
                  <c:v>NULIDAD Y RESTABLECIMIENTO</c:v>
                </c:pt>
                <c:pt idx="7">
                  <c:v>REPARACION DIRECTA</c:v>
                </c:pt>
              </c:strCache>
            </c:strRef>
          </c:cat>
          <c:val>
            <c:numRef>
              <c:f>Hoja2!$B$3:$B$11</c:f>
              <c:numCache>
                <c:formatCode>General</c:formatCode>
                <c:ptCount val="8"/>
                <c:pt idx="5">
                  <c:v>1</c:v>
                </c:pt>
              </c:numCache>
            </c:numRef>
          </c:val>
          <c:extLst>
            <c:ext xmlns:c16="http://schemas.microsoft.com/office/drawing/2014/chart" uri="{C3380CC4-5D6E-409C-BE32-E72D297353CC}">
              <c16:uniqueId val="{00000000-A1C8-47E4-B664-20FF10338F8A}"/>
            </c:ext>
          </c:extLst>
        </c:ser>
        <c:ser>
          <c:idx val="1"/>
          <c:order val="1"/>
          <c:tx>
            <c:strRef>
              <c:f>Hoja2!$C$1:$C$2</c:f>
              <c:strCache>
                <c:ptCount val="1"/>
                <c:pt idx="0">
                  <c:v>11354957051</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Hoja2!$A$3:$A$11</c:f>
              <c:strCache>
                <c:ptCount val="8"/>
                <c:pt idx="0">
                  <c:v>ACCIÓN DE CUMPLIMIENTO</c:v>
                </c:pt>
                <c:pt idx="1">
                  <c:v>ACCIÓN DE TUTELA</c:v>
                </c:pt>
                <c:pt idx="2">
                  <c:v>ACCIÓN POPULAR</c:v>
                </c:pt>
                <c:pt idx="3">
                  <c:v>CONCILIACIÓN EXTRAJUDICIAL</c:v>
                </c:pt>
                <c:pt idx="4">
                  <c:v>CONTRACTUAL</c:v>
                </c:pt>
                <c:pt idx="5">
                  <c:v>EJECUTIVO</c:v>
                </c:pt>
                <c:pt idx="6">
                  <c:v>NULIDAD Y RESTABLECIMIENTO</c:v>
                </c:pt>
                <c:pt idx="7">
                  <c:v>REPARACION DIRECTA</c:v>
                </c:pt>
              </c:strCache>
            </c:strRef>
          </c:cat>
          <c:val>
            <c:numRef>
              <c:f>Hoja2!$C$3:$C$11</c:f>
              <c:numCache>
                <c:formatCode>General</c:formatCode>
                <c:ptCount val="8"/>
                <c:pt idx="4">
                  <c:v>7</c:v>
                </c:pt>
              </c:numCache>
            </c:numRef>
          </c:val>
          <c:extLst>
            <c:ext xmlns:c16="http://schemas.microsoft.com/office/drawing/2014/chart" uri="{C3380CC4-5D6E-409C-BE32-E72D297353CC}">
              <c16:uniqueId val="{00000001-A1C8-47E4-B664-20FF10338F8A}"/>
            </c:ext>
          </c:extLst>
        </c:ser>
        <c:ser>
          <c:idx val="2"/>
          <c:order val="2"/>
          <c:tx>
            <c:strRef>
              <c:f>Hoja2!$D$1:$D$2</c:f>
              <c:strCache>
                <c:ptCount val="1"/>
                <c:pt idx="0">
                  <c:v>29927155543</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Hoja2!$A$3:$A$11</c:f>
              <c:strCache>
                <c:ptCount val="8"/>
                <c:pt idx="0">
                  <c:v>ACCIÓN DE CUMPLIMIENTO</c:v>
                </c:pt>
                <c:pt idx="1">
                  <c:v>ACCIÓN DE TUTELA</c:v>
                </c:pt>
                <c:pt idx="2">
                  <c:v>ACCIÓN POPULAR</c:v>
                </c:pt>
                <c:pt idx="3">
                  <c:v>CONCILIACIÓN EXTRAJUDICIAL</c:v>
                </c:pt>
                <c:pt idx="4">
                  <c:v>CONTRACTUAL</c:v>
                </c:pt>
                <c:pt idx="5">
                  <c:v>EJECUTIVO</c:v>
                </c:pt>
                <c:pt idx="6">
                  <c:v>NULIDAD Y RESTABLECIMIENTO</c:v>
                </c:pt>
                <c:pt idx="7">
                  <c:v>REPARACION DIRECTA</c:v>
                </c:pt>
              </c:strCache>
            </c:strRef>
          </c:cat>
          <c:val>
            <c:numRef>
              <c:f>Hoja2!$D$3:$D$11</c:f>
              <c:numCache>
                <c:formatCode>General</c:formatCode>
                <c:ptCount val="8"/>
                <c:pt idx="6">
                  <c:v>33</c:v>
                </c:pt>
              </c:numCache>
            </c:numRef>
          </c:val>
          <c:extLst>
            <c:ext xmlns:c16="http://schemas.microsoft.com/office/drawing/2014/chart" uri="{C3380CC4-5D6E-409C-BE32-E72D297353CC}">
              <c16:uniqueId val="{00000002-A1C8-47E4-B664-20FF10338F8A}"/>
            </c:ext>
          </c:extLst>
        </c:ser>
        <c:ser>
          <c:idx val="3"/>
          <c:order val="3"/>
          <c:tx>
            <c:strRef>
              <c:f>Hoja2!$E$1:$E$2</c:f>
              <c:strCache>
                <c:ptCount val="1"/>
                <c:pt idx="0">
                  <c:v>59086934486</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Hoja2!$A$3:$A$11</c:f>
              <c:strCache>
                <c:ptCount val="8"/>
                <c:pt idx="0">
                  <c:v>ACCIÓN DE CUMPLIMIENTO</c:v>
                </c:pt>
                <c:pt idx="1">
                  <c:v>ACCIÓN DE TUTELA</c:v>
                </c:pt>
                <c:pt idx="2">
                  <c:v>ACCIÓN POPULAR</c:v>
                </c:pt>
                <c:pt idx="3">
                  <c:v>CONCILIACIÓN EXTRAJUDICIAL</c:v>
                </c:pt>
                <c:pt idx="4">
                  <c:v>CONTRACTUAL</c:v>
                </c:pt>
                <c:pt idx="5">
                  <c:v>EJECUTIVO</c:v>
                </c:pt>
                <c:pt idx="6">
                  <c:v>NULIDAD Y RESTABLECIMIENTO</c:v>
                </c:pt>
                <c:pt idx="7">
                  <c:v>REPARACION DIRECTA</c:v>
                </c:pt>
              </c:strCache>
            </c:strRef>
          </c:cat>
          <c:val>
            <c:numRef>
              <c:f>Hoja2!$E$3:$E$11</c:f>
              <c:numCache>
                <c:formatCode>General</c:formatCode>
                <c:ptCount val="8"/>
                <c:pt idx="7">
                  <c:v>45</c:v>
                </c:pt>
              </c:numCache>
            </c:numRef>
          </c:val>
          <c:extLst>
            <c:ext xmlns:c16="http://schemas.microsoft.com/office/drawing/2014/chart" uri="{C3380CC4-5D6E-409C-BE32-E72D297353CC}">
              <c16:uniqueId val="{00000003-A1C8-47E4-B664-20FF10338F8A}"/>
            </c:ext>
          </c:extLst>
        </c:ser>
        <c:ser>
          <c:idx val="4"/>
          <c:order val="4"/>
          <c:tx>
            <c:strRef>
              <c:f>Hoja2!$F$1:$F$2</c:f>
              <c:strCache>
                <c:ptCount val="1"/>
                <c:pt idx="0">
                  <c:v>172293864757</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Hoja2!$A$3:$A$11</c:f>
              <c:strCache>
                <c:ptCount val="8"/>
                <c:pt idx="0">
                  <c:v>ACCIÓN DE CUMPLIMIENTO</c:v>
                </c:pt>
                <c:pt idx="1">
                  <c:v>ACCIÓN DE TUTELA</c:v>
                </c:pt>
                <c:pt idx="2">
                  <c:v>ACCIÓN POPULAR</c:v>
                </c:pt>
                <c:pt idx="3">
                  <c:v>CONCILIACIÓN EXTRAJUDICIAL</c:v>
                </c:pt>
                <c:pt idx="4">
                  <c:v>CONTRACTUAL</c:v>
                </c:pt>
                <c:pt idx="5">
                  <c:v>EJECUTIVO</c:v>
                </c:pt>
                <c:pt idx="6">
                  <c:v>NULIDAD Y RESTABLECIMIENTO</c:v>
                </c:pt>
                <c:pt idx="7">
                  <c:v>REPARACION DIRECTA</c:v>
                </c:pt>
              </c:strCache>
            </c:strRef>
          </c:cat>
          <c:val>
            <c:numRef>
              <c:f>Hoja2!$F$3:$F$11</c:f>
              <c:numCache>
                <c:formatCode>General</c:formatCode>
                <c:ptCount val="8"/>
                <c:pt idx="3">
                  <c:v>99</c:v>
                </c:pt>
              </c:numCache>
            </c:numRef>
          </c:val>
          <c:extLst>
            <c:ext xmlns:c16="http://schemas.microsoft.com/office/drawing/2014/chart" uri="{C3380CC4-5D6E-409C-BE32-E72D297353CC}">
              <c16:uniqueId val="{00000004-A1C8-47E4-B664-20FF10338F8A}"/>
            </c:ext>
          </c:extLst>
        </c:ser>
        <c:ser>
          <c:idx val="5"/>
          <c:order val="5"/>
          <c:tx>
            <c:strRef>
              <c:f>Hoja2!$G$1:$G$2</c:f>
              <c:strCache>
                <c:ptCount val="1"/>
                <c:pt idx="0">
                  <c:v>-</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Hoja2!$A$3:$A$11</c:f>
              <c:strCache>
                <c:ptCount val="8"/>
                <c:pt idx="0">
                  <c:v>ACCIÓN DE CUMPLIMIENTO</c:v>
                </c:pt>
                <c:pt idx="1">
                  <c:v>ACCIÓN DE TUTELA</c:v>
                </c:pt>
                <c:pt idx="2">
                  <c:v>ACCIÓN POPULAR</c:v>
                </c:pt>
                <c:pt idx="3">
                  <c:v>CONCILIACIÓN EXTRAJUDICIAL</c:v>
                </c:pt>
                <c:pt idx="4">
                  <c:v>CONTRACTUAL</c:v>
                </c:pt>
                <c:pt idx="5">
                  <c:v>EJECUTIVO</c:v>
                </c:pt>
                <c:pt idx="6">
                  <c:v>NULIDAD Y RESTABLECIMIENTO</c:v>
                </c:pt>
                <c:pt idx="7">
                  <c:v>REPARACION DIRECTA</c:v>
                </c:pt>
              </c:strCache>
            </c:strRef>
          </c:cat>
          <c:val>
            <c:numRef>
              <c:f>Hoja2!$G$3:$G$11</c:f>
              <c:numCache>
                <c:formatCode>General</c:formatCode>
                <c:ptCount val="8"/>
                <c:pt idx="0">
                  <c:v>1</c:v>
                </c:pt>
                <c:pt idx="1">
                  <c:v>140</c:v>
                </c:pt>
                <c:pt idx="2">
                  <c:v>12</c:v>
                </c:pt>
              </c:numCache>
            </c:numRef>
          </c:val>
          <c:extLst>
            <c:ext xmlns:c16="http://schemas.microsoft.com/office/drawing/2014/chart" uri="{C3380CC4-5D6E-409C-BE32-E72D297353CC}">
              <c16:uniqueId val="{00000005-A1C8-47E4-B664-20FF10338F8A}"/>
            </c:ext>
          </c:extLst>
        </c:ser>
        <c:dLbls>
          <c:showLegendKey val="0"/>
          <c:showVal val="0"/>
          <c:showCatName val="0"/>
          <c:showSerName val="0"/>
          <c:showPercent val="0"/>
          <c:showBubbleSize val="0"/>
        </c:dLbls>
        <c:gapWidth val="219"/>
        <c:overlap val="-27"/>
        <c:axId val="572089064"/>
        <c:axId val="572089456"/>
      </c:barChart>
      <c:catAx>
        <c:axId val="5720890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s-CO"/>
          </a:p>
        </c:txPr>
        <c:crossAx val="572089456"/>
        <c:crosses val="autoZero"/>
        <c:auto val="1"/>
        <c:lblAlgn val="ctr"/>
        <c:lblOffset val="100"/>
        <c:noMultiLvlLbl val="0"/>
      </c:catAx>
      <c:valAx>
        <c:axId val="5720894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5720890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extLst>
    <c:ext xmlns:c14="http://schemas.microsoft.com/office/drawing/2007/8/2/chart" uri="{781A3756-C4B2-4CAC-9D66-4F8BD8637D16}">
      <c14:pivotOptions>
        <c14:dropZoneFilter val="1"/>
        <c14:dropZoneCategories val="1"/>
        <c14:dropZoneData val="1"/>
        <c14:dropZonesVisible val="1"/>
      </c14:pivotOptions>
    </c:ext>
  </c:extLst>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[Libro1]Hoja4!Tabla dinámica7</c:name>
    <c:fmtId val="-1"/>
  </c:pivotSource>
  <c:chart>
    <c:autoTitleDeleted val="0"/>
    <c:pivotFmts>
      <c:pivotFmt>
        <c:idx val="0"/>
        <c:spPr>
          <a:solidFill>
            <a:schemeClr val="accent1"/>
          </a:solidFill>
          <a:ln>
            <a:noFill/>
          </a:ln>
          <a:effectLst/>
        </c:spPr>
        <c:marker>
          <c:symbol val="none"/>
        </c:marker>
      </c:pivotFmt>
      <c:pivotFmt>
        <c:idx val="1"/>
        <c:spPr>
          <a:solidFill>
            <a:schemeClr val="accent1"/>
          </a:solidFill>
          <a:ln>
            <a:noFill/>
          </a:ln>
          <a:effectLst/>
        </c:spPr>
        <c:marker>
          <c:symbol val="none"/>
        </c:marker>
      </c:pivotFmt>
      <c:pivotFmt>
        <c:idx val="2"/>
        <c:spPr>
          <a:solidFill>
            <a:schemeClr val="accent1"/>
          </a:solidFill>
          <a:ln>
            <a:noFill/>
          </a:ln>
          <a:effectLst/>
        </c:spPr>
        <c:marker>
          <c:symbol val="none"/>
        </c:marker>
      </c:pivotFmt>
      <c:pivotFmt>
        <c:idx val="3"/>
        <c:spPr>
          <a:solidFill>
            <a:schemeClr val="accent1"/>
          </a:solidFill>
          <a:ln>
            <a:noFill/>
          </a:ln>
          <a:effectLst/>
        </c:spPr>
        <c:marker>
          <c:symbol val="none"/>
        </c:marker>
      </c:pivotFmt>
      <c:pivotFmt>
        <c:idx val="4"/>
        <c:spPr>
          <a:solidFill>
            <a:schemeClr val="accent1"/>
          </a:solidFill>
          <a:ln>
            <a:noFill/>
          </a:ln>
          <a:effectLst/>
        </c:spPr>
        <c:marker>
          <c:symbol val="none"/>
        </c:marker>
      </c:pivotFmt>
      <c:pivotFmt>
        <c:idx val="5"/>
        <c:spPr>
          <a:solidFill>
            <a:schemeClr val="accent1"/>
          </a:solidFill>
          <a:ln>
            <a:noFill/>
          </a:ln>
          <a:effectLst/>
        </c:spPr>
        <c:marker>
          <c:symbol val="none"/>
        </c:marker>
      </c:pivotFmt>
      <c:pivotFmt>
        <c:idx val="6"/>
        <c:spPr>
          <a:solidFill>
            <a:schemeClr val="accent1"/>
          </a:solidFill>
          <a:ln>
            <a:noFill/>
          </a:ln>
          <a:effectLst/>
        </c:spPr>
        <c:marker>
          <c:symbol val="none"/>
        </c:marker>
      </c:pivotFmt>
      <c:pivotFmt>
        <c:idx val="7"/>
        <c:spPr>
          <a:solidFill>
            <a:schemeClr val="accent1"/>
          </a:solidFill>
          <a:ln>
            <a:noFill/>
          </a:ln>
          <a:effectLst/>
        </c:spPr>
        <c:marker>
          <c:symbol val="none"/>
        </c:marker>
      </c:pivotFmt>
      <c:pivotFmt>
        <c:idx val="8"/>
        <c:spPr>
          <a:solidFill>
            <a:schemeClr val="accent1"/>
          </a:solidFill>
          <a:ln>
            <a:noFill/>
          </a:ln>
          <a:effectLst/>
        </c:spPr>
        <c:marker>
          <c:symbol val="none"/>
        </c:marker>
      </c:pivotFmt>
      <c:pivotFmt>
        <c:idx val="9"/>
        <c:spPr>
          <a:solidFill>
            <a:schemeClr val="accent1"/>
          </a:solidFill>
          <a:ln>
            <a:noFill/>
          </a:ln>
          <a:effectLst/>
        </c:spPr>
        <c:marker>
          <c:symbol val="none"/>
        </c:marker>
      </c:pivotFmt>
      <c:pivotFmt>
        <c:idx val="10"/>
        <c:spPr>
          <a:solidFill>
            <a:schemeClr val="accent1"/>
          </a:solidFill>
          <a:ln>
            <a:noFill/>
          </a:ln>
          <a:effectLst/>
        </c:spPr>
        <c:marker>
          <c:symbol val="none"/>
        </c:marker>
      </c:pivotFmt>
      <c:pivotFmt>
        <c:idx val="11"/>
        <c:spPr>
          <a:solidFill>
            <a:schemeClr val="accent1"/>
          </a:solidFill>
          <a:ln>
            <a:noFill/>
          </a:ln>
          <a:effectLst/>
        </c:spPr>
        <c:marker>
          <c:symbol val="none"/>
        </c:marker>
      </c:pivotFmt>
      <c:pivotFmt>
        <c:idx val="12"/>
        <c:spPr>
          <a:solidFill>
            <a:schemeClr val="accent1"/>
          </a:solidFill>
          <a:ln>
            <a:noFill/>
          </a:ln>
          <a:effectLst/>
        </c:spPr>
        <c:marker>
          <c:symbol val="none"/>
        </c:marker>
      </c:pivotFmt>
      <c:pivotFmt>
        <c:idx val="13"/>
        <c:spPr>
          <a:solidFill>
            <a:schemeClr val="accent1"/>
          </a:solidFill>
          <a:ln>
            <a:noFill/>
          </a:ln>
          <a:effectLst/>
        </c:spPr>
        <c:marker>
          <c:symbol val="none"/>
        </c:marker>
      </c:pivotFmt>
      <c:pivotFmt>
        <c:idx val="14"/>
        <c:spPr>
          <a:solidFill>
            <a:schemeClr val="accent1"/>
          </a:solidFill>
          <a:ln>
            <a:noFill/>
          </a:ln>
          <a:effectLst/>
        </c:spPr>
        <c:marker>
          <c:symbol val="none"/>
        </c:marker>
      </c:pivotFmt>
      <c:pivotFmt>
        <c:idx val="15"/>
        <c:spPr>
          <a:solidFill>
            <a:schemeClr val="accent1"/>
          </a:solidFill>
          <a:ln>
            <a:noFill/>
          </a:ln>
          <a:effectLst/>
        </c:spPr>
        <c:marker>
          <c:symbol val="none"/>
        </c:marker>
      </c:pivotFmt>
      <c:pivotFmt>
        <c:idx val="16"/>
        <c:spPr>
          <a:solidFill>
            <a:schemeClr val="accent1"/>
          </a:solidFill>
          <a:ln>
            <a:noFill/>
          </a:ln>
          <a:effectLst/>
        </c:spPr>
        <c:marker>
          <c:symbol val="none"/>
        </c:marker>
      </c:pivotFmt>
      <c:pivotFmt>
        <c:idx val="17"/>
        <c:spPr>
          <a:solidFill>
            <a:schemeClr val="accent1"/>
          </a:solidFill>
          <a:ln>
            <a:noFill/>
          </a:ln>
          <a:effectLst/>
        </c:spPr>
        <c:marker>
          <c:symbol val="none"/>
        </c:marker>
      </c:pivotFmt>
      <c:pivotFmt>
        <c:idx val="18"/>
        <c:spPr>
          <a:solidFill>
            <a:schemeClr val="accent1"/>
          </a:solidFill>
          <a:ln>
            <a:noFill/>
          </a:ln>
          <a:effectLst/>
        </c:spPr>
        <c:marker>
          <c:symbol val="none"/>
        </c:marker>
      </c:pivotFmt>
      <c:pivotFmt>
        <c:idx val="19"/>
        <c:spPr>
          <a:solidFill>
            <a:schemeClr val="accent1"/>
          </a:solidFill>
          <a:ln>
            <a:noFill/>
          </a:ln>
          <a:effectLst/>
        </c:spPr>
        <c:marker>
          <c:symbol val="none"/>
        </c:marker>
      </c:pivotFmt>
      <c:pivotFmt>
        <c:idx val="20"/>
        <c:spPr>
          <a:solidFill>
            <a:schemeClr val="accent1"/>
          </a:solidFill>
          <a:ln>
            <a:noFill/>
          </a:ln>
          <a:effectLst/>
        </c:spPr>
        <c:marker>
          <c:symbol val="none"/>
        </c:marker>
      </c:pivotFmt>
      <c:pivotFmt>
        <c:idx val="21"/>
        <c:spPr>
          <a:solidFill>
            <a:schemeClr val="accent1"/>
          </a:solidFill>
          <a:ln>
            <a:noFill/>
          </a:ln>
          <a:effectLst/>
        </c:spPr>
        <c:marker>
          <c:symbol val="none"/>
        </c:marker>
      </c:pivotFmt>
      <c:pivotFmt>
        <c:idx val="22"/>
        <c:spPr>
          <a:solidFill>
            <a:schemeClr val="accent1"/>
          </a:solidFill>
          <a:ln>
            <a:noFill/>
          </a:ln>
          <a:effectLst/>
        </c:spPr>
        <c:marker>
          <c:symbol val="none"/>
        </c:marker>
      </c:pivotFmt>
      <c:pivotFmt>
        <c:idx val="23"/>
        <c:spPr>
          <a:solidFill>
            <a:schemeClr val="accent1"/>
          </a:solidFill>
          <a:ln>
            <a:noFill/>
          </a:ln>
          <a:effectLst/>
        </c:spPr>
        <c:marker>
          <c:symbol val="none"/>
        </c:marker>
      </c:pivotFmt>
    </c:pivotFmts>
    <c:plotArea>
      <c:layout/>
      <c:barChart>
        <c:barDir val="col"/>
        <c:grouping val="clustered"/>
        <c:varyColors val="0"/>
        <c:ser>
          <c:idx val="0"/>
          <c:order val="0"/>
          <c:tx>
            <c:strRef>
              <c:f>Hoja4!$B$1:$B$2</c:f>
              <c:strCache>
                <c:ptCount val="1"/>
                <c:pt idx="0">
                  <c:v> $ -   </c:v>
                </c:pt>
              </c:strCache>
            </c:strRef>
          </c:tx>
          <c:spPr>
            <a:solidFill>
              <a:schemeClr val="accent1"/>
            </a:solidFill>
            <a:ln>
              <a:noFill/>
            </a:ln>
            <a:effectLst/>
          </c:spPr>
          <c:invertIfNegative val="0"/>
          <c:cat>
            <c:strRef>
              <c:f>Hoja4!$A$3:$A$11</c:f>
              <c:strCache>
                <c:ptCount val="8"/>
                <c:pt idx="0">
                  <c:v>ACCIÓN DE TUTELA</c:v>
                </c:pt>
                <c:pt idx="1">
                  <c:v>CIVIL EJECUTIVO</c:v>
                </c:pt>
                <c:pt idx="2">
                  <c:v>CONTRACTUAL</c:v>
                </c:pt>
                <c:pt idx="3">
                  <c:v>EJECUTIVO CONTRACTUAL</c:v>
                </c:pt>
                <c:pt idx="4">
                  <c:v>EJECUTIVO LABORAL</c:v>
                </c:pt>
                <c:pt idx="5">
                  <c:v>PROCESO PENAL LEY 906/2004 (INICIADO)</c:v>
                </c:pt>
                <c:pt idx="6">
                  <c:v>RESPONSABILIDAD CIVIL EXTRACONTRACTUAL</c:v>
                </c:pt>
                <c:pt idx="7">
                  <c:v>Total general</c:v>
                </c:pt>
              </c:strCache>
            </c:strRef>
          </c:cat>
          <c:val>
            <c:numRef>
              <c:f>Hoja4!$B$3:$B$11</c:f>
              <c:numCache>
                <c:formatCode>General</c:formatCode>
                <c:ptCount val="8"/>
                <c:pt idx="0">
                  <c:v>1</c:v>
                </c:pt>
                <c:pt idx="3">
                  <c:v>2</c:v>
                </c:pt>
                <c:pt idx="5">
                  <c:v>2</c:v>
                </c:pt>
                <c:pt idx="6">
                  <c:v>1</c:v>
                </c:pt>
              </c:numCache>
            </c:numRef>
          </c:val>
          <c:extLst>
            <c:ext xmlns:c16="http://schemas.microsoft.com/office/drawing/2014/chart" uri="{C3380CC4-5D6E-409C-BE32-E72D297353CC}">
              <c16:uniqueId val="{00000000-992E-4C88-9054-FA1D44DD0F81}"/>
            </c:ext>
          </c:extLst>
        </c:ser>
        <c:ser>
          <c:idx val="1"/>
          <c:order val="1"/>
          <c:tx>
            <c:strRef>
              <c:f>Hoja4!$C$1:$C$2</c:f>
              <c:strCache>
                <c:ptCount val="1"/>
                <c:pt idx="0">
                  <c:v> $ 8.250.000,00 </c:v>
                </c:pt>
              </c:strCache>
            </c:strRef>
          </c:tx>
          <c:spPr>
            <a:solidFill>
              <a:schemeClr val="accent2"/>
            </a:solidFill>
            <a:ln>
              <a:noFill/>
            </a:ln>
            <a:effectLst/>
          </c:spPr>
          <c:invertIfNegative val="0"/>
          <c:cat>
            <c:strRef>
              <c:f>Hoja4!$A$3:$A$11</c:f>
              <c:strCache>
                <c:ptCount val="8"/>
                <c:pt idx="0">
                  <c:v>ACCIÓN DE TUTELA</c:v>
                </c:pt>
                <c:pt idx="1">
                  <c:v>CIVIL EJECUTIVO</c:v>
                </c:pt>
                <c:pt idx="2">
                  <c:v>CONTRACTUAL</c:v>
                </c:pt>
                <c:pt idx="3">
                  <c:v>EJECUTIVO CONTRACTUAL</c:v>
                </c:pt>
                <c:pt idx="4">
                  <c:v>EJECUTIVO LABORAL</c:v>
                </c:pt>
                <c:pt idx="5">
                  <c:v>PROCESO PENAL LEY 906/2004 (INICIADO)</c:v>
                </c:pt>
                <c:pt idx="6">
                  <c:v>RESPONSABILIDAD CIVIL EXTRACONTRACTUAL</c:v>
                </c:pt>
                <c:pt idx="7">
                  <c:v>Total general</c:v>
                </c:pt>
              </c:strCache>
            </c:strRef>
          </c:cat>
          <c:val>
            <c:numRef>
              <c:f>Hoja4!$C$3:$C$11</c:f>
              <c:numCache>
                <c:formatCode>General</c:formatCode>
                <c:ptCount val="8"/>
                <c:pt idx="4">
                  <c:v>2</c:v>
                </c:pt>
              </c:numCache>
            </c:numRef>
          </c:val>
          <c:extLst>
            <c:ext xmlns:c16="http://schemas.microsoft.com/office/drawing/2014/chart" uri="{C3380CC4-5D6E-409C-BE32-E72D297353CC}">
              <c16:uniqueId val="{00000001-992E-4C88-9054-FA1D44DD0F81}"/>
            </c:ext>
          </c:extLst>
        </c:ser>
        <c:ser>
          <c:idx val="2"/>
          <c:order val="2"/>
          <c:tx>
            <c:strRef>
              <c:f>Hoja4!$D$1:$D$2</c:f>
              <c:strCache>
                <c:ptCount val="1"/>
                <c:pt idx="0">
                  <c:v> $ 26.544.000,00 </c:v>
                </c:pt>
              </c:strCache>
            </c:strRef>
          </c:tx>
          <c:spPr>
            <a:solidFill>
              <a:schemeClr val="accent3"/>
            </a:solidFill>
            <a:ln>
              <a:noFill/>
            </a:ln>
            <a:effectLst/>
          </c:spPr>
          <c:invertIfNegative val="0"/>
          <c:cat>
            <c:strRef>
              <c:f>Hoja4!$A$3:$A$11</c:f>
              <c:strCache>
                <c:ptCount val="8"/>
                <c:pt idx="0">
                  <c:v>ACCIÓN DE TUTELA</c:v>
                </c:pt>
                <c:pt idx="1">
                  <c:v>CIVIL EJECUTIVO</c:v>
                </c:pt>
                <c:pt idx="2">
                  <c:v>CONTRACTUAL</c:v>
                </c:pt>
                <c:pt idx="3">
                  <c:v>EJECUTIVO CONTRACTUAL</c:v>
                </c:pt>
                <c:pt idx="4">
                  <c:v>EJECUTIVO LABORAL</c:v>
                </c:pt>
                <c:pt idx="5">
                  <c:v>PROCESO PENAL LEY 906/2004 (INICIADO)</c:v>
                </c:pt>
                <c:pt idx="6">
                  <c:v>RESPONSABILIDAD CIVIL EXTRACONTRACTUAL</c:v>
                </c:pt>
                <c:pt idx="7">
                  <c:v>Total general</c:v>
                </c:pt>
              </c:strCache>
            </c:strRef>
          </c:cat>
          <c:val>
            <c:numRef>
              <c:f>Hoja4!$D$3:$D$11</c:f>
              <c:numCache>
                <c:formatCode>General</c:formatCode>
                <c:ptCount val="8"/>
                <c:pt idx="1">
                  <c:v>1</c:v>
                </c:pt>
              </c:numCache>
            </c:numRef>
          </c:val>
          <c:extLst>
            <c:ext xmlns:c16="http://schemas.microsoft.com/office/drawing/2014/chart" uri="{C3380CC4-5D6E-409C-BE32-E72D297353CC}">
              <c16:uniqueId val="{00000002-992E-4C88-9054-FA1D44DD0F81}"/>
            </c:ext>
          </c:extLst>
        </c:ser>
        <c:ser>
          <c:idx val="3"/>
          <c:order val="3"/>
          <c:tx>
            <c:strRef>
              <c:f>Hoja4!$E$1:$E$2</c:f>
              <c:strCache>
                <c:ptCount val="1"/>
                <c:pt idx="0">
                  <c:v> $ 279.770.748,00 </c:v>
                </c:pt>
              </c:strCache>
            </c:strRef>
          </c:tx>
          <c:spPr>
            <a:solidFill>
              <a:schemeClr val="accent4"/>
            </a:solidFill>
            <a:ln>
              <a:noFill/>
            </a:ln>
            <a:effectLst/>
          </c:spPr>
          <c:invertIfNegative val="0"/>
          <c:cat>
            <c:strRef>
              <c:f>Hoja4!$A$3:$A$11</c:f>
              <c:strCache>
                <c:ptCount val="8"/>
                <c:pt idx="0">
                  <c:v>ACCIÓN DE TUTELA</c:v>
                </c:pt>
                <c:pt idx="1">
                  <c:v>CIVIL EJECUTIVO</c:v>
                </c:pt>
                <c:pt idx="2">
                  <c:v>CONTRACTUAL</c:v>
                </c:pt>
                <c:pt idx="3">
                  <c:v>EJECUTIVO CONTRACTUAL</c:v>
                </c:pt>
                <c:pt idx="4">
                  <c:v>EJECUTIVO LABORAL</c:v>
                </c:pt>
                <c:pt idx="5">
                  <c:v>PROCESO PENAL LEY 906/2004 (INICIADO)</c:v>
                </c:pt>
                <c:pt idx="6">
                  <c:v>RESPONSABILIDAD CIVIL EXTRACONTRACTUAL</c:v>
                </c:pt>
                <c:pt idx="7">
                  <c:v>Total general</c:v>
                </c:pt>
              </c:strCache>
            </c:strRef>
          </c:cat>
          <c:val>
            <c:numRef>
              <c:f>Hoja4!$E$3:$E$11</c:f>
              <c:numCache>
                <c:formatCode>General</c:formatCode>
                <c:ptCount val="8"/>
                <c:pt idx="2">
                  <c:v>5</c:v>
                </c:pt>
              </c:numCache>
            </c:numRef>
          </c:val>
          <c:extLst>
            <c:ext xmlns:c16="http://schemas.microsoft.com/office/drawing/2014/chart" uri="{C3380CC4-5D6E-409C-BE32-E72D297353CC}">
              <c16:uniqueId val="{00000003-992E-4C88-9054-FA1D44DD0F81}"/>
            </c:ext>
          </c:extLst>
        </c:ser>
        <c:ser>
          <c:idx val="4"/>
          <c:order val="4"/>
          <c:tx>
            <c:strRef>
              <c:f>Hoja4!$F$1:$F$2</c:f>
              <c:strCache>
                <c:ptCount val="1"/>
                <c:pt idx="0">
                  <c:v> $ 314.564.748,00 </c:v>
                </c:pt>
              </c:strCache>
            </c:strRef>
          </c:tx>
          <c:spPr>
            <a:solidFill>
              <a:schemeClr val="accent5"/>
            </a:solidFill>
            <a:ln>
              <a:noFill/>
            </a:ln>
            <a:effectLst/>
          </c:spPr>
          <c:invertIfNegative val="0"/>
          <c:cat>
            <c:strRef>
              <c:f>Hoja4!$A$3:$A$11</c:f>
              <c:strCache>
                <c:ptCount val="8"/>
                <c:pt idx="0">
                  <c:v>ACCIÓN DE TUTELA</c:v>
                </c:pt>
                <c:pt idx="1">
                  <c:v>CIVIL EJECUTIVO</c:v>
                </c:pt>
                <c:pt idx="2">
                  <c:v>CONTRACTUAL</c:v>
                </c:pt>
                <c:pt idx="3">
                  <c:v>EJECUTIVO CONTRACTUAL</c:v>
                </c:pt>
                <c:pt idx="4">
                  <c:v>EJECUTIVO LABORAL</c:v>
                </c:pt>
                <c:pt idx="5">
                  <c:v>PROCESO PENAL LEY 906/2004 (INICIADO)</c:v>
                </c:pt>
                <c:pt idx="6">
                  <c:v>RESPONSABILIDAD CIVIL EXTRACONTRACTUAL</c:v>
                </c:pt>
                <c:pt idx="7">
                  <c:v>Total general</c:v>
                </c:pt>
              </c:strCache>
            </c:strRef>
          </c:cat>
          <c:val>
            <c:numRef>
              <c:f>Hoja4!$F$3:$F$11</c:f>
              <c:numCache>
                <c:formatCode>General</c:formatCode>
                <c:ptCount val="8"/>
                <c:pt idx="7">
                  <c:v>14</c:v>
                </c:pt>
              </c:numCache>
            </c:numRef>
          </c:val>
          <c:extLst>
            <c:ext xmlns:c16="http://schemas.microsoft.com/office/drawing/2014/chart" uri="{C3380CC4-5D6E-409C-BE32-E72D297353CC}">
              <c16:uniqueId val="{00000004-992E-4C88-9054-FA1D44DD0F81}"/>
            </c:ext>
          </c:extLst>
        </c:ser>
        <c:dLbls>
          <c:showLegendKey val="0"/>
          <c:showVal val="0"/>
          <c:showCatName val="0"/>
          <c:showSerName val="0"/>
          <c:showPercent val="0"/>
          <c:showBubbleSize val="0"/>
        </c:dLbls>
        <c:gapWidth val="219"/>
        <c:overlap val="-27"/>
        <c:axId val="573431576"/>
        <c:axId val="573431968"/>
      </c:barChart>
      <c:catAx>
        <c:axId val="5734315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573431968"/>
        <c:crosses val="autoZero"/>
        <c:auto val="1"/>
        <c:lblAlgn val="ctr"/>
        <c:lblOffset val="100"/>
        <c:noMultiLvlLbl val="0"/>
      </c:catAx>
      <c:valAx>
        <c:axId val="5734319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573431576"/>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[Libro1]Hoja6!Tabla dinámica8</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sz="1800" b="1">
                <a:effectLst/>
              </a:rPr>
              <a:t>DTGC – Sanciones impuestas 2018 </a:t>
            </a:r>
            <a:endParaRPr lang="es-CO" sz="18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ivotFmts>
      <c:pivotFmt>
        <c:idx val="0"/>
        <c:spPr>
          <a:solidFill>
            <a:schemeClr val="accent1"/>
          </a:solidFill>
          <a:ln>
            <a:noFill/>
          </a:ln>
          <a:effectLst/>
        </c:spPr>
        <c:marker>
          <c:symbol val="none"/>
        </c:marker>
      </c:pivotFmt>
      <c:pivotFmt>
        <c:idx val="1"/>
        <c:spPr>
          <a:solidFill>
            <a:schemeClr val="accent1"/>
          </a:solidFill>
          <a:ln>
            <a:noFill/>
          </a:ln>
          <a:effectLst/>
        </c:spPr>
        <c:marker>
          <c:symbol val="none"/>
        </c:marker>
      </c:pivotFmt>
      <c:pivotFmt>
        <c:idx val="2"/>
        <c:spPr>
          <a:solidFill>
            <a:schemeClr val="accent1"/>
          </a:solidFill>
          <a:ln>
            <a:noFill/>
          </a:ln>
          <a:effectLst/>
        </c:spPr>
        <c:marker>
          <c:symbol val="none"/>
        </c:marker>
      </c:pivotFmt>
      <c:pivotFmt>
        <c:idx val="3"/>
        <c:spPr>
          <a:solidFill>
            <a:schemeClr val="accent1"/>
          </a:solidFill>
          <a:ln>
            <a:noFill/>
          </a:ln>
          <a:effectLst/>
        </c:spPr>
        <c:marker>
          <c:symbol val="none"/>
        </c:marker>
      </c:pivotFmt>
      <c:pivotFmt>
        <c:idx val="4"/>
        <c:spPr>
          <a:solidFill>
            <a:schemeClr val="accent1"/>
          </a:solidFill>
          <a:ln>
            <a:noFill/>
          </a:ln>
          <a:effectLst/>
        </c:spPr>
        <c:marker>
          <c:symbol val="none"/>
        </c:marker>
      </c:pivotFmt>
      <c:pivotFmt>
        <c:idx val="5"/>
        <c:spPr>
          <a:solidFill>
            <a:schemeClr val="accent1"/>
          </a:solidFill>
          <a:ln>
            <a:noFill/>
          </a:ln>
          <a:effectLst/>
        </c:spPr>
        <c:marker>
          <c:symbol val="none"/>
        </c:marker>
      </c:pivotFmt>
      <c:pivotFmt>
        <c:idx val="6"/>
        <c:spPr>
          <a:solidFill>
            <a:schemeClr val="accent1"/>
          </a:solidFill>
          <a:ln>
            <a:noFill/>
          </a:ln>
          <a:effectLst/>
        </c:spPr>
        <c:marker>
          <c:symbol val="none"/>
        </c:marker>
      </c:pivotFmt>
      <c:pivotFmt>
        <c:idx val="7"/>
        <c:spPr>
          <a:solidFill>
            <a:schemeClr val="accent1"/>
          </a:solidFill>
          <a:ln>
            <a:noFill/>
          </a:ln>
          <a:effectLst/>
        </c:spPr>
        <c:marker>
          <c:symbol val="none"/>
        </c:marker>
      </c:pivotFmt>
      <c:pivotFmt>
        <c:idx val="8"/>
        <c:spPr>
          <a:solidFill>
            <a:schemeClr val="accent1"/>
          </a:solidFill>
          <a:ln>
            <a:noFill/>
          </a:ln>
          <a:effectLst/>
        </c:spPr>
        <c:marker>
          <c:symbol val="none"/>
        </c:marker>
      </c:pivotFmt>
    </c:pivotFmts>
    <c:plotArea>
      <c:layout>
        <c:manualLayout>
          <c:layoutTarget val="inner"/>
          <c:xMode val="edge"/>
          <c:yMode val="edge"/>
          <c:x val="5.6826120350148626E-2"/>
          <c:y val="0.24476633129192185"/>
          <c:w val="0.79045146094290575"/>
          <c:h val="0.59792906095071452"/>
        </c:manualLayout>
      </c:layout>
      <c:barChart>
        <c:barDir val="col"/>
        <c:grouping val="clustered"/>
        <c:varyColors val="0"/>
        <c:ser>
          <c:idx val="0"/>
          <c:order val="0"/>
          <c:tx>
            <c:strRef>
              <c:f>Hoja6!$B$1:$B$2</c:f>
              <c:strCache>
                <c:ptCount val="1"/>
                <c:pt idx="0">
                  <c:v> $ 1.565.059.788,43 </c:v>
                </c:pt>
              </c:strCache>
            </c:strRef>
          </c:tx>
          <c:spPr>
            <a:solidFill>
              <a:schemeClr val="accent1"/>
            </a:solidFill>
            <a:ln>
              <a:noFill/>
            </a:ln>
            <a:effectLst/>
          </c:spPr>
          <c:invertIfNegative val="0"/>
          <c:cat>
            <c:strRef>
              <c:f>Hoja6!$A$3:$A$6</c:f>
              <c:strCache>
                <c:ptCount val="3"/>
                <c:pt idx="0">
                  <c:v>CADUCIDAD </c:v>
                </c:pt>
                <c:pt idx="1">
                  <c:v>CLÁUSULA PENAL</c:v>
                </c:pt>
                <c:pt idx="2">
                  <c:v>MULTA</c:v>
                </c:pt>
              </c:strCache>
            </c:strRef>
          </c:cat>
          <c:val>
            <c:numRef>
              <c:f>Hoja6!$B$3:$B$6</c:f>
              <c:numCache>
                <c:formatCode>General</c:formatCode>
                <c:ptCount val="3"/>
                <c:pt idx="0">
                  <c:v>1</c:v>
                </c:pt>
              </c:numCache>
            </c:numRef>
          </c:val>
          <c:extLst>
            <c:ext xmlns:c16="http://schemas.microsoft.com/office/drawing/2014/chart" uri="{C3380CC4-5D6E-409C-BE32-E72D297353CC}">
              <c16:uniqueId val="{00000000-49F5-4EBF-8268-B6DA96476C5E}"/>
            </c:ext>
          </c:extLst>
        </c:ser>
        <c:ser>
          <c:idx val="1"/>
          <c:order val="1"/>
          <c:tx>
            <c:strRef>
              <c:f>Hoja6!$C$1:$C$2</c:f>
              <c:strCache>
                <c:ptCount val="1"/>
                <c:pt idx="0">
                  <c:v> $ 1.586.169.176,00 </c:v>
                </c:pt>
              </c:strCache>
            </c:strRef>
          </c:tx>
          <c:spPr>
            <a:solidFill>
              <a:schemeClr val="accent2"/>
            </a:solidFill>
            <a:ln>
              <a:noFill/>
            </a:ln>
            <a:effectLst/>
          </c:spPr>
          <c:invertIfNegative val="0"/>
          <c:cat>
            <c:strRef>
              <c:f>Hoja6!$A$3:$A$6</c:f>
              <c:strCache>
                <c:ptCount val="3"/>
                <c:pt idx="0">
                  <c:v>CADUCIDAD </c:v>
                </c:pt>
                <c:pt idx="1">
                  <c:v>CLÁUSULA PENAL</c:v>
                </c:pt>
                <c:pt idx="2">
                  <c:v>MULTA</c:v>
                </c:pt>
              </c:strCache>
            </c:strRef>
          </c:cat>
          <c:val>
            <c:numRef>
              <c:f>Hoja6!$C$3:$C$6</c:f>
              <c:numCache>
                <c:formatCode>General</c:formatCode>
                <c:ptCount val="3"/>
                <c:pt idx="2">
                  <c:v>4</c:v>
                </c:pt>
              </c:numCache>
            </c:numRef>
          </c:val>
          <c:extLst>
            <c:ext xmlns:c16="http://schemas.microsoft.com/office/drawing/2014/chart" uri="{C3380CC4-5D6E-409C-BE32-E72D297353CC}">
              <c16:uniqueId val="{00000001-49F5-4EBF-8268-B6DA96476C5E}"/>
            </c:ext>
          </c:extLst>
        </c:ser>
        <c:ser>
          <c:idx val="2"/>
          <c:order val="2"/>
          <c:tx>
            <c:strRef>
              <c:f>Hoja6!$D$1:$D$2</c:f>
              <c:strCache>
                <c:ptCount val="1"/>
                <c:pt idx="0">
                  <c:v> $ 2.437.276.685,36 </c:v>
                </c:pt>
              </c:strCache>
            </c:strRef>
          </c:tx>
          <c:spPr>
            <a:solidFill>
              <a:schemeClr val="accent3"/>
            </a:solidFill>
            <a:ln>
              <a:noFill/>
            </a:ln>
            <a:effectLst/>
          </c:spPr>
          <c:invertIfNegative val="0"/>
          <c:cat>
            <c:strRef>
              <c:f>Hoja6!$A$3:$A$6</c:f>
              <c:strCache>
                <c:ptCount val="3"/>
                <c:pt idx="0">
                  <c:v>CADUCIDAD </c:v>
                </c:pt>
                <c:pt idx="1">
                  <c:v>CLÁUSULA PENAL</c:v>
                </c:pt>
                <c:pt idx="2">
                  <c:v>MULTA</c:v>
                </c:pt>
              </c:strCache>
            </c:strRef>
          </c:cat>
          <c:val>
            <c:numRef>
              <c:f>Hoja6!$D$3:$D$6</c:f>
              <c:numCache>
                <c:formatCode>General</c:formatCode>
                <c:ptCount val="3"/>
                <c:pt idx="1">
                  <c:v>4</c:v>
                </c:pt>
              </c:numCache>
            </c:numRef>
          </c:val>
          <c:extLst>
            <c:ext xmlns:c16="http://schemas.microsoft.com/office/drawing/2014/chart" uri="{C3380CC4-5D6E-409C-BE32-E72D297353CC}">
              <c16:uniqueId val="{00000002-49F5-4EBF-8268-B6DA96476C5E}"/>
            </c:ext>
          </c:extLst>
        </c:ser>
        <c:dLbls>
          <c:showLegendKey val="0"/>
          <c:showVal val="0"/>
          <c:showCatName val="0"/>
          <c:showSerName val="0"/>
          <c:showPercent val="0"/>
          <c:showBubbleSize val="0"/>
        </c:dLbls>
        <c:gapWidth val="219"/>
        <c:overlap val="-27"/>
        <c:axId val="573432752"/>
        <c:axId val="573418848"/>
      </c:barChart>
      <c:catAx>
        <c:axId val="5734327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573418848"/>
        <c:crosses val="autoZero"/>
        <c:auto val="1"/>
        <c:lblAlgn val="ctr"/>
        <c:lblOffset val="100"/>
        <c:noMultiLvlLbl val="0"/>
      </c:catAx>
      <c:valAx>
        <c:axId val="5734188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573432752"/>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467BA6-4713-45C1-B2E2-F8D274F390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116</Pages>
  <Words>47386</Words>
  <Characters>260628</Characters>
  <Application>Microsoft Office Word</Application>
  <DocSecurity>0</DocSecurity>
  <Lines>2171</Lines>
  <Paragraphs>614</Paragraphs>
  <ScaleCrop>false</ScaleCrop>
  <HeadingPairs>
    <vt:vector size="2" baseType="variant">
      <vt:variant>
        <vt:lpstr>Título</vt:lpstr>
      </vt:variant>
      <vt:variant>
        <vt:i4>1</vt:i4>
      </vt:variant>
    </vt:vector>
  </HeadingPairs>
  <TitlesOfParts>
    <vt:vector size="1" baseType="lpstr">
      <vt:lpstr>Hoa:</vt:lpstr>
    </vt:vector>
  </TitlesOfParts>
  <Company>Dark</Company>
  <LinksUpToDate>false</LinksUpToDate>
  <CharactersWithSpaces>307400</CharactersWithSpaces>
  <SharedDoc>false</SharedDoc>
  <HLinks>
    <vt:vector size="462" baseType="variant">
      <vt:variant>
        <vt:i4>1114165</vt:i4>
      </vt:variant>
      <vt:variant>
        <vt:i4>458</vt:i4>
      </vt:variant>
      <vt:variant>
        <vt:i4>0</vt:i4>
      </vt:variant>
      <vt:variant>
        <vt:i4>5</vt:i4>
      </vt:variant>
      <vt:variant>
        <vt:lpwstr/>
      </vt:variant>
      <vt:variant>
        <vt:lpwstr>_Toc391239446</vt:lpwstr>
      </vt:variant>
      <vt:variant>
        <vt:i4>1114165</vt:i4>
      </vt:variant>
      <vt:variant>
        <vt:i4>452</vt:i4>
      </vt:variant>
      <vt:variant>
        <vt:i4>0</vt:i4>
      </vt:variant>
      <vt:variant>
        <vt:i4>5</vt:i4>
      </vt:variant>
      <vt:variant>
        <vt:lpwstr/>
      </vt:variant>
      <vt:variant>
        <vt:lpwstr>_Toc391239445</vt:lpwstr>
      </vt:variant>
      <vt:variant>
        <vt:i4>1114165</vt:i4>
      </vt:variant>
      <vt:variant>
        <vt:i4>446</vt:i4>
      </vt:variant>
      <vt:variant>
        <vt:i4>0</vt:i4>
      </vt:variant>
      <vt:variant>
        <vt:i4>5</vt:i4>
      </vt:variant>
      <vt:variant>
        <vt:lpwstr/>
      </vt:variant>
      <vt:variant>
        <vt:lpwstr>_Toc391239444</vt:lpwstr>
      </vt:variant>
      <vt:variant>
        <vt:i4>1114165</vt:i4>
      </vt:variant>
      <vt:variant>
        <vt:i4>440</vt:i4>
      </vt:variant>
      <vt:variant>
        <vt:i4>0</vt:i4>
      </vt:variant>
      <vt:variant>
        <vt:i4>5</vt:i4>
      </vt:variant>
      <vt:variant>
        <vt:lpwstr/>
      </vt:variant>
      <vt:variant>
        <vt:lpwstr>_Toc391239443</vt:lpwstr>
      </vt:variant>
      <vt:variant>
        <vt:i4>1114165</vt:i4>
      </vt:variant>
      <vt:variant>
        <vt:i4>434</vt:i4>
      </vt:variant>
      <vt:variant>
        <vt:i4>0</vt:i4>
      </vt:variant>
      <vt:variant>
        <vt:i4>5</vt:i4>
      </vt:variant>
      <vt:variant>
        <vt:lpwstr/>
      </vt:variant>
      <vt:variant>
        <vt:lpwstr>_Toc391239442</vt:lpwstr>
      </vt:variant>
      <vt:variant>
        <vt:i4>1114165</vt:i4>
      </vt:variant>
      <vt:variant>
        <vt:i4>428</vt:i4>
      </vt:variant>
      <vt:variant>
        <vt:i4>0</vt:i4>
      </vt:variant>
      <vt:variant>
        <vt:i4>5</vt:i4>
      </vt:variant>
      <vt:variant>
        <vt:lpwstr/>
      </vt:variant>
      <vt:variant>
        <vt:lpwstr>_Toc391239441</vt:lpwstr>
      </vt:variant>
      <vt:variant>
        <vt:i4>1114165</vt:i4>
      </vt:variant>
      <vt:variant>
        <vt:i4>422</vt:i4>
      </vt:variant>
      <vt:variant>
        <vt:i4>0</vt:i4>
      </vt:variant>
      <vt:variant>
        <vt:i4>5</vt:i4>
      </vt:variant>
      <vt:variant>
        <vt:lpwstr/>
      </vt:variant>
      <vt:variant>
        <vt:lpwstr>_Toc391239440</vt:lpwstr>
      </vt:variant>
      <vt:variant>
        <vt:i4>1441845</vt:i4>
      </vt:variant>
      <vt:variant>
        <vt:i4>416</vt:i4>
      </vt:variant>
      <vt:variant>
        <vt:i4>0</vt:i4>
      </vt:variant>
      <vt:variant>
        <vt:i4>5</vt:i4>
      </vt:variant>
      <vt:variant>
        <vt:lpwstr/>
      </vt:variant>
      <vt:variant>
        <vt:lpwstr>_Toc391239439</vt:lpwstr>
      </vt:variant>
      <vt:variant>
        <vt:i4>1441845</vt:i4>
      </vt:variant>
      <vt:variant>
        <vt:i4>410</vt:i4>
      </vt:variant>
      <vt:variant>
        <vt:i4>0</vt:i4>
      </vt:variant>
      <vt:variant>
        <vt:i4>5</vt:i4>
      </vt:variant>
      <vt:variant>
        <vt:lpwstr/>
      </vt:variant>
      <vt:variant>
        <vt:lpwstr>_Toc391239438</vt:lpwstr>
      </vt:variant>
      <vt:variant>
        <vt:i4>1441845</vt:i4>
      </vt:variant>
      <vt:variant>
        <vt:i4>404</vt:i4>
      </vt:variant>
      <vt:variant>
        <vt:i4>0</vt:i4>
      </vt:variant>
      <vt:variant>
        <vt:i4>5</vt:i4>
      </vt:variant>
      <vt:variant>
        <vt:lpwstr/>
      </vt:variant>
      <vt:variant>
        <vt:lpwstr>_Toc391239437</vt:lpwstr>
      </vt:variant>
      <vt:variant>
        <vt:i4>1441845</vt:i4>
      </vt:variant>
      <vt:variant>
        <vt:i4>398</vt:i4>
      </vt:variant>
      <vt:variant>
        <vt:i4>0</vt:i4>
      </vt:variant>
      <vt:variant>
        <vt:i4>5</vt:i4>
      </vt:variant>
      <vt:variant>
        <vt:lpwstr/>
      </vt:variant>
      <vt:variant>
        <vt:lpwstr>_Toc391239436</vt:lpwstr>
      </vt:variant>
      <vt:variant>
        <vt:i4>1441845</vt:i4>
      </vt:variant>
      <vt:variant>
        <vt:i4>392</vt:i4>
      </vt:variant>
      <vt:variant>
        <vt:i4>0</vt:i4>
      </vt:variant>
      <vt:variant>
        <vt:i4>5</vt:i4>
      </vt:variant>
      <vt:variant>
        <vt:lpwstr/>
      </vt:variant>
      <vt:variant>
        <vt:lpwstr>_Toc391239435</vt:lpwstr>
      </vt:variant>
      <vt:variant>
        <vt:i4>1441845</vt:i4>
      </vt:variant>
      <vt:variant>
        <vt:i4>386</vt:i4>
      </vt:variant>
      <vt:variant>
        <vt:i4>0</vt:i4>
      </vt:variant>
      <vt:variant>
        <vt:i4>5</vt:i4>
      </vt:variant>
      <vt:variant>
        <vt:lpwstr/>
      </vt:variant>
      <vt:variant>
        <vt:lpwstr>_Toc391239434</vt:lpwstr>
      </vt:variant>
      <vt:variant>
        <vt:i4>1441845</vt:i4>
      </vt:variant>
      <vt:variant>
        <vt:i4>380</vt:i4>
      </vt:variant>
      <vt:variant>
        <vt:i4>0</vt:i4>
      </vt:variant>
      <vt:variant>
        <vt:i4>5</vt:i4>
      </vt:variant>
      <vt:variant>
        <vt:lpwstr/>
      </vt:variant>
      <vt:variant>
        <vt:lpwstr>_Toc391239433</vt:lpwstr>
      </vt:variant>
      <vt:variant>
        <vt:i4>1441845</vt:i4>
      </vt:variant>
      <vt:variant>
        <vt:i4>374</vt:i4>
      </vt:variant>
      <vt:variant>
        <vt:i4>0</vt:i4>
      </vt:variant>
      <vt:variant>
        <vt:i4>5</vt:i4>
      </vt:variant>
      <vt:variant>
        <vt:lpwstr/>
      </vt:variant>
      <vt:variant>
        <vt:lpwstr>_Toc391239432</vt:lpwstr>
      </vt:variant>
      <vt:variant>
        <vt:i4>1441845</vt:i4>
      </vt:variant>
      <vt:variant>
        <vt:i4>368</vt:i4>
      </vt:variant>
      <vt:variant>
        <vt:i4>0</vt:i4>
      </vt:variant>
      <vt:variant>
        <vt:i4>5</vt:i4>
      </vt:variant>
      <vt:variant>
        <vt:lpwstr/>
      </vt:variant>
      <vt:variant>
        <vt:lpwstr>_Toc391239431</vt:lpwstr>
      </vt:variant>
      <vt:variant>
        <vt:i4>1441845</vt:i4>
      </vt:variant>
      <vt:variant>
        <vt:i4>362</vt:i4>
      </vt:variant>
      <vt:variant>
        <vt:i4>0</vt:i4>
      </vt:variant>
      <vt:variant>
        <vt:i4>5</vt:i4>
      </vt:variant>
      <vt:variant>
        <vt:lpwstr/>
      </vt:variant>
      <vt:variant>
        <vt:lpwstr>_Toc391239430</vt:lpwstr>
      </vt:variant>
      <vt:variant>
        <vt:i4>1507381</vt:i4>
      </vt:variant>
      <vt:variant>
        <vt:i4>356</vt:i4>
      </vt:variant>
      <vt:variant>
        <vt:i4>0</vt:i4>
      </vt:variant>
      <vt:variant>
        <vt:i4>5</vt:i4>
      </vt:variant>
      <vt:variant>
        <vt:lpwstr/>
      </vt:variant>
      <vt:variant>
        <vt:lpwstr>_Toc391239429</vt:lpwstr>
      </vt:variant>
      <vt:variant>
        <vt:i4>1507381</vt:i4>
      </vt:variant>
      <vt:variant>
        <vt:i4>350</vt:i4>
      </vt:variant>
      <vt:variant>
        <vt:i4>0</vt:i4>
      </vt:variant>
      <vt:variant>
        <vt:i4>5</vt:i4>
      </vt:variant>
      <vt:variant>
        <vt:lpwstr/>
      </vt:variant>
      <vt:variant>
        <vt:lpwstr>_Toc391239428</vt:lpwstr>
      </vt:variant>
      <vt:variant>
        <vt:i4>1507381</vt:i4>
      </vt:variant>
      <vt:variant>
        <vt:i4>344</vt:i4>
      </vt:variant>
      <vt:variant>
        <vt:i4>0</vt:i4>
      </vt:variant>
      <vt:variant>
        <vt:i4>5</vt:i4>
      </vt:variant>
      <vt:variant>
        <vt:lpwstr/>
      </vt:variant>
      <vt:variant>
        <vt:lpwstr>_Toc391239427</vt:lpwstr>
      </vt:variant>
      <vt:variant>
        <vt:i4>1507381</vt:i4>
      </vt:variant>
      <vt:variant>
        <vt:i4>338</vt:i4>
      </vt:variant>
      <vt:variant>
        <vt:i4>0</vt:i4>
      </vt:variant>
      <vt:variant>
        <vt:i4>5</vt:i4>
      </vt:variant>
      <vt:variant>
        <vt:lpwstr/>
      </vt:variant>
      <vt:variant>
        <vt:lpwstr>_Toc391239426</vt:lpwstr>
      </vt:variant>
      <vt:variant>
        <vt:i4>1507381</vt:i4>
      </vt:variant>
      <vt:variant>
        <vt:i4>332</vt:i4>
      </vt:variant>
      <vt:variant>
        <vt:i4>0</vt:i4>
      </vt:variant>
      <vt:variant>
        <vt:i4>5</vt:i4>
      </vt:variant>
      <vt:variant>
        <vt:lpwstr/>
      </vt:variant>
      <vt:variant>
        <vt:lpwstr>_Toc391239425</vt:lpwstr>
      </vt:variant>
      <vt:variant>
        <vt:i4>1507381</vt:i4>
      </vt:variant>
      <vt:variant>
        <vt:i4>326</vt:i4>
      </vt:variant>
      <vt:variant>
        <vt:i4>0</vt:i4>
      </vt:variant>
      <vt:variant>
        <vt:i4>5</vt:i4>
      </vt:variant>
      <vt:variant>
        <vt:lpwstr/>
      </vt:variant>
      <vt:variant>
        <vt:lpwstr>_Toc391239424</vt:lpwstr>
      </vt:variant>
      <vt:variant>
        <vt:i4>1507381</vt:i4>
      </vt:variant>
      <vt:variant>
        <vt:i4>320</vt:i4>
      </vt:variant>
      <vt:variant>
        <vt:i4>0</vt:i4>
      </vt:variant>
      <vt:variant>
        <vt:i4>5</vt:i4>
      </vt:variant>
      <vt:variant>
        <vt:lpwstr/>
      </vt:variant>
      <vt:variant>
        <vt:lpwstr>_Toc391239423</vt:lpwstr>
      </vt:variant>
      <vt:variant>
        <vt:i4>1507381</vt:i4>
      </vt:variant>
      <vt:variant>
        <vt:i4>314</vt:i4>
      </vt:variant>
      <vt:variant>
        <vt:i4>0</vt:i4>
      </vt:variant>
      <vt:variant>
        <vt:i4>5</vt:i4>
      </vt:variant>
      <vt:variant>
        <vt:lpwstr/>
      </vt:variant>
      <vt:variant>
        <vt:lpwstr>_Toc391239422</vt:lpwstr>
      </vt:variant>
      <vt:variant>
        <vt:i4>1507381</vt:i4>
      </vt:variant>
      <vt:variant>
        <vt:i4>308</vt:i4>
      </vt:variant>
      <vt:variant>
        <vt:i4>0</vt:i4>
      </vt:variant>
      <vt:variant>
        <vt:i4>5</vt:i4>
      </vt:variant>
      <vt:variant>
        <vt:lpwstr/>
      </vt:variant>
      <vt:variant>
        <vt:lpwstr>_Toc391239421</vt:lpwstr>
      </vt:variant>
      <vt:variant>
        <vt:i4>1507381</vt:i4>
      </vt:variant>
      <vt:variant>
        <vt:i4>302</vt:i4>
      </vt:variant>
      <vt:variant>
        <vt:i4>0</vt:i4>
      </vt:variant>
      <vt:variant>
        <vt:i4>5</vt:i4>
      </vt:variant>
      <vt:variant>
        <vt:lpwstr/>
      </vt:variant>
      <vt:variant>
        <vt:lpwstr>_Toc391239420</vt:lpwstr>
      </vt:variant>
      <vt:variant>
        <vt:i4>1310773</vt:i4>
      </vt:variant>
      <vt:variant>
        <vt:i4>296</vt:i4>
      </vt:variant>
      <vt:variant>
        <vt:i4>0</vt:i4>
      </vt:variant>
      <vt:variant>
        <vt:i4>5</vt:i4>
      </vt:variant>
      <vt:variant>
        <vt:lpwstr/>
      </vt:variant>
      <vt:variant>
        <vt:lpwstr>_Toc391239419</vt:lpwstr>
      </vt:variant>
      <vt:variant>
        <vt:i4>1310773</vt:i4>
      </vt:variant>
      <vt:variant>
        <vt:i4>290</vt:i4>
      </vt:variant>
      <vt:variant>
        <vt:i4>0</vt:i4>
      </vt:variant>
      <vt:variant>
        <vt:i4>5</vt:i4>
      </vt:variant>
      <vt:variant>
        <vt:lpwstr/>
      </vt:variant>
      <vt:variant>
        <vt:lpwstr>_Toc391239418</vt:lpwstr>
      </vt:variant>
      <vt:variant>
        <vt:i4>1310773</vt:i4>
      </vt:variant>
      <vt:variant>
        <vt:i4>284</vt:i4>
      </vt:variant>
      <vt:variant>
        <vt:i4>0</vt:i4>
      </vt:variant>
      <vt:variant>
        <vt:i4>5</vt:i4>
      </vt:variant>
      <vt:variant>
        <vt:lpwstr/>
      </vt:variant>
      <vt:variant>
        <vt:lpwstr>_Toc391239417</vt:lpwstr>
      </vt:variant>
      <vt:variant>
        <vt:i4>1310773</vt:i4>
      </vt:variant>
      <vt:variant>
        <vt:i4>278</vt:i4>
      </vt:variant>
      <vt:variant>
        <vt:i4>0</vt:i4>
      </vt:variant>
      <vt:variant>
        <vt:i4>5</vt:i4>
      </vt:variant>
      <vt:variant>
        <vt:lpwstr/>
      </vt:variant>
      <vt:variant>
        <vt:lpwstr>_Toc391239416</vt:lpwstr>
      </vt:variant>
      <vt:variant>
        <vt:i4>1310773</vt:i4>
      </vt:variant>
      <vt:variant>
        <vt:i4>272</vt:i4>
      </vt:variant>
      <vt:variant>
        <vt:i4>0</vt:i4>
      </vt:variant>
      <vt:variant>
        <vt:i4>5</vt:i4>
      </vt:variant>
      <vt:variant>
        <vt:lpwstr/>
      </vt:variant>
      <vt:variant>
        <vt:lpwstr>_Toc391239415</vt:lpwstr>
      </vt:variant>
      <vt:variant>
        <vt:i4>1310773</vt:i4>
      </vt:variant>
      <vt:variant>
        <vt:i4>266</vt:i4>
      </vt:variant>
      <vt:variant>
        <vt:i4>0</vt:i4>
      </vt:variant>
      <vt:variant>
        <vt:i4>5</vt:i4>
      </vt:variant>
      <vt:variant>
        <vt:lpwstr/>
      </vt:variant>
      <vt:variant>
        <vt:lpwstr>_Toc391239414</vt:lpwstr>
      </vt:variant>
      <vt:variant>
        <vt:i4>1310773</vt:i4>
      </vt:variant>
      <vt:variant>
        <vt:i4>260</vt:i4>
      </vt:variant>
      <vt:variant>
        <vt:i4>0</vt:i4>
      </vt:variant>
      <vt:variant>
        <vt:i4>5</vt:i4>
      </vt:variant>
      <vt:variant>
        <vt:lpwstr/>
      </vt:variant>
      <vt:variant>
        <vt:lpwstr>_Toc391239413</vt:lpwstr>
      </vt:variant>
      <vt:variant>
        <vt:i4>1310773</vt:i4>
      </vt:variant>
      <vt:variant>
        <vt:i4>254</vt:i4>
      </vt:variant>
      <vt:variant>
        <vt:i4>0</vt:i4>
      </vt:variant>
      <vt:variant>
        <vt:i4>5</vt:i4>
      </vt:variant>
      <vt:variant>
        <vt:lpwstr/>
      </vt:variant>
      <vt:variant>
        <vt:lpwstr>_Toc391239412</vt:lpwstr>
      </vt:variant>
      <vt:variant>
        <vt:i4>1310773</vt:i4>
      </vt:variant>
      <vt:variant>
        <vt:i4>248</vt:i4>
      </vt:variant>
      <vt:variant>
        <vt:i4>0</vt:i4>
      </vt:variant>
      <vt:variant>
        <vt:i4>5</vt:i4>
      </vt:variant>
      <vt:variant>
        <vt:lpwstr/>
      </vt:variant>
      <vt:variant>
        <vt:lpwstr>_Toc391239411</vt:lpwstr>
      </vt:variant>
      <vt:variant>
        <vt:i4>1310773</vt:i4>
      </vt:variant>
      <vt:variant>
        <vt:i4>242</vt:i4>
      </vt:variant>
      <vt:variant>
        <vt:i4>0</vt:i4>
      </vt:variant>
      <vt:variant>
        <vt:i4>5</vt:i4>
      </vt:variant>
      <vt:variant>
        <vt:lpwstr/>
      </vt:variant>
      <vt:variant>
        <vt:lpwstr>_Toc391239410</vt:lpwstr>
      </vt:variant>
      <vt:variant>
        <vt:i4>1376309</vt:i4>
      </vt:variant>
      <vt:variant>
        <vt:i4>236</vt:i4>
      </vt:variant>
      <vt:variant>
        <vt:i4>0</vt:i4>
      </vt:variant>
      <vt:variant>
        <vt:i4>5</vt:i4>
      </vt:variant>
      <vt:variant>
        <vt:lpwstr/>
      </vt:variant>
      <vt:variant>
        <vt:lpwstr>_Toc391239409</vt:lpwstr>
      </vt:variant>
      <vt:variant>
        <vt:i4>1376309</vt:i4>
      </vt:variant>
      <vt:variant>
        <vt:i4>230</vt:i4>
      </vt:variant>
      <vt:variant>
        <vt:i4>0</vt:i4>
      </vt:variant>
      <vt:variant>
        <vt:i4>5</vt:i4>
      </vt:variant>
      <vt:variant>
        <vt:lpwstr/>
      </vt:variant>
      <vt:variant>
        <vt:lpwstr>_Toc391239408</vt:lpwstr>
      </vt:variant>
      <vt:variant>
        <vt:i4>1376309</vt:i4>
      </vt:variant>
      <vt:variant>
        <vt:i4>224</vt:i4>
      </vt:variant>
      <vt:variant>
        <vt:i4>0</vt:i4>
      </vt:variant>
      <vt:variant>
        <vt:i4>5</vt:i4>
      </vt:variant>
      <vt:variant>
        <vt:lpwstr/>
      </vt:variant>
      <vt:variant>
        <vt:lpwstr>_Toc391239407</vt:lpwstr>
      </vt:variant>
      <vt:variant>
        <vt:i4>1376309</vt:i4>
      </vt:variant>
      <vt:variant>
        <vt:i4>218</vt:i4>
      </vt:variant>
      <vt:variant>
        <vt:i4>0</vt:i4>
      </vt:variant>
      <vt:variant>
        <vt:i4>5</vt:i4>
      </vt:variant>
      <vt:variant>
        <vt:lpwstr/>
      </vt:variant>
      <vt:variant>
        <vt:lpwstr>_Toc391239406</vt:lpwstr>
      </vt:variant>
      <vt:variant>
        <vt:i4>1376309</vt:i4>
      </vt:variant>
      <vt:variant>
        <vt:i4>212</vt:i4>
      </vt:variant>
      <vt:variant>
        <vt:i4>0</vt:i4>
      </vt:variant>
      <vt:variant>
        <vt:i4>5</vt:i4>
      </vt:variant>
      <vt:variant>
        <vt:lpwstr/>
      </vt:variant>
      <vt:variant>
        <vt:lpwstr>_Toc391239405</vt:lpwstr>
      </vt:variant>
      <vt:variant>
        <vt:i4>1376309</vt:i4>
      </vt:variant>
      <vt:variant>
        <vt:i4>206</vt:i4>
      </vt:variant>
      <vt:variant>
        <vt:i4>0</vt:i4>
      </vt:variant>
      <vt:variant>
        <vt:i4>5</vt:i4>
      </vt:variant>
      <vt:variant>
        <vt:lpwstr/>
      </vt:variant>
      <vt:variant>
        <vt:lpwstr>_Toc391239404</vt:lpwstr>
      </vt:variant>
      <vt:variant>
        <vt:i4>1376309</vt:i4>
      </vt:variant>
      <vt:variant>
        <vt:i4>200</vt:i4>
      </vt:variant>
      <vt:variant>
        <vt:i4>0</vt:i4>
      </vt:variant>
      <vt:variant>
        <vt:i4>5</vt:i4>
      </vt:variant>
      <vt:variant>
        <vt:lpwstr/>
      </vt:variant>
      <vt:variant>
        <vt:lpwstr>_Toc391239403</vt:lpwstr>
      </vt:variant>
      <vt:variant>
        <vt:i4>1376309</vt:i4>
      </vt:variant>
      <vt:variant>
        <vt:i4>194</vt:i4>
      </vt:variant>
      <vt:variant>
        <vt:i4>0</vt:i4>
      </vt:variant>
      <vt:variant>
        <vt:i4>5</vt:i4>
      </vt:variant>
      <vt:variant>
        <vt:lpwstr/>
      </vt:variant>
      <vt:variant>
        <vt:lpwstr>_Toc391239402</vt:lpwstr>
      </vt:variant>
      <vt:variant>
        <vt:i4>1376309</vt:i4>
      </vt:variant>
      <vt:variant>
        <vt:i4>188</vt:i4>
      </vt:variant>
      <vt:variant>
        <vt:i4>0</vt:i4>
      </vt:variant>
      <vt:variant>
        <vt:i4>5</vt:i4>
      </vt:variant>
      <vt:variant>
        <vt:lpwstr/>
      </vt:variant>
      <vt:variant>
        <vt:lpwstr>_Toc391239401</vt:lpwstr>
      </vt:variant>
      <vt:variant>
        <vt:i4>1376309</vt:i4>
      </vt:variant>
      <vt:variant>
        <vt:i4>182</vt:i4>
      </vt:variant>
      <vt:variant>
        <vt:i4>0</vt:i4>
      </vt:variant>
      <vt:variant>
        <vt:i4>5</vt:i4>
      </vt:variant>
      <vt:variant>
        <vt:lpwstr/>
      </vt:variant>
      <vt:variant>
        <vt:lpwstr>_Toc391239400</vt:lpwstr>
      </vt:variant>
      <vt:variant>
        <vt:i4>1835058</vt:i4>
      </vt:variant>
      <vt:variant>
        <vt:i4>176</vt:i4>
      </vt:variant>
      <vt:variant>
        <vt:i4>0</vt:i4>
      </vt:variant>
      <vt:variant>
        <vt:i4>5</vt:i4>
      </vt:variant>
      <vt:variant>
        <vt:lpwstr/>
      </vt:variant>
      <vt:variant>
        <vt:lpwstr>_Toc391239399</vt:lpwstr>
      </vt:variant>
      <vt:variant>
        <vt:i4>1835058</vt:i4>
      </vt:variant>
      <vt:variant>
        <vt:i4>170</vt:i4>
      </vt:variant>
      <vt:variant>
        <vt:i4>0</vt:i4>
      </vt:variant>
      <vt:variant>
        <vt:i4>5</vt:i4>
      </vt:variant>
      <vt:variant>
        <vt:lpwstr/>
      </vt:variant>
      <vt:variant>
        <vt:lpwstr>_Toc391239398</vt:lpwstr>
      </vt:variant>
      <vt:variant>
        <vt:i4>1835058</vt:i4>
      </vt:variant>
      <vt:variant>
        <vt:i4>164</vt:i4>
      </vt:variant>
      <vt:variant>
        <vt:i4>0</vt:i4>
      </vt:variant>
      <vt:variant>
        <vt:i4>5</vt:i4>
      </vt:variant>
      <vt:variant>
        <vt:lpwstr/>
      </vt:variant>
      <vt:variant>
        <vt:lpwstr>_Toc391239397</vt:lpwstr>
      </vt:variant>
      <vt:variant>
        <vt:i4>1835058</vt:i4>
      </vt:variant>
      <vt:variant>
        <vt:i4>158</vt:i4>
      </vt:variant>
      <vt:variant>
        <vt:i4>0</vt:i4>
      </vt:variant>
      <vt:variant>
        <vt:i4>5</vt:i4>
      </vt:variant>
      <vt:variant>
        <vt:lpwstr/>
      </vt:variant>
      <vt:variant>
        <vt:lpwstr>_Toc391239396</vt:lpwstr>
      </vt:variant>
      <vt:variant>
        <vt:i4>1835058</vt:i4>
      </vt:variant>
      <vt:variant>
        <vt:i4>152</vt:i4>
      </vt:variant>
      <vt:variant>
        <vt:i4>0</vt:i4>
      </vt:variant>
      <vt:variant>
        <vt:i4>5</vt:i4>
      </vt:variant>
      <vt:variant>
        <vt:lpwstr/>
      </vt:variant>
      <vt:variant>
        <vt:lpwstr>_Toc391239395</vt:lpwstr>
      </vt:variant>
      <vt:variant>
        <vt:i4>1835058</vt:i4>
      </vt:variant>
      <vt:variant>
        <vt:i4>146</vt:i4>
      </vt:variant>
      <vt:variant>
        <vt:i4>0</vt:i4>
      </vt:variant>
      <vt:variant>
        <vt:i4>5</vt:i4>
      </vt:variant>
      <vt:variant>
        <vt:lpwstr/>
      </vt:variant>
      <vt:variant>
        <vt:lpwstr>_Toc391239394</vt:lpwstr>
      </vt:variant>
      <vt:variant>
        <vt:i4>1835058</vt:i4>
      </vt:variant>
      <vt:variant>
        <vt:i4>140</vt:i4>
      </vt:variant>
      <vt:variant>
        <vt:i4>0</vt:i4>
      </vt:variant>
      <vt:variant>
        <vt:i4>5</vt:i4>
      </vt:variant>
      <vt:variant>
        <vt:lpwstr/>
      </vt:variant>
      <vt:variant>
        <vt:lpwstr>_Toc391239393</vt:lpwstr>
      </vt:variant>
      <vt:variant>
        <vt:i4>1835058</vt:i4>
      </vt:variant>
      <vt:variant>
        <vt:i4>134</vt:i4>
      </vt:variant>
      <vt:variant>
        <vt:i4>0</vt:i4>
      </vt:variant>
      <vt:variant>
        <vt:i4>5</vt:i4>
      </vt:variant>
      <vt:variant>
        <vt:lpwstr/>
      </vt:variant>
      <vt:variant>
        <vt:lpwstr>_Toc391239392</vt:lpwstr>
      </vt:variant>
      <vt:variant>
        <vt:i4>1835058</vt:i4>
      </vt:variant>
      <vt:variant>
        <vt:i4>128</vt:i4>
      </vt:variant>
      <vt:variant>
        <vt:i4>0</vt:i4>
      </vt:variant>
      <vt:variant>
        <vt:i4>5</vt:i4>
      </vt:variant>
      <vt:variant>
        <vt:lpwstr/>
      </vt:variant>
      <vt:variant>
        <vt:lpwstr>_Toc391239391</vt:lpwstr>
      </vt:variant>
      <vt:variant>
        <vt:i4>1835058</vt:i4>
      </vt:variant>
      <vt:variant>
        <vt:i4>122</vt:i4>
      </vt:variant>
      <vt:variant>
        <vt:i4>0</vt:i4>
      </vt:variant>
      <vt:variant>
        <vt:i4>5</vt:i4>
      </vt:variant>
      <vt:variant>
        <vt:lpwstr/>
      </vt:variant>
      <vt:variant>
        <vt:lpwstr>_Toc391239390</vt:lpwstr>
      </vt:variant>
      <vt:variant>
        <vt:i4>1900594</vt:i4>
      </vt:variant>
      <vt:variant>
        <vt:i4>116</vt:i4>
      </vt:variant>
      <vt:variant>
        <vt:i4>0</vt:i4>
      </vt:variant>
      <vt:variant>
        <vt:i4>5</vt:i4>
      </vt:variant>
      <vt:variant>
        <vt:lpwstr/>
      </vt:variant>
      <vt:variant>
        <vt:lpwstr>_Toc391239389</vt:lpwstr>
      </vt:variant>
      <vt:variant>
        <vt:i4>1900594</vt:i4>
      </vt:variant>
      <vt:variant>
        <vt:i4>110</vt:i4>
      </vt:variant>
      <vt:variant>
        <vt:i4>0</vt:i4>
      </vt:variant>
      <vt:variant>
        <vt:i4>5</vt:i4>
      </vt:variant>
      <vt:variant>
        <vt:lpwstr/>
      </vt:variant>
      <vt:variant>
        <vt:lpwstr>_Toc391239388</vt:lpwstr>
      </vt:variant>
      <vt:variant>
        <vt:i4>1900594</vt:i4>
      </vt:variant>
      <vt:variant>
        <vt:i4>104</vt:i4>
      </vt:variant>
      <vt:variant>
        <vt:i4>0</vt:i4>
      </vt:variant>
      <vt:variant>
        <vt:i4>5</vt:i4>
      </vt:variant>
      <vt:variant>
        <vt:lpwstr/>
      </vt:variant>
      <vt:variant>
        <vt:lpwstr>_Toc391239387</vt:lpwstr>
      </vt:variant>
      <vt:variant>
        <vt:i4>1900594</vt:i4>
      </vt:variant>
      <vt:variant>
        <vt:i4>98</vt:i4>
      </vt:variant>
      <vt:variant>
        <vt:i4>0</vt:i4>
      </vt:variant>
      <vt:variant>
        <vt:i4>5</vt:i4>
      </vt:variant>
      <vt:variant>
        <vt:lpwstr/>
      </vt:variant>
      <vt:variant>
        <vt:lpwstr>_Toc391239386</vt:lpwstr>
      </vt:variant>
      <vt:variant>
        <vt:i4>1900594</vt:i4>
      </vt:variant>
      <vt:variant>
        <vt:i4>92</vt:i4>
      </vt:variant>
      <vt:variant>
        <vt:i4>0</vt:i4>
      </vt:variant>
      <vt:variant>
        <vt:i4>5</vt:i4>
      </vt:variant>
      <vt:variant>
        <vt:lpwstr/>
      </vt:variant>
      <vt:variant>
        <vt:lpwstr>_Toc391239385</vt:lpwstr>
      </vt:variant>
      <vt:variant>
        <vt:i4>1900594</vt:i4>
      </vt:variant>
      <vt:variant>
        <vt:i4>86</vt:i4>
      </vt:variant>
      <vt:variant>
        <vt:i4>0</vt:i4>
      </vt:variant>
      <vt:variant>
        <vt:i4>5</vt:i4>
      </vt:variant>
      <vt:variant>
        <vt:lpwstr/>
      </vt:variant>
      <vt:variant>
        <vt:lpwstr>_Toc391239384</vt:lpwstr>
      </vt:variant>
      <vt:variant>
        <vt:i4>1900594</vt:i4>
      </vt:variant>
      <vt:variant>
        <vt:i4>80</vt:i4>
      </vt:variant>
      <vt:variant>
        <vt:i4>0</vt:i4>
      </vt:variant>
      <vt:variant>
        <vt:i4>5</vt:i4>
      </vt:variant>
      <vt:variant>
        <vt:lpwstr/>
      </vt:variant>
      <vt:variant>
        <vt:lpwstr>_Toc391239383</vt:lpwstr>
      </vt:variant>
      <vt:variant>
        <vt:i4>1900594</vt:i4>
      </vt:variant>
      <vt:variant>
        <vt:i4>74</vt:i4>
      </vt:variant>
      <vt:variant>
        <vt:i4>0</vt:i4>
      </vt:variant>
      <vt:variant>
        <vt:i4>5</vt:i4>
      </vt:variant>
      <vt:variant>
        <vt:lpwstr/>
      </vt:variant>
      <vt:variant>
        <vt:lpwstr>_Toc391239382</vt:lpwstr>
      </vt:variant>
      <vt:variant>
        <vt:i4>1900594</vt:i4>
      </vt:variant>
      <vt:variant>
        <vt:i4>68</vt:i4>
      </vt:variant>
      <vt:variant>
        <vt:i4>0</vt:i4>
      </vt:variant>
      <vt:variant>
        <vt:i4>5</vt:i4>
      </vt:variant>
      <vt:variant>
        <vt:lpwstr/>
      </vt:variant>
      <vt:variant>
        <vt:lpwstr>_Toc391239381</vt:lpwstr>
      </vt:variant>
      <vt:variant>
        <vt:i4>1900594</vt:i4>
      </vt:variant>
      <vt:variant>
        <vt:i4>62</vt:i4>
      </vt:variant>
      <vt:variant>
        <vt:i4>0</vt:i4>
      </vt:variant>
      <vt:variant>
        <vt:i4>5</vt:i4>
      </vt:variant>
      <vt:variant>
        <vt:lpwstr/>
      </vt:variant>
      <vt:variant>
        <vt:lpwstr>_Toc391239380</vt:lpwstr>
      </vt:variant>
      <vt:variant>
        <vt:i4>1179698</vt:i4>
      </vt:variant>
      <vt:variant>
        <vt:i4>56</vt:i4>
      </vt:variant>
      <vt:variant>
        <vt:i4>0</vt:i4>
      </vt:variant>
      <vt:variant>
        <vt:i4>5</vt:i4>
      </vt:variant>
      <vt:variant>
        <vt:lpwstr/>
      </vt:variant>
      <vt:variant>
        <vt:lpwstr>_Toc391239379</vt:lpwstr>
      </vt:variant>
      <vt:variant>
        <vt:i4>1179698</vt:i4>
      </vt:variant>
      <vt:variant>
        <vt:i4>50</vt:i4>
      </vt:variant>
      <vt:variant>
        <vt:i4>0</vt:i4>
      </vt:variant>
      <vt:variant>
        <vt:i4>5</vt:i4>
      </vt:variant>
      <vt:variant>
        <vt:lpwstr/>
      </vt:variant>
      <vt:variant>
        <vt:lpwstr>_Toc391239378</vt:lpwstr>
      </vt:variant>
      <vt:variant>
        <vt:i4>1179698</vt:i4>
      </vt:variant>
      <vt:variant>
        <vt:i4>44</vt:i4>
      </vt:variant>
      <vt:variant>
        <vt:i4>0</vt:i4>
      </vt:variant>
      <vt:variant>
        <vt:i4>5</vt:i4>
      </vt:variant>
      <vt:variant>
        <vt:lpwstr/>
      </vt:variant>
      <vt:variant>
        <vt:lpwstr>_Toc391239377</vt:lpwstr>
      </vt:variant>
      <vt:variant>
        <vt:i4>1179698</vt:i4>
      </vt:variant>
      <vt:variant>
        <vt:i4>38</vt:i4>
      </vt:variant>
      <vt:variant>
        <vt:i4>0</vt:i4>
      </vt:variant>
      <vt:variant>
        <vt:i4>5</vt:i4>
      </vt:variant>
      <vt:variant>
        <vt:lpwstr/>
      </vt:variant>
      <vt:variant>
        <vt:lpwstr>_Toc391239376</vt:lpwstr>
      </vt:variant>
      <vt:variant>
        <vt:i4>1179698</vt:i4>
      </vt:variant>
      <vt:variant>
        <vt:i4>32</vt:i4>
      </vt:variant>
      <vt:variant>
        <vt:i4>0</vt:i4>
      </vt:variant>
      <vt:variant>
        <vt:i4>5</vt:i4>
      </vt:variant>
      <vt:variant>
        <vt:lpwstr/>
      </vt:variant>
      <vt:variant>
        <vt:lpwstr>_Toc391239375</vt:lpwstr>
      </vt:variant>
      <vt:variant>
        <vt:i4>1179698</vt:i4>
      </vt:variant>
      <vt:variant>
        <vt:i4>26</vt:i4>
      </vt:variant>
      <vt:variant>
        <vt:i4>0</vt:i4>
      </vt:variant>
      <vt:variant>
        <vt:i4>5</vt:i4>
      </vt:variant>
      <vt:variant>
        <vt:lpwstr/>
      </vt:variant>
      <vt:variant>
        <vt:lpwstr>_Toc391239374</vt:lpwstr>
      </vt:variant>
      <vt:variant>
        <vt:i4>1179698</vt:i4>
      </vt:variant>
      <vt:variant>
        <vt:i4>20</vt:i4>
      </vt:variant>
      <vt:variant>
        <vt:i4>0</vt:i4>
      </vt:variant>
      <vt:variant>
        <vt:i4>5</vt:i4>
      </vt:variant>
      <vt:variant>
        <vt:lpwstr/>
      </vt:variant>
      <vt:variant>
        <vt:lpwstr>_Toc391239373</vt:lpwstr>
      </vt:variant>
      <vt:variant>
        <vt:i4>1179698</vt:i4>
      </vt:variant>
      <vt:variant>
        <vt:i4>14</vt:i4>
      </vt:variant>
      <vt:variant>
        <vt:i4>0</vt:i4>
      </vt:variant>
      <vt:variant>
        <vt:i4>5</vt:i4>
      </vt:variant>
      <vt:variant>
        <vt:lpwstr/>
      </vt:variant>
      <vt:variant>
        <vt:lpwstr>_Toc391239372</vt:lpwstr>
      </vt:variant>
      <vt:variant>
        <vt:i4>1179698</vt:i4>
      </vt:variant>
      <vt:variant>
        <vt:i4>8</vt:i4>
      </vt:variant>
      <vt:variant>
        <vt:i4>0</vt:i4>
      </vt:variant>
      <vt:variant>
        <vt:i4>5</vt:i4>
      </vt:variant>
      <vt:variant>
        <vt:lpwstr/>
      </vt:variant>
      <vt:variant>
        <vt:lpwstr>_Toc391239371</vt:lpwstr>
      </vt:variant>
      <vt:variant>
        <vt:i4>1179698</vt:i4>
      </vt:variant>
      <vt:variant>
        <vt:i4>2</vt:i4>
      </vt:variant>
      <vt:variant>
        <vt:i4>0</vt:i4>
      </vt:variant>
      <vt:variant>
        <vt:i4>5</vt:i4>
      </vt:variant>
      <vt:variant>
        <vt:lpwstr/>
      </vt:variant>
      <vt:variant>
        <vt:lpwstr>_Toc391239370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Hoa:</dc:title>
  <dc:subject/>
  <dc:creator>clsanche2</dc:creator>
  <cp:keywords/>
  <dc:description/>
  <cp:lastModifiedBy>Dickson Alberto Pinzon Corredor</cp:lastModifiedBy>
  <cp:revision>2</cp:revision>
  <cp:lastPrinted>2018-02-05T15:25:00Z</cp:lastPrinted>
  <dcterms:created xsi:type="dcterms:W3CDTF">2019-02-12T15:34:00Z</dcterms:created>
  <dcterms:modified xsi:type="dcterms:W3CDTF">2019-02-12T15:34:00Z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