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63"/>
        <w:gridCol w:w="6582"/>
      </w:tblGrid>
      <w:tr w:rsidR="00442723">
        <w:trPr>
          <w:trHeight w:val="666"/>
        </w:trPr>
        <w:tc>
          <w:tcPr>
            <w:tcW w:w="2963" w:type="dxa"/>
          </w:tcPr>
          <w:p w:rsidR="00442723" w:rsidRDefault="00442723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6582" w:type="dxa"/>
          </w:tcPr>
          <w:p w:rsidR="00442723" w:rsidRDefault="00442723">
            <w:pPr>
              <w:pStyle w:val="TableParagraph"/>
              <w:spacing w:before="1"/>
              <w:ind w:left="0"/>
              <w:rPr>
                <w:rFonts w:ascii="Times New Roman"/>
                <w:sz w:val="19"/>
              </w:rPr>
            </w:pPr>
          </w:p>
          <w:p w:rsidR="00442723" w:rsidRDefault="00EE128D">
            <w:pPr>
              <w:pStyle w:val="TableParagraph"/>
              <w:ind w:left="1380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SECRETARÍA DISTRITAL DE MOVILIDAD</w:t>
            </w:r>
          </w:p>
        </w:tc>
      </w:tr>
      <w:tr w:rsidR="00442723" w:rsidRPr="003F55BC">
        <w:trPr>
          <w:trHeight w:val="565"/>
        </w:trPr>
        <w:tc>
          <w:tcPr>
            <w:tcW w:w="9545" w:type="dxa"/>
            <w:gridSpan w:val="2"/>
          </w:tcPr>
          <w:p w:rsidR="00442723" w:rsidRPr="003F55BC" w:rsidRDefault="00EE128D">
            <w:pPr>
              <w:pStyle w:val="TableParagraph"/>
              <w:spacing w:before="18" w:line="261" w:lineRule="auto"/>
              <w:ind w:left="2936" w:hanging="2852"/>
              <w:rPr>
                <w:b/>
                <w:sz w:val="21"/>
                <w:lang w:val="es-CO"/>
              </w:rPr>
            </w:pPr>
            <w:r w:rsidRPr="003F55BC">
              <w:rPr>
                <w:b/>
                <w:sz w:val="21"/>
                <w:lang w:val="es-CO"/>
              </w:rPr>
              <w:t>ESTRATEGIA ANUAL DE RENDICIÓN DE CUENTAS A LA CIUDADANÍA DE LA VIGENCIA 2018 (I TRIM. 2019) - SECTOR MOVILIDAD</w:t>
            </w:r>
          </w:p>
        </w:tc>
      </w:tr>
      <w:tr w:rsidR="00442723">
        <w:trPr>
          <w:trHeight w:val="177"/>
        </w:trPr>
        <w:tc>
          <w:tcPr>
            <w:tcW w:w="2963" w:type="dxa"/>
            <w:vMerge w:val="restart"/>
            <w:tcBorders>
              <w:bottom w:val="single" w:sz="6" w:space="0" w:color="000000"/>
              <w:right w:val="single" w:sz="6" w:space="0" w:color="000000"/>
            </w:tcBorders>
          </w:tcPr>
          <w:p w:rsidR="00442723" w:rsidRPr="00DE1902" w:rsidRDefault="00442723">
            <w:pPr>
              <w:pStyle w:val="TableParagraph"/>
              <w:spacing w:before="3"/>
              <w:ind w:left="0"/>
              <w:rPr>
                <w:rFonts w:ascii="Times New Roman"/>
                <w:sz w:val="16"/>
                <w:lang w:val="es-CO"/>
              </w:rPr>
            </w:pPr>
          </w:p>
          <w:p w:rsidR="00442723" w:rsidRPr="00DE1902" w:rsidRDefault="00EE128D">
            <w:pPr>
              <w:pStyle w:val="TableParagraph"/>
              <w:ind w:left="25"/>
              <w:rPr>
                <w:b/>
                <w:sz w:val="15"/>
                <w:lang w:val="es-CO"/>
              </w:rPr>
            </w:pPr>
            <w:r w:rsidRPr="00DE1902">
              <w:rPr>
                <w:b/>
                <w:sz w:val="15"/>
                <w:lang w:val="es-CO"/>
              </w:rPr>
              <w:t>Normatividad</w:t>
            </w:r>
          </w:p>
        </w:tc>
        <w:tc>
          <w:tcPr>
            <w:tcW w:w="6582" w:type="dxa"/>
            <w:tcBorders>
              <w:left w:val="single" w:sz="6" w:space="0" w:color="000000"/>
              <w:bottom w:val="single" w:sz="6" w:space="0" w:color="000000"/>
            </w:tcBorders>
          </w:tcPr>
          <w:p w:rsidR="00442723" w:rsidRPr="00DE1902" w:rsidRDefault="00EE128D">
            <w:pPr>
              <w:pStyle w:val="TableParagraph"/>
              <w:spacing w:line="158" w:lineRule="exact"/>
              <w:rPr>
                <w:sz w:val="15"/>
                <w:lang w:val="es-CO"/>
              </w:rPr>
            </w:pPr>
            <w:r w:rsidRPr="00DE1902">
              <w:rPr>
                <w:sz w:val="15"/>
                <w:lang w:val="es-CO"/>
              </w:rPr>
              <w:t>CONPES 3654 de 2010</w:t>
            </w:r>
          </w:p>
        </w:tc>
      </w:tr>
      <w:tr w:rsidR="00442723">
        <w:trPr>
          <w:trHeight w:val="184"/>
        </w:trPr>
        <w:tc>
          <w:tcPr>
            <w:tcW w:w="2963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442723" w:rsidRPr="00DE1902" w:rsidRDefault="00442723">
            <w:pPr>
              <w:rPr>
                <w:sz w:val="2"/>
                <w:szCs w:val="2"/>
                <w:lang w:val="es-CO"/>
              </w:rPr>
            </w:pPr>
          </w:p>
        </w:tc>
        <w:tc>
          <w:tcPr>
            <w:tcW w:w="6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42723" w:rsidRPr="00DE1902" w:rsidRDefault="00EE128D">
            <w:pPr>
              <w:pStyle w:val="TableParagraph"/>
              <w:spacing w:line="164" w:lineRule="exact"/>
              <w:rPr>
                <w:sz w:val="15"/>
                <w:lang w:val="es-CO"/>
              </w:rPr>
            </w:pPr>
            <w:r w:rsidRPr="00DE1902">
              <w:rPr>
                <w:sz w:val="15"/>
                <w:lang w:val="es-CO"/>
              </w:rPr>
              <w:t>Ley 1474 de 2011</w:t>
            </w:r>
          </w:p>
        </w:tc>
      </w:tr>
      <w:tr w:rsidR="00442723">
        <w:trPr>
          <w:trHeight w:val="184"/>
        </w:trPr>
        <w:tc>
          <w:tcPr>
            <w:tcW w:w="2963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442723" w:rsidRPr="00DE1902" w:rsidRDefault="00442723">
            <w:pPr>
              <w:rPr>
                <w:sz w:val="2"/>
                <w:szCs w:val="2"/>
                <w:lang w:val="es-CO"/>
              </w:rPr>
            </w:pPr>
          </w:p>
        </w:tc>
        <w:tc>
          <w:tcPr>
            <w:tcW w:w="6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42723" w:rsidRPr="00DE1902" w:rsidRDefault="00EE128D">
            <w:pPr>
              <w:pStyle w:val="TableParagraph"/>
              <w:spacing w:line="164" w:lineRule="exact"/>
              <w:rPr>
                <w:sz w:val="15"/>
                <w:lang w:val="es-CO"/>
              </w:rPr>
            </w:pPr>
            <w:r w:rsidRPr="00DE1902">
              <w:rPr>
                <w:sz w:val="15"/>
                <w:lang w:val="es-CO"/>
              </w:rPr>
              <w:t>Acuerdo 380 de 2009</w:t>
            </w:r>
          </w:p>
        </w:tc>
      </w:tr>
      <w:tr w:rsidR="00442723">
        <w:trPr>
          <w:trHeight w:val="184"/>
        </w:trPr>
        <w:tc>
          <w:tcPr>
            <w:tcW w:w="9545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442723" w:rsidRPr="00DE1902" w:rsidRDefault="00442723">
            <w:pPr>
              <w:pStyle w:val="TableParagraph"/>
              <w:ind w:left="0"/>
              <w:rPr>
                <w:rFonts w:ascii="Times New Roman"/>
                <w:sz w:val="12"/>
                <w:lang w:val="es-CO"/>
              </w:rPr>
            </w:pPr>
          </w:p>
        </w:tc>
      </w:tr>
      <w:tr w:rsidR="00442723" w:rsidRPr="003F55BC">
        <w:trPr>
          <w:trHeight w:val="361"/>
        </w:trPr>
        <w:tc>
          <w:tcPr>
            <w:tcW w:w="296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2723" w:rsidRPr="00DE1902" w:rsidRDefault="00EE128D">
            <w:pPr>
              <w:pStyle w:val="TableParagraph"/>
              <w:spacing w:before="88"/>
              <w:ind w:left="25"/>
              <w:rPr>
                <w:b/>
                <w:sz w:val="15"/>
                <w:lang w:val="es-CO"/>
              </w:rPr>
            </w:pPr>
            <w:r w:rsidRPr="00DE1902">
              <w:rPr>
                <w:b/>
                <w:sz w:val="15"/>
                <w:lang w:val="es-CO"/>
              </w:rPr>
              <w:t>Equipo responsable</w:t>
            </w:r>
          </w:p>
        </w:tc>
        <w:tc>
          <w:tcPr>
            <w:tcW w:w="6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42723" w:rsidRPr="00DE1902" w:rsidRDefault="00EE128D">
            <w:pPr>
              <w:pStyle w:val="TableParagraph"/>
              <w:spacing w:line="167" w:lineRule="exact"/>
              <w:rPr>
                <w:sz w:val="15"/>
                <w:lang w:val="es-CO"/>
              </w:rPr>
            </w:pPr>
            <w:r w:rsidRPr="00DE1902">
              <w:rPr>
                <w:sz w:val="15"/>
                <w:lang w:val="es-CO"/>
              </w:rPr>
              <w:t>Alta Dirección de las entidades del Sector Movilidad, y equipos de trabajo de: Planeación,</w:t>
            </w:r>
          </w:p>
          <w:p w:rsidR="00442723" w:rsidRPr="00DE1902" w:rsidRDefault="00EE128D">
            <w:pPr>
              <w:pStyle w:val="TableParagraph"/>
              <w:spacing w:before="17" w:line="158" w:lineRule="exact"/>
              <w:rPr>
                <w:sz w:val="15"/>
                <w:lang w:val="es-CO"/>
              </w:rPr>
            </w:pPr>
            <w:r w:rsidRPr="00DE1902">
              <w:rPr>
                <w:sz w:val="15"/>
                <w:lang w:val="es-CO"/>
              </w:rPr>
              <w:t>comunicaciones y servicio al usuario/ciudadano</w:t>
            </w:r>
          </w:p>
        </w:tc>
      </w:tr>
      <w:tr w:rsidR="00442723" w:rsidRPr="003F55BC">
        <w:trPr>
          <w:trHeight w:val="184"/>
        </w:trPr>
        <w:tc>
          <w:tcPr>
            <w:tcW w:w="9545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442723" w:rsidRPr="00DE1902" w:rsidRDefault="00442723">
            <w:pPr>
              <w:pStyle w:val="TableParagraph"/>
              <w:ind w:left="0"/>
              <w:rPr>
                <w:rFonts w:ascii="Times New Roman"/>
                <w:sz w:val="12"/>
                <w:lang w:val="es-CO"/>
              </w:rPr>
            </w:pPr>
          </w:p>
        </w:tc>
      </w:tr>
      <w:tr w:rsidR="00442723" w:rsidRPr="003F55BC">
        <w:trPr>
          <w:trHeight w:val="541"/>
        </w:trPr>
        <w:tc>
          <w:tcPr>
            <w:tcW w:w="296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2723" w:rsidRPr="00DE1902" w:rsidRDefault="00EE128D">
            <w:pPr>
              <w:pStyle w:val="TableParagraph"/>
              <w:spacing w:before="81" w:line="273" w:lineRule="auto"/>
              <w:ind w:left="25" w:right="143"/>
              <w:rPr>
                <w:b/>
                <w:sz w:val="15"/>
                <w:lang w:val="es-CO"/>
              </w:rPr>
            </w:pPr>
            <w:r w:rsidRPr="00DE1902">
              <w:rPr>
                <w:b/>
                <w:sz w:val="15"/>
                <w:lang w:val="es-CO"/>
              </w:rPr>
              <w:t>Recursos e Infraestructura Institucional</w:t>
            </w:r>
          </w:p>
        </w:tc>
        <w:tc>
          <w:tcPr>
            <w:tcW w:w="6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42723" w:rsidRPr="00DE1902" w:rsidRDefault="00EE128D">
            <w:pPr>
              <w:pStyle w:val="TableParagraph"/>
              <w:spacing w:before="83" w:line="264" w:lineRule="auto"/>
              <w:ind w:right="88"/>
              <w:rPr>
                <w:sz w:val="15"/>
                <w:lang w:val="es-CO"/>
              </w:rPr>
            </w:pPr>
            <w:r w:rsidRPr="00DE1902">
              <w:rPr>
                <w:sz w:val="15"/>
                <w:lang w:val="es-CO"/>
              </w:rPr>
              <w:t>Recursos Humanos, Tecnológicos y presupuestales para la logística de la Audiencia Pública y los Diálogos Ciudadanos (espacios, tecnología, material)</w:t>
            </w:r>
          </w:p>
        </w:tc>
      </w:tr>
      <w:tr w:rsidR="00442723" w:rsidRPr="003F55BC">
        <w:trPr>
          <w:trHeight w:val="184"/>
        </w:trPr>
        <w:tc>
          <w:tcPr>
            <w:tcW w:w="9545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442723" w:rsidRPr="00DE1902" w:rsidRDefault="00442723">
            <w:pPr>
              <w:pStyle w:val="TableParagraph"/>
              <w:ind w:left="0"/>
              <w:rPr>
                <w:rFonts w:ascii="Times New Roman"/>
                <w:sz w:val="12"/>
                <w:lang w:val="es-CO"/>
              </w:rPr>
            </w:pPr>
          </w:p>
        </w:tc>
      </w:tr>
      <w:tr w:rsidR="00442723" w:rsidRPr="003F55BC">
        <w:trPr>
          <w:trHeight w:val="361"/>
        </w:trPr>
        <w:tc>
          <w:tcPr>
            <w:tcW w:w="2963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2723" w:rsidRPr="00DE1902" w:rsidRDefault="00442723">
            <w:pPr>
              <w:pStyle w:val="TableParagraph"/>
              <w:ind w:left="0"/>
              <w:rPr>
                <w:rFonts w:ascii="Times New Roman"/>
                <w:sz w:val="16"/>
                <w:lang w:val="es-CO"/>
              </w:rPr>
            </w:pPr>
          </w:p>
          <w:p w:rsidR="00442723" w:rsidRPr="00DE1902" w:rsidRDefault="00442723">
            <w:pPr>
              <w:pStyle w:val="TableParagraph"/>
              <w:ind w:left="0"/>
              <w:rPr>
                <w:rFonts w:ascii="Times New Roman"/>
                <w:sz w:val="16"/>
                <w:lang w:val="es-CO"/>
              </w:rPr>
            </w:pPr>
          </w:p>
          <w:p w:rsidR="00442723" w:rsidRPr="00DE1902" w:rsidRDefault="00442723">
            <w:pPr>
              <w:pStyle w:val="TableParagraph"/>
              <w:ind w:left="0"/>
              <w:rPr>
                <w:rFonts w:ascii="Times New Roman"/>
                <w:sz w:val="16"/>
                <w:lang w:val="es-CO"/>
              </w:rPr>
            </w:pPr>
          </w:p>
          <w:p w:rsidR="00442723" w:rsidRPr="00DE1902" w:rsidRDefault="00442723">
            <w:pPr>
              <w:pStyle w:val="TableParagraph"/>
              <w:ind w:left="0"/>
              <w:rPr>
                <w:rFonts w:ascii="Times New Roman"/>
                <w:sz w:val="16"/>
                <w:lang w:val="es-CO"/>
              </w:rPr>
            </w:pPr>
          </w:p>
          <w:p w:rsidR="00442723" w:rsidRPr="00DE1902" w:rsidRDefault="00442723">
            <w:pPr>
              <w:pStyle w:val="TableParagraph"/>
              <w:ind w:left="0"/>
              <w:rPr>
                <w:rFonts w:ascii="Times New Roman"/>
                <w:sz w:val="16"/>
                <w:lang w:val="es-CO"/>
              </w:rPr>
            </w:pPr>
          </w:p>
          <w:p w:rsidR="00442723" w:rsidRPr="00DE1902" w:rsidRDefault="00442723">
            <w:pPr>
              <w:pStyle w:val="TableParagraph"/>
              <w:spacing w:before="6"/>
              <w:ind w:left="0"/>
              <w:rPr>
                <w:rFonts w:ascii="Times New Roman"/>
                <w:sz w:val="21"/>
                <w:lang w:val="es-CO"/>
              </w:rPr>
            </w:pPr>
          </w:p>
          <w:p w:rsidR="00442723" w:rsidRPr="00DE1902" w:rsidRDefault="00EE128D">
            <w:pPr>
              <w:pStyle w:val="TableParagraph"/>
              <w:spacing w:before="1"/>
              <w:ind w:left="25"/>
              <w:rPr>
                <w:b/>
                <w:sz w:val="15"/>
                <w:lang w:val="es-CO"/>
              </w:rPr>
            </w:pPr>
            <w:r w:rsidRPr="00DE1902">
              <w:rPr>
                <w:b/>
                <w:sz w:val="15"/>
                <w:lang w:val="es-CO"/>
              </w:rPr>
              <w:t>Cronogram</w:t>
            </w:r>
            <w:bookmarkStart w:id="0" w:name="_GoBack"/>
            <w:bookmarkEnd w:id="0"/>
            <w:r w:rsidRPr="00DE1902">
              <w:rPr>
                <w:b/>
                <w:sz w:val="15"/>
                <w:lang w:val="es-CO"/>
              </w:rPr>
              <w:t>a</w:t>
            </w:r>
          </w:p>
        </w:tc>
        <w:tc>
          <w:tcPr>
            <w:tcW w:w="6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42723" w:rsidRPr="00DE1902" w:rsidRDefault="00EE128D">
            <w:pPr>
              <w:pStyle w:val="TableParagraph"/>
              <w:spacing w:line="167" w:lineRule="exact"/>
              <w:rPr>
                <w:sz w:val="15"/>
                <w:lang w:val="es-CO"/>
              </w:rPr>
            </w:pPr>
            <w:r w:rsidRPr="00DE1902">
              <w:rPr>
                <w:sz w:val="15"/>
                <w:lang w:val="es-CO"/>
              </w:rPr>
              <w:t>Alistamiento (preparación de información e invitados, y de ser necesario, creación de</w:t>
            </w:r>
          </w:p>
          <w:p w:rsidR="00442723" w:rsidRPr="00DE1902" w:rsidRDefault="00EE128D">
            <w:pPr>
              <w:pStyle w:val="TableParagraph"/>
              <w:spacing w:before="17" w:line="158" w:lineRule="exact"/>
              <w:rPr>
                <w:sz w:val="15"/>
                <w:lang w:val="es-CO"/>
              </w:rPr>
            </w:pPr>
            <w:r w:rsidRPr="00DE1902">
              <w:rPr>
                <w:sz w:val="15"/>
                <w:lang w:val="es-CO"/>
              </w:rPr>
              <w:t>asociaciones de usuarios) y publicación de la estrategia: Enero/19</w:t>
            </w:r>
          </w:p>
        </w:tc>
      </w:tr>
      <w:tr w:rsidR="00442723">
        <w:trPr>
          <w:trHeight w:val="184"/>
        </w:trPr>
        <w:tc>
          <w:tcPr>
            <w:tcW w:w="2963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442723" w:rsidRPr="00DE1902" w:rsidRDefault="00442723">
            <w:pPr>
              <w:rPr>
                <w:sz w:val="2"/>
                <w:szCs w:val="2"/>
                <w:lang w:val="es-CO"/>
              </w:rPr>
            </w:pPr>
          </w:p>
        </w:tc>
        <w:tc>
          <w:tcPr>
            <w:tcW w:w="6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42723" w:rsidRPr="00DE1902" w:rsidRDefault="00EE128D">
            <w:pPr>
              <w:pStyle w:val="TableParagraph"/>
              <w:spacing w:line="164" w:lineRule="exact"/>
              <w:rPr>
                <w:sz w:val="15"/>
                <w:lang w:val="es-CO"/>
              </w:rPr>
            </w:pPr>
            <w:r w:rsidRPr="00DE1902">
              <w:rPr>
                <w:sz w:val="15"/>
                <w:lang w:val="es-CO"/>
              </w:rPr>
              <w:t>Capacitación: Febrero/19</w:t>
            </w:r>
          </w:p>
        </w:tc>
      </w:tr>
      <w:tr w:rsidR="00442723" w:rsidRPr="003F55BC">
        <w:trPr>
          <w:trHeight w:val="361"/>
        </w:trPr>
        <w:tc>
          <w:tcPr>
            <w:tcW w:w="2963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442723" w:rsidRPr="00DE1902" w:rsidRDefault="00442723">
            <w:pPr>
              <w:rPr>
                <w:sz w:val="2"/>
                <w:szCs w:val="2"/>
                <w:lang w:val="es-CO"/>
              </w:rPr>
            </w:pPr>
          </w:p>
        </w:tc>
        <w:tc>
          <w:tcPr>
            <w:tcW w:w="6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42723" w:rsidRPr="00DE1902" w:rsidRDefault="00EE128D">
            <w:pPr>
              <w:pStyle w:val="TableParagraph"/>
              <w:spacing w:line="167" w:lineRule="exact"/>
              <w:rPr>
                <w:sz w:val="15"/>
                <w:lang w:val="es-CO"/>
              </w:rPr>
            </w:pPr>
            <w:r w:rsidRPr="00DE1902">
              <w:rPr>
                <w:sz w:val="15"/>
                <w:lang w:val="es-CO"/>
              </w:rPr>
              <w:t>Publicación del informe anual (Elaborar, difundir y explicar el informe de rendición de cuentas"</w:t>
            </w:r>
          </w:p>
          <w:p w:rsidR="00442723" w:rsidRPr="00DE1902" w:rsidRDefault="00EE128D">
            <w:pPr>
              <w:pStyle w:val="TableParagraph"/>
              <w:spacing w:before="17" w:line="158" w:lineRule="exact"/>
              <w:rPr>
                <w:sz w:val="15"/>
                <w:lang w:val="es-CO"/>
              </w:rPr>
            </w:pPr>
            <w:r w:rsidRPr="00DE1902">
              <w:rPr>
                <w:sz w:val="15"/>
                <w:lang w:val="es-CO"/>
              </w:rPr>
              <w:t>en sus páginas web): Febrero/19</w:t>
            </w:r>
          </w:p>
        </w:tc>
      </w:tr>
      <w:tr w:rsidR="00442723" w:rsidRPr="003F55BC">
        <w:trPr>
          <w:trHeight w:val="184"/>
        </w:trPr>
        <w:tc>
          <w:tcPr>
            <w:tcW w:w="2963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442723" w:rsidRPr="00DE1902" w:rsidRDefault="00442723">
            <w:pPr>
              <w:rPr>
                <w:sz w:val="2"/>
                <w:szCs w:val="2"/>
                <w:lang w:val="es-CO"/>
              </w:rPr>
            </w:pPr>
          </w:p>
        </w:tc>
        <w:tc>
          <w:tcPr>
            <w:tcW w:w="6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42723" w:rsidRPr="00DE1902" w:rsidRDefault="00EE128D">
            <w:pPr>
              <w:pStyle w:val="TableParagraph"/>
              <w:spacing w:line="164" w:lineRule="exact"/>
              <w:rPr>
                <w:sz w:val="15"/>
                <w:lang w:val="es-CO"/>
              </w:rPr>
            </w:pPr>
            <w:r w:rsidRPr="00DE1902">
              <w:rPr>
                <w:sz w:val="15"/>
                <w:lang w:val="es-CO"/>
              </w:rPr>
              <w:t>Reunión Preparatoria del Sector: Febrero/19</w:t>
            </w:r>
          </w:p>
        </w:tc>
      </w:tr>
      <w:tr w:rsidR="00442723" w:rsidRPr="003F55BC">
        <w:trPr>
          <w:trHeight w:val="184"/>
        </w:trPr>
        <w:tc>
          <w:tcPr>
            <w:tcW w:w="2963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442723" w:rsidRPr="00DE1902" w:rsidRDefault="00442723">
            <w:pPr>
              <w:rPr>
                <w:sz w:val="2"/>
                <w:szCs w:val="2"/>
                <w:lang w:val="es-CO"/>
              </w:rPr>
            </w:pPr>
          </w:p>
        </w:tc>
        <w:tc>
          <w:tcPr>
            <w:tcW w:w="6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42723" w:rsidRPr="00DE1902" w:rsidRDefault="00EE128D" w:rsidP="00DE1902">
            <w:pPr>
              <w:pStyle w:val="TableParagraph"/>
              <w:spacing w:line="164" w:lineRule="exact"/>
              <w:rPr>
                <w:sz w:val="15"/>
                <w:lang w:val="es-CO"/>
              </w:rPr>
            </w:pPr>
            <w:r w:rsidRPr="00DE1902">
              <w:rPr>
                <w:sz w:val="15"/>
                <w:lang w:val="es-CO"/>
              </w:rPr>
              <w:t xml:space="preserve">Diálogo Ciudadano: </w:t>
            </w:r>
            <w:r w:rsidR="00DE1902">
              <w:rPr>
                <w:sz w:val="15"/>
                <w:lang w:val="es-CO"/>
              </w:rPr>
              <w:t>Última</w:t>
            </w:r>
            <w:r w:rsidRPr="00DE1902">
              <w:rPr>
                <w:sz w:val="15"/>
                <w:lang w:val="es-CO"/>
              </w:rPr>
              <w:t xml:space="preserve"> semana de </w:t>
            </w:r>
            <w:r w:rsidR="00DE1902">
              <w:rPr>
                <w:sz w:val="15"/>
                <w:lang w:val="es-CO"/>
              </w:rPr>
              <w:t>febrero</w:t>
            </w:r>
            <w:r w:rsidRPr="00DE1902">
              <w:rPr>
                <w:sz w:val="15"/>
                <w:lang w:val="es-CO"/>
              </w:rPr>
              <w:t xml:space="preserve"> de 2019</w:t>
            </w:r>
          </w:p>
        </w:tc>
      </w:tr>
      <w:tr w:rsidR="00442723" w:rsidRPr="003F55BC">
        <w:trPr>
          <w:trHeight w:val="184"/>
        </w:trPr>
        <w:tc>
          <w:tcPr>
            <w:tcW w:w="2963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442723" w:rsidRPr="00DE1902" w:rsidRDefault="00442723">
            <w:pPr>
              <w:rPr>
                <w:sz w:val="2"/>
                <w:szCs w:val="2"/>
                <w:lang w:val="es-CO"/>
              </w:rPr>
            </w:pPr>
          </w:p>
        </w:tc>
        <w:tc>
          <w:tcPr>
            <w:tcW w:w="6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42723" w:rsidRPr="00DE1902" w:rsidRDefault="00EE128D" w:rsidP="00207486">
            <w:pPr>
              <w:pStyle w:val="TableParagraph"/>
              <w:spacing w:line="164" w:lineRule="exact"/>
              <w:rPr>
                <w:b/>
                <w:sz w:val="15"/>
                <w:lang w:val="es-CO"/>
              </w:rPr>
            </w:pPr>
            <w:r w:rsidRPr="00DE1902">
              <w:rPr>
                <w:b/>
                <w:sz w:val="15"/>
                <w:lang w:val="es-CO"/>
              </w:rPr>
              <w:t xml:space="preserve">Audiencia Pública 2018 del Sector Movilidad: </w:t>
            </w:r>
            <w:r w:rsidR="00207486" w:rsidRPr="00207486">
              <w:rPr>
                <w:b/>
                <w:sz w:val="15"/>
                <w:lang w:val="es-CO"/>
              </w:rPr>
              <w:t>Última semana de febrero de 2019</w:t>
            </w:r>
          </w:p>
        </w:tc>
      </w:tr>
      <w:tr w:rsidR="00442723" w:rsidRPr="003F55BC">
        <w:trPr>
          <w:trHeight w:val="184"/>
        </w:trPr>
        <w:tc>
          <w:tcPr>
            <w:tcW w:w="2963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442723" w:rsidRPr="00DE1902" w:rsidRDefault="00442723">
            <w:pPr>
              <w:rPr>
                <w:sz w:val="2"/>
                <w:szCs w:val="2"/>
                <w:lang w:val="es-CO"/>
              </w:rPr>
            </w:pPr>
          </w:p>
        </w:tc>
        <w:tc>
          <w:tcPr>
            <w:tcW w:w="6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42723" w:rsidRPr="00DE1902" w:rsidRDefault="00EE128D">
            <w:pPr>
              <w:pStyle w:val="TableParagraph"/>
              <w:spacing w:line="164" w:lineRule="exact"/>
              <w:rPr>
                <w:sz w:val="15"/>
                <w:lang w:val="es-CO"/>
              </w:rPr>
            </w:pPr>
            <w:r w:rsidRPr="00DE1902">
              <w:rPr>
                <w:sz w:val="15"/>
                <w:lang w:val="es-CO"/>
              </w:rPr>
              <w:t>Audiencia Pública del Alcalde Mayor: Marzo de 2019</w:t>
            </w:r>
          </w:p>
        </w:tc>
      </w:tr>
      <w:tr w:rsidR="00442723" w:rsidRPr="003F55BC">
        <w:trPr>
          <w:trHeight w:val="184"/>
        </w:trPr>
        <w:tc>
          <w:tcPr>
            <w:tcW w:w="2963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442723" w:rsidRPr="00DE1902" w:rsidRDefault="00442723">
            <w:pPr>
              <w:rPr>
                <w:sz w:val="2"/>
                <w:szCs w:val="2"/>
                <w:lang w:val="es-CO"/>
              </w:rPr>
            </w:pPr>
          </w:p>
        </w:tc>
        <w:tc>
          <w:tcPr>
            <w:tcW w:w="6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42723" w:rsidRPr="00DE1902" w:rsidRDefault="00EE128D">
            <w:pPr>
              <w:pStyle w:val="TableParagraph"/>
              <w:spacing w:line="164" w:lineRule="exact"/>
              <w:rPr>
                <w:sz w:val="15"/>
                <w:lang w:val="es-CO"/>
              </w:rPr>
            </w:pPr>
            <w:r w:rsidRPr="00DE1902">
              <w:rPr>
                <w:sz w:val="15"/>
                <w:lang w:val="es-CO"/>
              </w:rPr>
              <w:t>Audiencias Públicas en Localidades: Segundo Semestre de 2019</w:t>
            </w:r>
          </w:p>
        </w:tc>
      </w:tr>
      <w:tr w:rsidR="00442723" w:rsidRPr="003F55BC">
        <w:trPr>
          <w:trHeight w:val="184"/>
        </w:trPr>
        <w:tc>
          <w:tcPr>
            <w:tcW w:w="2963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442723" w:rsidRPr="00DE1902" w:rsidRDefault="00442723">
            <w:pPr>
              <w:rPr>
                <w:sz w:val="2"/>
                <w:szCs w:val="2"/>
                <w:lang w:val="es-CO"/>
              </w:rPr>
            </w:pPr>
          </w:p>
        </w:tc>
        <w:tc>
          <w:tcPr>
            <w:tcW w:w="6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42723" w:rsidRPr="00DE1902" w:rsidRDefault="00EE128D">
            <w:pPr>
              <w:pStyle w:val="TableParagraph"/>
              <w:spacing w:line="164" w:lineRule="exact"/>
              <w:rPr>
                <w:sz w:val="15"/>
                <w:lang w:val="es-CO"/>
              </w:rPr>
            </w:pPr>
            <w:r w:rsidRPr="00DE1902">
              <w:rPr>
                <w:sz w:val="15"/>
                <w:lang w:val="es-CO"/>
              </w:rPr>
              <w:t>ISO IWA: Enero a Diciembre/19</w:t>
            </w:r>
          </w:p>
        </w:tc>
      </w:tr>
      <w:tr w:rsidR="00442723">
        <w:trPr>
          <w:trHeight w:val="184"/>
        </w:trPr>
        <w:tc>
          <w:tcPr>
            <w:tcW w:w="2963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442723" w:rsidRPr="00DE1902" w:rsidRDefault="00442723">
            <w:pPr>
              <w:rPr>
                <w:sz w:val="2"/>
                <w:szCs w:val="2"/>
                <w:lang w:val="es-CO"/>
              </w:rPr>
            </w:pPr>
          </w:p>
        </w:tc>
        <w:tc>
          <w:tcPr>
            <w:tcW w:w="6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42723" w:rsidRPr="00DE1902" w:rsidRDefault="00EE128D">
            <w:pPr>
              <w:pStyle w:val="TableParagraph"/>
              <w:spacing w:line="164" w:lineRule="exact"/>
              <w:rPr>
                <w:sz w:val="15"/>
                <w:lang w:val="es-CO"/>
              </w:rPr>
            </w:pPr>
            <w:r w:rsidRPr="00DE1902">
              <w:rPr>
                <w:sz w:val="15"/>
                <w:lang w:val="es-CO"/>
              </w:rPr>
              <w:t>Seguimiento: Abril - Diciembre/19</w:t>
            </w:r>
          </w:p>
        </w:tc>
      </w:tr>
      <w:tr w:rsidR="00442723" w:rsidRPr="003F55BC">
        <w:trPr>
          <w:trHeight w:val="184"/>
        </w:trPr>
        <w:tc>
          <w:tcPr>
            <w:tcW w:w="2963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442723" w:rsidRPr="00DE1902" w:rsidRDefault="00442723">
            <w:pPr>
              <w:rPr>
                <w:sz w:val="2"/>
                <w:szCs w:val="2"/>
                <w:lang w:val="es-CO"/>
              </w:rPr>
            </w:pPr>
          </w:p>
        </w:tc>
        <w:tc>
          <w:tcPr>
            <w:tcW w:w="6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42723" w:rsidRPr="00DE1902" w:rsidRDefault="00EE128D">
            <w:pPr>
              <w:pStyle w:val="TableParagraph"/>
              <w:spacing w:line="164" w:lineRule="exact"/>
              <w:rPr>
                <w:b/>
                <w:sz w:val="15"/>
                <w:lang w:val="es-CO"/>
              </w:rPr>
            </w:pPr>
            <w:r w:rsidRPr="00DE1902">
              <w:rPr>
                <w:b/>
                <w:sz w:val="15"/>
                <w:lang w:val="es-CO"/>
              </w:rPr>
              <w:t xml:space="preserve">Audiencia Pública 2019 del Sector Movilidad: </w:t>
            </w:r>
            <w:r w:rsidR="003F55BC">
              <w:rPr>
                <w:b/>
                <w:sz w:val="15"/>
                <w:lang w:val="es-CO"/>
              </w:rPr>
              <w:t xml:space="preserve">Noviembre / </w:t>
            </w:r>
            <w:r w:rsidRPr="00DE1902">
              <w:rPr>
                <w:b/>
                <w:sz w:val="15"/>
                <w:lang w:val="es-CO"/>
              </w:rPr>
              <w:t>Diciembre de 2019</w:t>
            </w:r>
          </w:p>
        </w:tc>
      </w:tr>
      <w:tr w:rsidR="00442723" w:rsidRPr="003F55BC">
        <w:trPr>
          <w:trHeight w:val="184"/>
        </w:trPr>
        <w:tc>
          <w:tcPr>
            <w:tcW w:w="9545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442723" w:rsidRPr="00DE1902" w:rsidRDefault="00442723">
            <w:pPr>
              <w:pStyle w:val="TableParagraph"/>
              <w:ind w:left="0"/>
              <w:rPr>
                <w:rFonts w:ascii="Times New Roman"/>
                <w:sz w:val="12"/>
                <w:lang w:val="es-CO"/>
              </w:rPr>
            </w:pPr>
          </w:p>
        </w:tc>
      </w:tr>
      <w:tr w:rsidR="00442723" w:rsidRPr="003F55BC">
        <w:trPr>
          <w:trHeight w:val="741"/>
        </w:trPr>
        <w:tc>
          <w:tcPr>
            <w:tcW w:w="296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2723" w:rsidRPr="00DE1902" w:rsidRDefault="00442723">
            <w:pPr>
              <w:pStyle w:val="TableParagraph"/>
              <w:spacing w:before="6"/>
              <w:ind w:left="0"/>
              <w:rPr>
                <w:rFonts w:ascii="Times New Roman"/>
                <w:sz w:val="15"/>
                <w:lang w:val="es-CO"/>
              </w:rPr>
            </w:pPr>
          </w:p>
          <w:p w:rsidR="00442723" w:rsidRPr="00DE1902" w:rsidRDefault="00EE128D">
            <w:pPr>
              <w:pStyle w:val="TableParagraph"/>
              <w:spacing w:before="1" w:line="273" w:lineRule="auto"/>
              <w:ind w:left="25"/>
              <w:rPr>
                <w:b/>
                <w:sz w:val="15"/>
                <w:lang w:val="es-CO"/>
              </w:rPr>
            </w:pPr>
            <w:r w:rsidRPr="00DE1902">
              <w:rPr>
                <w:b/>
                <w:sz w:val="15"/>
                <w:lang w:val="es-CO"/>
              </w:rPr>
              <w:t>Diagnóstico y caracterización de necesidades de información</w:t>
            </w:r>
          </w:p>
        </w:tc>
        <w:tc>
          <w:tcPr>
            <w:tcW w:w="6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42723" w:rsidRPr="00DE1902" w:rsidRDefault="00EE128D">
            <w:pPr>
              <w:pStyle w:val="TableParagraph"/>
              <w:spacing w:line="264" w:lineRule="auto"/>
              <w:ind w:right="88"/>
              <w:rPr>
                <w:sz w:val="15"/>
                <w:lang w:val="es-CO"/>
              </w:rPr>
            </w:pPr>
            <w:r w:rsidRPr="00DE1902">
              <w:rPr>
                <w:sz w:val="15"/>
                <w:lang w:val="es-CO"/>
              </w:rPr>
              <w:t xml:space="preserve">Las necesidades de información de la ciudadanía se definen y/o caracterizan teniendo en cuenta la misionalidad de cada entidad del Sector Movilidad, y los principales temas </w:t>
            </w:r>
            <w:r w:rsidR="00DE1902" w:rsidRPr="00DE1902">
              <w:rPr>
                <w:sz w:val="15"/>
                <w:lang w:val="es-CO"/>
              </w:rPr>
              <w:t>de impacto</w:t>
            </w:r>
            <w:r w:rsidRPr="00DE1902">
              <w:rPr>
                <w:sz w:val="15"/>
                <w:lang w:val="es-CO"/>
              </w:rPr>
              <w:t>,</w:t>
            </w:r>
            <w:r w:rsidRPr="00DE1902">
              <w:rPr>
                <w:spacing w:val="6"/>
                <w:sz w:val="15"/>
                <w:lang w:val="es-CO"/>
              </w:rPr>
              <w:t xml:space="preserve"> </w:t>
            </w:r>
            <w:r w:rsidRPr="00DE1902">
              <w:rPr>
                <w:sz w:val="15"/>
                <w:lang w:val="es-CO"/>
              </w:rPr>
              <w:t>frente</w:t>
            </w:r>
            <w:r w:rsidRPr="00DE1902">
              <w:rPr>
                <w:spacing w:val="6"/>
                <w:sz w:val="15"/>
                <w:lang w:val="es-CO"/>
              </w:rPr>
              <w:t xml:space="preserve"> </w:t>
            </w:r>
            <w:r w:rsidRPr="00DE1902">
              <w:rPr>
                <w:sz w:val="15"/>
                <w:lang w:val="es-CO"/>
              </w:rPr>
              <w:t>a</w:t>
            </w:r>
            <w:r w:rsidRPr="00DE1902">
              <w:rPr>
                <w:spacing w:val="7"/>
                <w:sz w:val="15"/>
                <w:lang w:val="es-CO"/>
              </w:rPr>
              <w:t xml:space="preserve"> </w:t>
            </w:r>
            <w:r w:rsidRPr="00DE1902">
              <w:rPr>
                <w:sz w:val="15"/>
                <w:lang w:val="es-CO"/>
              </w:rPr>
              <w:t>los</w:t>
            </w:r>
            <w:r w:rsidRPr="00DE1902">
              <w:rPr>
                <w:spacing w:val="6"/>
                <w:sz w:val="15"/>
                <w:lang w:val="es-CO"/>
              </w:rPr>
              <w:t xml:space="preserve"> </w:t>
            </w:r>
            <w:r w:rsidRPr="00DE1902">
              <w:rPr>
                <w:sz w:val="15"/>
                <w:lang w:val="es-CO"/>
              </w:rPr>
              <w:t>diferentes</w:t>
            </w:r>
            <w:r w:rsidRPr="00DE1902">
              <w:rPr>
                <w:spacing w:val="6"/>
                <w:sz w:val="15"/>
                <w:lang w:val="es-CO"/>
              </w:rPr>
              <w:t xml:space="preserve"> </w:t>
            </w:r>
            <w:r w:rsidRPr="00DE1902">
              <w:rPr>
                <w:sz w:val="15"/>
                <w:lang w:val="es-CO"/>
              </w:rPr>
              <w:t>actores</w:t>
            </w:r>
            <w:r w:rsidRPr="00DE1902">
              <w:rPr>
                <w:spacing w:val="7"/>
                <w:sz w:val="15"/>
                <w:lang w:val="es-CO"/>
              </w:rPr>
              <w:t xml:space="preserve"> </w:t>
            </w:r>
            <w:r w:rsidRPr="00DE1902">
              <w:rPr>
                <w:sz w:val="15"/>
                <w:lang w:val="es-CO"/>
              </w:rPr>
              <w:t>y</w:t>
            </w:r>
            <w:r w:rsidRPr="00DE1902">
              <w:rPr>
                <w:spacing w:val="6"/>
                <w:sz w:val="15"/>
                <w:lang w:val="es-CO"/>
              </w:rPr>
              <w:t xml:space="preserve"> </w:t>
            </w:r>
            <w:r w:rsidRPr="00DE1902">
              <w:rPr>
                <w:sz w:val="15"/>
                <w:lang w:val="es-CO"/>
              </w:rPr>
              <w:t>grupos</w:t>
            </w:r>
            <w:r w:rsidRPr="00DE1902">
              <w:rPr>
                <w:spacing w:val="6"/>
                <w:sz w:val="15"/>
                <w:lang w:val="es-CO"/>
              </w:rPr>
              <w:t xml:space="preserve"> </w:t>
            </w:r>
            <w:r w:rsidRPr="00DE1902">
              <w:rPr>
                <w:sz w:val="15"/>
                <w:lang w:val="es-CO"/>
              </w:rPr>
              <w:t>de</w:t>
            </w:r>
            <w:r w:rsidRPr="00DE1902">
              <w:rPr>
                <w:spacing w:val="7"/>
                <w:sz w:val="15"/>
                <w:lang w:val="es-CO"/>
              </w:rPr>
              <w:t xml:space="preserve"> </w:t>
            </w:r>
            <w:r w:rsidRPr="00DE1902">
              <w:rPr>
                <w:sz w:val="15"/>
                <w:lang w:val="es-CO"/>
              </w:rPr>
              <w:t>interés,</w:t>
            </w:r>
            <w:r w:rsidRPr="00DE1902">
              <w:rPr>
                <w:spacing w:val="6"/>
                <w:sz w:val="15"/>
                <w:lang w:val="es-CO"/>
              </w:rPr>
              <w:t xml:space="preserve"> </w:t>
            </w:r>
            <w:r w:rsidRPr="00DE1902">
              <w:rPr>
                <w:sz w:val="15"/>
                <w:lang w:val="es-CO"/>
              </w:rPr>
              <w:t>los</w:t>
            </w:r>
            <w:r w:rsidRPr="00DE1902">
              <w:rPr>
                <w:spacing w:val="6"/>
                <w:sz w:val="15"/>
                <w:lang w:val="es-CO"/>
              </w:rPr>
              <w:t xml:space="preserve"> </w:t>
            </w:r>
            <w:r w:rsidRPr="00DE1902">
              <w:rPr>
                <w:sz w:val="15"/>
                <w:lang w:val="es-CO"/>
              </w:rPr>
              <w:t>cuales</w:t>
            </w:r>
            <w:r w:rsidRPr="00DE1902">
              <w:rPr>
                <w:spacing w:val="7"/>
                <w:sz w:val="15"/>
                <w:lang w:val="es-CO"/>
              </w:rPr>
              <w:t xml:space="preserve"> </w:t>
            </w:r>
            <w:r w:rsidRPr="00DE1902">
              <w:rPr>
                <w:sz w:val="15"/>
                <w:lang w:val="es-CO"/>
              </w:rPr>
              <w:t>serán</w:t>
            </w:r>
            <w:r w:rsidRPr="00DE1902">
              <w:rPr>
                <w:spacing w:val="6"/>
                <w:sz w:val="15"/>
                <w:lang w:val="es-CO"/>
              </w:rPr>
              <w:t xml:space="preserve"> </w:t>
            </w:r>
            <w:r w:rsidRPr="00DE1902">
              <w:rPr>
                <w:sz w:val="15"/>
                <w:lang w:val="es-CO"/>
              </w:rPr>
              <w:t>tenidos</w:t>
            </w:r>
            <w:r w:rsidRPr="00DE1902">
              <w:rPr>
                <w:spacing w:val="6"/>
                <w:sz w:val="15"/>
                <w:lang w:val="es-CO"/>
              </w:rPr>
              <w:t xml:space="preserve"> </w:t>
            </w:r>
            <w:r w:rsidRPr="00DE1902">
              <w:rPr>
                <w:sz w:val="15"/>
                <w:lang w:val="es-CO"/>
              </w:rPr>
              <w:t>en</w:t>
            </w:r>
            <w:r w:rsidRPr="00DE1902">
              <w:rPr>
                <w:spacing w:val="7"/>
                <w:sz w:val="15"/>
                <w:lang w:val="es-CO"/>
              </w:rPr>
              <w:t xml:space="preserve"> </w:t>
            </w:r>
            <w:r w:rsidRPr="00DE1902">
              <w:rPr>
                <w:sz w:val="15"/>
                <w:lang w:val="es-CO"/>
              </w:rPr>
              <w:t>cuenta</w:t>
            </w:r>
          </w:p>
          <w:p w:rsidR="00442723" w:rsidRPr="00DE1902" w:rsidRDefault="00EE128D">
            <w:pPr>
              <w:pStyle w:val="TableParagraph"/>
              <w:spacing w:line="157" w:lineRule="exact"/>
              <w:rPr>
                <w:sz w:val="15"/>
                <w:lang w:val="es-CO"/>
              </w:rPr>
            </w:pPr>
            <w:r w:rsidRPr="00DE1902">
              <w:rPr>
                <w:sz w:val="15"/>
                <w:lang w:val="es-CO"/>
              </w:rPr>
              <w:t>en las mesas temáticas de los diálogos ciudadanos.</w:t>
            </w:r>
          </w:p>
        </w:tc>
      </w:tr>
      <w:tr w:rsidR="00442723" w:rsidRPr="003F55BC">
        <w:trPr>
          <w:trHeight w:val="184"/>
        </w:trPr>
        <w:tc>
          <w:tcPr>
            <w:tcW w:w="9545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442723" w:rsidRPr="00DE1902" w:rsidRDefault="00442723">
            <w:pPr>
              <w:pStyle w:val="TableParagraph"/>
              <w:ind w:left="0"/>
              <w:rPr>
                <w:rFonts w:ascii="Times New Roman"/>
                <w:sz w:val="12"/>
                <w:lang w:val="es-CO"/>
              </w:rPr>
            </w:pPr>
          </w:p>
        </w:tc>
      </w:tr>
      <w:tr w:rsidR="00442723" w:rsidRPr="003F55BC">
        <w:trPr>
          <w:trHeight w:val="741"/>
        </w:trPr>
        <w:tc>
          <w:tcPr>
            <w:tcW w:w="296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2723" w:rsidRPr="00DE1902" w:rsidRDefault="00442723">
            <w:pPr>
              <w:pStyle w:val="TableParagraph"/>
              <w:spacing w:before="6"/>
              <w:ind w:left="0"/>
              <w:rPr>
                <w:rFonts w:ascii="Times New Roman"/>
                <w:sz w:val="15"/>
                <w:lang w:val="es-CO"/>
              </w:rPr>
            </w:pPr>
          </w:p>
          <w:p w:rsidR="00442723" w:rsidRPr="00DE1902" w:rsidRDefault="00EE128D">
            <w:pPr>
              <w:pStyle w:val="TableParagraph"/>
              <w:spacing w:before="1" w:line="273" w:lineRule="auto"/>
              <w:ind w:left="25"/>
              <w:rPr>
                <w:b/>
                <w:sz w:val="15"/>
                <w:lang w:val="es-CO"/>
              </w:rPr>
            </w:pPr>
            <w:r w:rsidRPr="00DE1902">
              <w:rPr>
                <w:b/>
                <w:sz w:val="15"/>
                <w:lang w:val="es-CO"/>
              </w:rPr>
              <w:t>Divulgación de información para la rendición de cuentas</w:t>
            </w:r>
          </w:p>
        </w:tc>
        <w:tc>
          <w:tcPr>
            <w:tcW w:w="6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42723" w:rsidRPr="00DE1902" w:rsidRDefault="00EE128D">
            <w:pPr>
              <w:pStyle w:val="TableParagraph"/>
              <w:spacing w:before="88" w:line="264" w:lineRule="auto"/>
              <w:ind w:right="211"/>
              <w:rPr>
                <w:sz w:val="15"/>
                <w:lang w:val="es-CO"/>
              </w:rPr>
            </w:pPr>
            <w:r w:rsidRPr="00DE1902">
              <w:rPr>
                <w:sz w:val="15"/>
                <w:lang w:val="es-CO"/>
              </w:rPr>
              <w:t>En la etapa de PUBLICACIÓN DE LA INFORMACIÓN, cada entidad del Sector publicará el informe de Rendición de Cuentas y sus anexos, en la página web de la entidad, a más tardar, 10 días antes de</w:t>
            </w:r>
            <w:r w:rsidR="00194C65">
              <w:rPr>
                <w:sz w:val="15"/>
                <w:lang w:val="es-CO"/>
              </w:rPr>
              <w:t xml:space="preserve"> los Diálogos Ciudadanos y la</w:t>
            </w:r>
            <w:r w:rsidRPr="00DE1902">
              <w:rPr>
                <w:sz w:val="15"/>
                <w:lang w:val="es-CO"/>
              </w:rPr>
              <w:t xml:space="preserve"> Audiencia Pública del Sector Movilidad.</w:t>
            </w:r>
          </w:p>
        </w:tc>
      </w:tr>
      <w:tr w:rsidR="00442723" w:rsidRPr="003F55BC">
        <w:trPr>
          <w:trHeight w:val="184"/>
        </w:trPr>
        <w:tc>
          <w:tcPr>
            <w:tcW w:w="9545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442723" w:rsidRPr="00DE1902" w:rsidRDefault="00442723">
            <w:pPr>
              <w:pStyle w:val="TableParagraph"/>
              <w:ind w:left="0"/>
              <w:rPr>
                <w:rFonts w:ascii="Times New Roman"/>
                <w:sz w:val="12"/>
                <w:lang w:val="es-CO"/>
              </w:rPr>
            </w:pPr>
          </w:p>
        </w:tc>
      </w:tr>
      <w:tr w:rsidR="00442723">
        <w:trPr>
          <w:trHeight w:val="582"/>
        </w:trPr>
        <w:tc>
          <w:tcPr>
            <w:tcW w:w="296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2723" w:rsidRPr="00DE1902" w:rsidRDefault="00EE128D">
            <w:pPr>
              <w:pStyle w:val="TableParagraph"/>
              <w:spacing w:before="2" w:line="273" w:lineRule="auto"/>
              <w:ind w:left="25"/>
              <w:rPr>
                <w:b/>
                <w:sz w:val="15"/>
                <w:lang w:val="es-CO"/>
              </w:rPr>
            </w:pPr>
            <w:r w:rsidRPr="00DE1902">
              <w:rPr>
                <w:b/>
                <w:sz w:val="15"/>
                <w:lang w:val="es-CO"/>
              </w:rPr>
              <w:t>Mecanismos de consulta de grupos de interés de los temas para la rendición</w:t>
            </w:r>
          </w:p>
          <w:p w:rsidR="00442723" w:rsidRPr="00DE1902" w:rsidRDefault="00EE128D">
            <w:pPr>
              <w:pStyle w:val="TableParagraph"/>
              <w:spacing w:line="167" w:lineRule="exact"/>
              <w:ind w:left="25"/>
              <w:rPr>
                <w:b/>
                <w:sz w:val="15"/>
                <w:lang w:val="es-CO"/>
              </w:rPr>
            </w:pPr>
            <w:r w:rsidRPr="00DE1902">
              <w:rPr>
                <w:b/>
                <w:sz w:val="15"/>
                <w:lang w:val="es-CO"/>
              </w:rPr>
              <w:t>de cuentas</w:t>
            </w:r>
          </w:p>
        </w:tc>
        <w:tc>
          <w:tcPr>
            <w:tcW w:w="6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42723" w:rsidRPr="00DE1902" w:rsidRDefault="00EE128D">
            <w:pPr>
              <w:pStyle w:val="TableParagraph"/>
              <w:spacing w:before="9" w:line="264" w:lineRule="auto"/>
              <w:ind w:right="211"/>
              <w:rPr>
                <w:sz w:val="15"/>
                <w:lang w:val="es-CO"/>
              </w:rPr>
            </w:pPr>
            <w:r w:rsidRPr="00DE1902">
              <w:rPr>
                <w:sz w:val="15"/>
                <w:lang w:val="es-CO"/>
              </w:rPr>
              <w:t>Los temas de la rendición de cuentas y diálogos ciudadanos de la SDM/Sector Movilidad, serán: Metro, Infraestructura urbana, Mantenimiento Vial, Transporte Público, Seguridad Vial,</w:t>
            </w:r>
          </w:p>
          <w:p w:rsidR="00442723" w:rsidRPr="00DE1902" w:rsidRDefault="00EE128D">
            <w:pPr>
              <w:pStyle w:val="TableParagraph"/>
              <w:spacing w:line="172" w:lineRule="exact"/>
              <w:rPr>
                <w:sz w:val="15"/>
                <w:lang w:val="es-CO"/>
              </w:rPr>
            </w:pPr>
            <w:r w:rsidRPr="00DE1902">
              <w:rPr>
                <w:sz w:val="15"/>
                <w:lang w:val="es-CO"/>
              </w:rPr>
              <w:t>Bicicleta y Movilidad inteligente.</w:t>
            </w:r>
          </w:p>
        </w:tc>
      </w:tr>
      <w:tr w:rsidR="00442723">
        <w:trPr>
          <w:trHeight w:val="184"/>
        </w:trPr>
        <w:tc>
          <w:tcPr>
            <w:tcW w:w="9545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442723" w:rsidRPr="00DE1902" w:rsidRDefault="00442723">
            <w:pPr>
              <w:pStyle w:val="TableParagraph"/>
              <w:ind w:left="0"/>
              <w:rPr>
                <w:rFonts w:ascii="Times New Roman"/>
                <w:sz w:val="12"/>
                <w:lang w:val="es-CO"/>
              </w:rPr>
            </w:pPr>
          </w:p>
        </w:tc>
      </w:tr>
      <w:tr w:rsidR="00442723" w:rsidRPr="003F55BC">
        <w:trPr>
          <w:trHeight w:val="561"/>
        </w:trPr>
        <w:tc>
          <w:tcPr>
            <w:tcW w:w="296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2723" w:rsidRPr="00DE1902" w:rsidRDefault="00EE128D">
            <w:pPr>
              <w:pStyle w:val="TableParagraph"/>
              <w:spacing w:line="273" w:lineRule="auto"/>
              <w:ind w:left="25"/>
              <w:rPr>
                <w:b/>
                <w:sz w:val="15"/>
                <w:lang w:val="es-CO"/>
              </w:rPr>
            </w:pPr>
            <w:r w:rsidRPr="00DE1902">
              <w:rPr>
                <w:b/>
                <w:sz w:val="15"/>
                <w:lang w:val="es-CO"/>
              </w:rPr>
              <w:t>Medios para la divulgación de información o estrategia de</w:t>
            </w:r>
          </w:p>
          <w:p w:rsidR="00442723" w:rsidRPr="00DE1902" w:rsidRDefault="00EE128D">
            <w:pPr>
              <w:pStyle w:val="TableParagraph"/>
              <w:spacing w:line="155" w:lineRule="exact"/>
              <w:ind w:left="25"/>
              <w:rPr>
                <w:b/>
                <w:sz w:val="15"/>
                <w:lang w:val="es-CO"/>
              </w:rPr>
            </w:pPr>
            <w:r w:rsidRPr="00DE1902">
              <w:rPr>
                <w:b/>
                <w:sz w:val="15"/>
                <w:lang w:val="es-CO"/>
              </w:rPr>
              <w:t>comunicaciones</w:t>
            </w:r>
          </w:p>
        </w:tc>
        <w:tc>
          <w:tcPr>
            <w:tcW w:w="6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42723" w:rsidRPr="00DE1902" w:rsidRDefault="00EE128D">
            <w:pPr>
              <w:pStyle w:val="TableParagraph"/>
              <w:spacing w:before="93" w:line="264" w:lineRule="auto"/>
              <w:ind w:right="211"/>
              <w:rPr>
                <w:sz w:val="15"/>
                <w:lang w:val="es-CO"/>
              </w:rPr>
            </w:pPr>
            <w:r w:rsidRPr="00DE1902">
              <w:rPr>
                <w:sz w:val="15"/>
                <w:lang w:val="es-CO"/>
              </w:rPr>
              <w:t>Los medios definidos para la divulgación de la información son: medios escritos, redes sociales, páginas web e intranet</w:t>
            </w:r>
          </w:p>
        </w:tc>
      </w:tr>
      <w:tr w:rsidR="00442723" w:rsidRPr="003F55BC">
        <w:trPr>
          <w:trHeight w:val="184"/>
        </w:trPr>
        <w:tc>
          <w:tcPr>
            <w:tcW w:w="9545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442723" w:rsidRPr="00DE1902" w:rsidRDefault="00442723">
            <w:pPr>
              <w:pStyle w:val="TableParagraph"/>
              <w:ind w:left="0"/>
              <w:rPr>
                <w:rFonts w:ascii="Times New Roman"/>
                <w:sz w:val="12"/>
                <w:lang w:val="es-CO"/>
              </w:rPr>
            </w:pPr>
          </w:p>
        </w:tc>
      </w:tr>
      <w:tr w:rsidR="00442723" w:rsidRPr="003F55BC">
        <w:trPr>
          <w:trHeight w:val="930"/>
        </w:trPr>
        <w:tc>
          <w:tcPr>
            <w:tcW w:w="296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2723" w:rsidRPr="00DE1902" w:rsidRDefault="00442723">
            <w:pPr>
              <w:pStyle w:val="TableParagraph"/>
              <w:ind w:left="0"/>
              <w:rPr>
                <w:rFonts w:ascii="Times New Roman"/>
                <w:sz w:val="16"/>
                <w:lang w:val="es-CO"/>
              </w:rPr>
            </w:pPr>
          </w:p>
          <w:p w:rsidR="00442723" w:rsidRPr="00DE1902" w:rsidRDefault="00442723">
            <w:pPr>
              <w:pStyle w:val="TableParagraph"/>
              <w:spacing w:before="5"/>
              <w:ind w:left="0"/>
              <w:rPr>
                <w:rFonts w:ascii="Times New Roman"/>
                <w:sz w:val="16"/>
                <w:lang w:val="es-CO"/>
              </w:rPr>
            </w:pPr>
          </w:p>
          <w:p w:rsidR="00442723" w:rsidRPr="00DE1902" w:rsidRDefault="00EE128D">
            <w:pPr>
              <w:pStyle w:val="TableParagraph"/>
              <w:spacing w:before="1"/>
              <w:ind w:left="25"/>
              <w:rPr>
                <w:b/>
                <w:sz w:val="15"/>
                <w:lang w:val="es-CO"/>
              </w:rPr>
            </w:pPr>
            <w:r w:rsidRPr="00DE1902">
              <w:rPr>
                <w:b/>
                <w:sz w:val="15"/>
                <w:lang w:val="es-CO"/>
              </w:rPr>
              <w:t>Diferentes espacios de diálogo</w:t>
            </w:r>
          </w:p>
        </w:tc>
        <w:tc>
          <w:tcPr>
            <w:tcW w:w="6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42723" w:rsidRPr="00DE1902" w:rsidRDefault="00EE128D">
            <w:pPr>
              <w:pStyle w:val="TableParagraph"/>
              <w:spacing w:before="88" w:line="264" w:lineRule="auto"/>
              <w:ind w:right="124"/>
              <w:rPr>
                <w:sz w:val="15"/>
                <w:lang w:val="es-CO"/>
              </w:rPr>
            </w:pPr>
            <w:r w:rsidRPr="00DE1902">
              <w:rPr>
                <w:sz w:val="15"/>
                <w:lang w:val="es-CO"/>
              </w:rPr>
              <w:t>La rendición de cuentas Sectorial, tendrá los siguientes espacios de diálogo: reuniones previas con ciudadanos, Diálogo Ciudadano Sectorial, Audiencia Pública del Sector Movilidad,  Audiencia Pública del Alcalde Mayor, Audiencias Públicas en Localidades, definición de compromisos</w:t>
            </w:r>
            <w:r w:rsidRPr="00DE1902">
              <w:rPr>
                <w:spacing w:val="9"/>
                <w:sz w:val="15"/>
                <w:lang w:val="es-CO"/>
              </w:rPr>
              <w:t xml:space="preserve"> </w:t>
            </w:r>
            <w:r w:rsidRPr="00DE1902">
              <w:rPr>
                <w:sz w:val="15"/>
                <w:lang w:val="es-CO"/>
              </w:rPr>
              <w:t>y</w:t>
            </w:r>
            <w:r w:rsidRPr="00DE1902">
              <w:rPr>
                <w:spacing w:val="9"/>
                <w:sz w:val="15"/>
                <w:lang w:val="es-CO"/>
              </w:rPr>
              <w:t xml:space="preserve"> </w:t>
            </w:r>
            <w:r w:rsidRPr="00DE1902">
              <w:rPr>
                <w:sz w:val="15"/>
                <w:lang w:val="es-CO"/>
              </w:rPr>
              <w:t>seguimiento</w:t>
            </w:r>
            <w:r w:rsidRPr="00DE1902">
              <w:rPr>
                <w:spacing w:val="9"/>
                <w:sz w:val="15"/>
                <w:lang w:val="es-CO"/>
              </w:rPr>
              <w:t xml:space="preserve"> </w:t>
            </w:r>
            <w:r w:rsidRPr="00DE1902">
              <w:rPr>
                <w:sz w:val="15"/>
                <w:lang w:val="es-CO"/>
              </w:rPr>
              <w:t>del</w:t>
            </w:r>
            <w:r w:rsidRPr="00DE1902">
              <w:rPr>
                <w:spacing w:val="10"/>
                <w:sz w:val="15"/>
                <w:lang w:val="es-CO"/>
              </w:rPr>
              <w:t xml:space="preserve"> </w:t>
            </w:r>
            <w:r w:rsidRPr="00DE1902">
              <w:rPr>
                <w:sz w:val="15"/>
                <w:lang w:val="es-CO"/>
              </w:rPr>
              <w:t>Observatorio</w:t>
            </w:r>
            <w:r w:rsidRPr="00DE1902">
              <w:rPr>
                <w:spacing w:val="9"/>
                <w:sz w:val="15"/>
                <w:lang w:val="es-CO"/>
              </w:rPr>
              <w:t xml:space="preserve"> </w:t>
            </w:r>
            <w:r w:rsidRPr="00DE1902">
              <w:rPr>
                <w:sz w:val="15"/>
                <w:lang w:val="es-CO"/>
              </w:rPr>
              <w:t>Ciudadano</w:t>
            </w:r>
            <w:r w:rsidRPr="00DE1902">
              <w:rPr>
                <w:spacing w:val="9"/>
                <w:sz w:val="15"/>
                <w:lang w:val="es-CO"/>
              </w:rPr>
              <w:t xml:space="preserve"> </w:t>
            </w:r>
            <w:r w:rsidRPr="00DE1902">
              <w:rPr>
                <w:sz w:val="15"/>
                <w:lang w:val="es-CO"/>
              </w:rPr>
              <w:t>a</w:t>
            </w:r>
            <w:r w:rsidRPr="00DE1902">
              <w:rPr>
                <w:spacing w:val="10"/>
                <w:sz w:val="15"/>
                <w:lang w:val="es-CO"/>
              </w:rPr>
              <w:t xml:space="preserve"> </w:t>
            </w:r>
            <w:r w:rsidRPr="00DE1902">
              <w:rPr>
                <w:sz w:val="15"/>
                <w:lang w:val="es-CO"/>
              </w:rPr>
              <w:t>través</w:t>
            </w:r>
            <w:r w:rsidRPr="00DE1902">
              <w:rPr>
                <w:spacing w:val="9"/>
                <w:sz w:val="15"/>
                <w:lang w:val="es-CO"/>
              </w:rPr>
              <w:t xml:space="preserve"> </w:t>
            </w:r>
            <w:r w:rsidRPr="00DE1902">
              <w:rPr>
                <w:sz w:val="15"/>
                <w:lang w:val="es-CO"/>
              </w:rPr>
              <w:t>de</w:t>
            </w:r>
            <w:r w:rsidRPr="00DE1902">
              <w:rPr>
                <w:spacing w:val="9"/>
                <w:sz w:val="15"/>
                <w:lang w:val="es-CO"/>
              </w:rPr>
              <w:t xml:space="preserve"> </w:t>
            </w:r>
            <w:r w:rsidRPr="00DE1902">
              <w:rPr>
                <w:sz w:val="15"/>
                <w:lang w:val="es-CO"/>
              </w:rPr>
              <w:t>la</w:t>
            </w:r>
            <w:r w:rsidRPr="00DE1902">
              <w:rPr>
                <w:spacing w:val="10"/>
                <w:sz w:val="15"/>
                <w:lang w:val="es-CO"/>
              </w:rPr>
              <w:t xml:space="preserve"> </w:t>
            </w:r>
            <w:r w:rsidRPr="00DE1902">
              <w:rPr>
                <w:sz w:val="15"/>
                <w:lang w:val="es-CO"/>
              </w:rPr>
              <w:t>metodología</w:t>
            </w:r>
            <w:r w:rsidRPr="00DE1902">
              <w:rPr>
                <w:spacing w:val="9"/>
                <w:sz w:val="15"/>
                <w:lang w:val="es-CO"/>
              </w:rPr>
              <w:t xml:space="preserve"> </w:t>
            </w:r>
            <w:r w:rsidRPr="00DE1902">
              <w:rPr>
                <w:sz w:val="15"/>
                <w:lang w:val="es-CO"/>
              </w:rPr>
              <w:t>ISO</w:t>
            </w:r>
            <w:r w:rsidRPr="00DE1902">
              <w:rPr>
                <w:spacing w:val="9"/>
                <w:sz w:val="15"/>
                <w:lang w:val="es-CO"/>
              </w:rPr>
              <w:t xml:space="preserve"> </w:t>
            </w:r>
            <w:r w:rsidRPr="00DE1902">
              <w:rPr>
                <w:sz w:val="15"/>
                <w:lang w:val="es-CO"/>
              </w:rPr>
              <w:t>IWA.</w:t>
            </w:r>
          </w:p>
        </w:tc>
      </w:tr>
      <w:tr w:rsidR="00442723" w:rsidRPr="003F55BC">
        <w:trPr>
          <w:trHeight w:val="184"/>
        </w:trPr>
        <w:tc>
          <w:tcPr>
            <w:tcW w:w="9545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442723" w:rsidRPr="00DE1902" w:rsidRDefault="00442723">
            <w:pPr>
              <w:pStyle w:val="TableParagraph"/>
              <w:ind w:left="0"/>
              <w:rPr>
                <w:rFonts w:ascii="Times New Roman"/>
                <w:sz w:val="12"/>
                <w:lang w:val="es-CO"/>
              </w:rPr>
            </w:pPr>
          </w:p>
        </w:tc>
      </w:tr>
      <w:tr w:rsidR="00442723">
        <w:trPr>
          <w:trHeight w:val="384"/>
        </w:trPr>
        <w:tc>
          <w:tcPr>
            <w:tcW w:w="2963" w:type="dxa"/>
            <w:tcBorders>
              <w:top w:val="single" w:sz="6" w:space="0" w:color="000000"/>
              <w:right w:val="single" w:sz="6" w:space="0" w:color="000000"/>
            </w:tcBorders>
          </w:tcPr>
          <w:p w:rsidR="00442723" w:rsidRPr="00DE1902" w:rsidRDefault="00EE128D">
            <w:pPr>
              <w:pStyle w:val="TableParagraph"/>
              <w:spacing w:before="6"/>
              <w:ind w:left="25"/>
              <w:rPr>
                <w:b/>
                <w:sz w:val="15"/>
                <w:lang w:val="es-CO"/>
              </w:rPr>
            </w:pPr>
            <w:r w:rsidRPr="00DE1902">
              <w:rPr>
                <w:b/>
                <w:sz w:val="15"/>
                <w:lang w:val="es-CO"/>
              </w:rPr>
              <w:t>Evaluación y seguimiento de la</w:t>
            </w:r>
          </w:p>
          <w:p w:rsidR="00442723" w:rsidRPr="00DE1902" w:rsidRDefault="00EE128D">
            <w:pPr>
              <w:pStyle w:val="TableParagraph"/>
              <w:spacing w:before="25" w:line="161" w:lineRule="exact"/>
              <w:ind w:left="25"/>
              <w:rPr>
                <w:b/>
                <w:sz w:val="15"/>
                <w:lang w:val="es-CO"/>
              </w:rPr>
            </w:pPr>
            <w:r w:rsidRPr="00DE1902">
              <w:rPr>
                <w:b/>
                <w:sz w:val="15"/>
                <w:lang w:val="es-CO"/>
              </w:rPr>
              <w:t>estrategia</w:t>
            </w:r>
          </w:p>
        </w:tc>
        <w:tc>
          <w:tcPr>
            <w:tcW w:w="6582" w:type="dxa"/>
            <w:tcBorders>
              <w:top w:val="single" w:sz="6" w:space="0" w:color="000000"/>
              <w:left w:val="single" w:sz="6" w:space="0" w:color="000000"/>
            </w:tcBorders>
          </w:tcPr>
          <w:p w:rsidR="00442723" w:rsidRPr="00DE1902" w:rsidRDefault="00EE128D">
            <w:pPr>
              <w:pStyle w:val="TableParagraph"/>
              <w:spacing w:before="9"/>
              <w:rPr>
                <w:sz w:val="15"/>
                <w:lang w:val="es-CO"/>
              </w:rPr>
            </w:pPr>
            <w:r w:rsidRPr="00DE1902">
              <w:rPr>
                <w:sz w:val="15"/>
                <w:lang w:val="es-CO"/>
              </w:rPr>
              <w:t>Se realizará el seguimiento a los compromisos, preguntas sin contestar en la audiencia y</w:t>
            </w:r>
          </w:p>
          <w:p w:rsidR="00442723" w:rsidRPr="00DE1902" w:rsidRDefault="00EE128D">
            <w:pPr>
              <w:pStyle w:val="TableParagraph"/>
              <w:spacing w:before="17" w:line="166" w:lineRule="exact"/>
              <w:rPr>
                <w:sz w:val="15"/>
                <w:lang w:val="es-CO"/>
              </w:rPr>
            </w:pPr>
            <w:r w:rsidRPr="00DE1902">
              <w:rPr>
                <w:sz w:val="15"/>
                <w:lang w:val="es-CO"/>
              </w:rPr>
              <w:t>cumplimiento de esta estrategia</w:t>
            </w:r>
          </w:p>
        </w:tc>
      </w:tr>
    </w:tbl>
    <w:p w:rsidR="00EE128D" w:rsidRDefault="00EE128D"/>
    <w:sectPr w:rsidR="00EE128D">
      <w:type w:val="continuous"/>
      <w:pgSz w:w="11900" w:h="16840"/>
      <w:pgMar w:top="1080" w:right="120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723"/>
    <w:rsid w:val="00187365"/>
    <w:rsid w:val="00194C65"/>
    <w:rsid w:val="00207486"/>
    <w:rsid w:val="003F55BC"/>
    <w:rsid w:val="00442723"/>
    <w:rsid w:val="00C30EF9"/>
    <w:rsid w:val="00DE1902"/>
    <w:rsid w:val="00EE1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1EBFED-C1AF-4AA8-B570-FADD72F7F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3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480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(ESTRATEGIA ANUAL DE RENDICIÓN DE CUENTAS A LA CIUDADANÍA 2018 en 2019.docx.xlsx)</vt:lpstr>
    </vt:vector>
  </TitlesOfParts>
  <Company>Hewlett-Packard Company</Company>
  <LinksUpToDate>false</LinksUpToDate>
  <CharactersWithSpaces>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(ESTRATEGIA ANUAL DE RENDICIÓN DE CUENTAS A LA CIUDADANÍA 2018 en 2019.docx.xlsx)</dc:title>
  <dc:creator>jrojas</dc:creator>
  <cp:lastModifiedBy>Dickson Alberto Pinzon Corredor</cp:lastModifiedBy>
  <cp:revision>2</cp:revision>
  <dcterms:created xsi:type="dcterms:W3CDTF">2019-02-05T13:23:00Z</dcterms:created>
  <dcterms:modified xsi:type="dcterms:W3CDTF">2019-02-05T13:23:00Z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2019-01-16T00:00:00Z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2019-02-04T00:00:00Z</vt:filetime>
  </property>
</Properties>
</file>